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FF" w:rsidRPr="00FA6445" w:rsidRDefault="008D50A5" w:rsidP="008D50A5">
      <w:pPr>
        <w:pStyle w:val="Heading1"/>
        <w:rPr>
          <w:lang w:val="en"/>
        </w:rPr>
      </w:pPr>
      <w:r w:rsidRPr="00FA6445">
        <w:rPr>
          <w:noProof/>
          <w:lang w:eastAsia="en-GB"/>
        </w:rPr>
        <w:drawing>
          <wp:anchor distT="0" distB="0" distL="114300" distR="114300" simplePos="0" relativeHeight="251668480" behindDoc="0" locked="0" layoutInCell="1" allowOverlap="1" wp14:anchorId="3D5548BC" wp14:editId="0BD4322F">
            <wp:simplePos x="0" y="0"/>
            <wp:positionH relativeFrom="column">
              <wp:posOffset>5561330</wp:posOffset>
            </wp:positionH>
            <wp:positionV relativeFrom="paragraph">
              <wp:posOffset>54610</wp:posOffset>
            </wp:positionV>
            <wp:extent cx="608330" cy="628650"/>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 NLand Knowledge 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330" cy="628650"/>
                    </a:xfrm>
                    <a:prstGeom prst="rect">
                      <a:avLst/>
                    </a:prstGeom>
                  </pic:spPr>
                </pic:pic>
              </a:graphicData>
            </a:graphic>
            <wp14:sizeRelH relativeFrom="page">
              <wp14:pctWidth>0</wp14:pctWidth>
            </wp14:sizeRelH>
            <wp14:sizeRelV relativeFrom="page">
              <wp14:pctHeight>0</wp14:pctHeight>
            </wp14:sizeRelV>
          </wp:anchor>
        </w:drawing>
      </w:r>
      <w:r w:rsidRPr="00FA6445">
        <w:rPr>
          <w:noProof/>
          <w:lang w:eastAsia="en-GB"/>
        </w:rPr>
        <mc:AlternateContent>
          <mc:Choice Requires="wps">
            <w:drawing>
              <wp:anchor distT="0" distB="0" distL="114300" distR="114300" simplePos="0" relativeHeight="251669504" behindDoc="0" locked="0" layoutInCell="1" allowOverlap="1" wp14:anchorId="2373F374" wp14:editId="324F653C">
                <wp:simplePos x="0" y="0"/>
                <wp:positionH relativeFrom="column">
                  <wp:posOffset>-791846</wp:posOffset>
                </wp:positionH>
                <wp:positionV relativeFrom="paragraph">
                  <wp:posOffset>45085</wp:posOffset>
                </wp:positionV>
                <wp:extent cx="7572375" cy="9525"/>
                <wp:effectExtent l="0" t="0" r="9525" b="28575"/>
                <wp:wrapNone/>
                <wp:docPr id="7" name="Straight Connector 7"/>
                <wp:cNvGraphicFramePr/>
                <a:graphic xmlns:a="http://schemas.openxmlformats.org/drawingml/2006/main">
                  <a:graphicData uri="http://schemas.microsoft.com/office/word/2010/wordprocessingShape">
                    <wps:wsp>
                      <wps:cNvCnPr/>
                      <wps:spPr>
                        <a:xfrm flipV="1">
                          <a:off x="0" y="0"/>
                          <a:ext cx="7572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62.35pt,3.55pt" to="533.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" strokecolor="black [3213]"/>
            </w:pict>
          </mc:Fallback>
        </mc:AlternateContent>
      </w:r>
      <w:r w:rsidR="00FA6E02" w:rsidRPr="00FA6445">
        <w:rPr>
          <w:lang w:val="en"/>
        </w:rPr>
        <w:t>ONS 2014</w:t>
      </w:r>
      <w:r w:rsidR="00433DFF" w:rsidRPr="00FA6445">
        <w:rPr>
          <w:lang w:val="en"/>
        </w:rPr>
        <w:t xml:space="preserve"> Household Projections</w:t>
      </w:r>
      <w:r w:rsidRPr="00FA6445">
        <w:rPr>
          <w:lang w:val="en"/>
        </w:rPr>
        <w:t xml:space="preserve"> </w:t>
      </w:r>
    </w:p>
    <w:p w:rsidR="00FA6445" w:rsidRDefault="008D50A5" w:rsidP="00FA6445">
      <w:pPr>
        <w:jc w:val="both"/>
        <w:rPr>
          <w:sz w:val="20"/>
          <w:szCs w:val="20"/>
          <w:lang w:val="en"/>
        </w:rPr>
      </w:pPr>
      <w:r w:rsidRPr="00FA6E02">
        <w:rPr>
          <w:noProof/>
          <w:color w:val="FF0000"/>
          <w:lang w:eastAsia="en-GB"/>
        </w:rPr>
        <mc:AlternateContent>
          <mc:Choice Requires="wps">
            <w:drawing>
              <wp:anchor distT="0" distB="0" distL="114300" distR="114300" simplePos="0" relativeHeight="251667456" behindDoc="0" locked="0" layoutInCell="1" allowOverlap="1" wp14:anchorId="31C9413E" wp14:editId="10D8C69C">
                <wp:simplePos x="0" y="0"/>
                <wp:positionH relativeFrom="column">
                  <wp:posOffset>-791845</wp:posOffset>
                </wp:positionH>
                <wp:positionV relativeFrom="paragraph">
                  <wp:posOffset>138430</wp:posOffset>
                </wp:positionV>
                <wp:extent cx="7572375" cy="9525"/>
                <wp:effectExtent l="0" t="0" r="9525" b="28575"/>
                <wp:wrapNone/>
                <wp:docPr id="8" name="Straight Connector 8"/>
                <wp:cNvGraphicFramePr/>
                <a:graphic xmlns:a="http://schemas.openxmlformats.org/drawingml/2006/main">
                  <a:graphicData uri="http://schemas.microsoft.com/office/word/2010/wordprocessingShape">
                    <wps:wsp>
                      <wps:cNvCnPr/>
                      <wps:spPr>
                        <a:xfrm flipV="1">
                          <a:off x="0" y="0"/>
                          <a:ext cx="7572375"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2.35pt,10.9pt" to="533.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" strokecolor="windowText"/>
            </w:pict>
          </mc:Fallback>
        </mc:AlternateContent>
      </w:r>
    </w:p>
    <w:p w:rsidR="001176A2" w:rsidRPr="00FA6445" w:rsidRDefault="00FA6445" w:rsidP="00FA6445">
      <w:pPr>
        <w:jc w:val="both"/>
        <w:rPr>
          <w:color w:val="FF0000"/>
          <w:lang w:val="en"/>
        </w:rPr>
      </w:pPr>
      <w:r>
        <w:rPr>
          <w:sz w:val="20"/>
          <w:szCs w:val="20"/>
          <w:lang w:val="en"/>
        </w:rPr>
        <w:t>F</w:t>
      </w:r>
      <w:r w:rsidR="00D864E8" w:rsidRPr="00FA6E02">
        <w:rPr>
          <w:sz w:val="20"/>
          <w:szCs w:val="20"/>
          <w:lang w:val="en"/>
        </w:rPr>
        <w:t>igures for hou</w:t>
      </w:r>
      <w:r w:rsidR="00FA6E02" w:rsidRPr="00FA6E02">
        <w:rPr>
          <w:sz w:val="20"/>
          <w:szCs w:val="20"/>
          <w:lang w:val="en"/>
        </w:rPr>
        <w:t>sehold projections based on 2014</w:t>
      </w:r>
      <w:r w:rsidR="00D864E8" w:rsidRPr="00FA6E02">
        <w:rPr>
          <w:sz w:val="20"/>
          <w:szCs w:val="20"/>
          <w:lang w:val="en"/>
        </w:rPr>
        <w:t xml:space="preserve"> population proje</w:t>
      </w:r>
      <w:r w:rsidR="00FA6E02" w:rsidRPr="00FA6E02">
        <w:rPr>
          <w:sz w:val="20"/>
          <w:szCs w:val="20"/>
          <w:lang w:val="en"/>
        </w:rPr>
        <w:t>ction data, were published on 12/07/16</w:t>
      </w:r>
      <w:r w:rsidR="00D864E8" w:rsidRPr="00FA6E02">
        <w:rPr>
          <w:sz w:val="20"/>
          <w:szCs w:val="20"/>
          <w:lang w:val="en"/>
        </w:rPr>
        <w:t xml:space="preserve">. </w:t>
      </w:r>
      <w:r w:rsidR="00433DFF" w:rsidRPr="00FA6E02">
        <w:rPr>
          <w:sz w:val="20"/>
          <w:szCs w:val="20"/>
          <w:lang w:val="en"/>
        </w:rPr>
        <w:t>Household projections are trend-based and indicate the number of additional households that would form if recent demographic trends continue</w:t>
      </w:r>
      <w:r w:rsidR="00E542C8" w:rsidRPr="00FA6E02">
        <w:rPr>
          <w:sz w:val="20"/>
          <w:szCs w:val="20"/>
          <w:lang w:val="en"/>
        </w:rPr>
        <w:t>.</w:t>
      </w:r>
      <w:r w:rsidR="001176A2" w:rsidRPr="00FA6E02">
        <w:rPr>
          <w:sz w:val="20"/>
          <w:szCs w:val="20"/>
          <w:lang w:val="en"/>
        </w:rPr>
        <w:t xml:space="preserve"> They are therefore driven by assumptions on future levels of fertility, mortality and net migration, and household formation behaviour, that is how this population groups into household units (as measured by household representative rates).</w:t>
      </w:r>
    </w:p>
    <w:p w:rsidR="00433DFF" w:rsidRPr="00FA6E02" w:rsidRDefault="00433DFF" w:rsidP="00A65622">
      <w:pPr>
        <w:pStyle w:val="NormalWeb"/>
        <w:spacing w:before="0" w:beforeAutospacing="0" w:after="200" w:afterAutospacing="0" w:line="276" w:lineRule="auto"/>
        <w:jc w:val="both"/>
        <w:rPr>
          <w:rFonts w:asciiTheme="minorHAnsi" w:hAnsiTheme="minorHAnsi"/>
          <w:sz w:val="20"/>
          <w:szCs w:val="20"/>
          <w:lang w:val="en"/>
        </w:rPr>
      </w:pPr>
      <w:r w:rsidRPr="00FA6E02">
        <w:rPr>
          <w:rFonts w:asciiTheme="minorHAnsi" w:hAnsiTheme="minorHAnsi"/>
          <w:sz w:val="20"/>
          <w:szCs w:val="20"/>
          <w:lang w:val="en"/>
        </w:rPr>
        <w:t xml:space="preserve">The projections are a demographic projection informed by the projected population, produced by the Office for National Statistics, and projected household representative rates informed by Census and labour force survey data. </w:t>
      </w:r>
      <w:r w:rsidR="00FA6445">
        <w:rPr>
          <w:rFonts w:asciiTheme="minorHAnsi" w:hAnsiTheme="minorHAnsi"/>
          <w:sz w:val="20"/>
          <w:szCs w:val="20"/>
          <w:lang w:val="en"/>
        </w:rPr>
        <w:t xml:space="preserve"> The 2014</w:t>
      </w:r>
      <w:r w:rsidR="001176A2" w:rsidRPr="00FA6E02">
        <w:rPr>
          <w:rFonts w:asciiTheme="minorHAnsi" w:hAnsiTheme="minorHAnsi"/>
          <w:sz w:val="20"/>
          <w:szCs w:val="20"/>
          <w:lang w:val="en"/>
        </w:rPr>
        <w:t xml:space="preserve"> projections es</w:t>
      </w:r>
      <w:r w:rsidR="00FA6E02" w:rsidRPr="00FA6E02">
        <w:rPr>
          <w:rFonts w:asciiTheme="minorHAnsi" w:hAnsiTheme="minorHAnsi"/>
          <w:sz w:val="20"/>
          <w:szCs w:val="20"/>
          <w:lang w:val="en"/>
        </w:rPr>
        <w:t>timate household figures to 2039</w:t>
      </w:r>
      <w:r w:rsidR="00D372C4" w:rsidRPr="00FA6E02">
        <w:rPr>
          <w:rFonts w:asciiTheme="minorHAnsi" w:hAnsiTheme="minorHAnsi"/>
          <w:sz w:val="20"/>
          <w:szCs w:val="20"/>
          <w:lang w:val="en"/>
        </w:rPr>
        <w:t>.</w:t>
      </w:r>
    </w:p>
    <w:p w:rsidR="00433DFF" w:rsidRPr="005D50C5" w:rsidRDefault="005459FF" w:rsidP="001E7336">
      <w:pPr>
        <w:pStyle w:val="Heading2"/>
      </w:pPr>
      <w:r>
        <w:rPr>
          <w:noProof/>
          <w:lang w:eastAsia="en-GB"/>
        </w:rPr>
        <w:drawing>
          <wp:anchor distT="0" distB="0" distL="114300" distR="114300" simplePos="0" relativeHeight="251671552" behindDoc="0" locked="0" layoutInCell="1" allowOverlap="1" wp14:anchorId="0EDFD31D" wp14:editId="3BB2BA0E">
            <wp:simplePos x="0" y="0"/>
            <wp:positionH relativeFrom="column">
              <wp:posOffset>2752090</wp:posOffset>
            </wp:positionH>
            <wp:positionV relativeFrom="paragraph">
              <wp:posOffset>76835</wp:posOffset>
            </wp:positionV>
            <wp:extent cx="3474720" cy="201168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33DFF" w:rsidRPr="005D50C5">
        <w:t>Population</w:t>
      </w:r>
      <w:r w:rsidR="00511084" w:rsidRPr="005D50C5">
        <w:rPr>
          <w:noProof/>
          <w:lang w:eastAsia="en-GB"/>
        </w:rPr>
        <w:t xml:space="preserve"> </w:t>
      </w:r>
    </w:p>
    <w:p w:rsidR="00433DFF" w:rsidRPr="005D50C5" w:rsidRDefault="00433DFF" w:rsidP="00607537">
      <w:pPr>
        <w:jc w:val="both"/>
        <w:rPr>
          <w:sz w:val="20"/>
          <w:szCs w:val="20"/>
        </w:rPr>
      </w:pPr>
      <w:r w:rsidRPr="005D50C5">
        <w:rPr>
          <w:sz w:val="20"/>
          <w:szCs w:val="20"/>
        </w:rPr>
        <w:t xml:space="preserve">The </w:t>
      </w:r>
      <w:r w:rsidR="003C1206" w:rsidRPr="005D50C5">
        <w:rPr>
          <w:sz w:val="20"/>
          <w:szCs w:val="20"/>
        </w:rPr>
        <w:t xml:space="preserve">household </w:t>
      </w:r>
      <w:r w:rsidRPr="005D50C5">
        <w:rPr>
          <w:sz w:val="20"/>
          <w:szCs w:val="20"/>
        </w:rPr>
        <w:t>population for Northumberland is projected to rise from 31</w:t>
      </w:r>
      <w:r w:rsidR="005D50C5" w:rsidRPr="005D50C5">
        <w:rPr>
          <w:sz w:val="20"/>
          <w:szCs w:val="20"/>
        </w:rPr>
        <w:t>0</w:t>
      </w:r>
      <w:r w:rsidRPr="005D50C5">
        <w:rPr>
          <w:sz w:val="20"/>
          <w:szCs w:val="20"/>
        </w:rPr>
        <w:t>,</w:t>
      </w:r>
      <w:r w:rsidR="005D50C5" w:rsidRPr="005D50C5">
        <w:rPr>
          <w:sz w:val="20"/>
          <w:szCs w:val="20"/>
        </w:rPr>
        <w:t>000 in 2014, to 313,000 by 2039</w:t>
      </w:r>
      <w:r w:rsidR="001176A2" w:rsidRPr="005D50C5">
        <w:rPr>
          <w:sz w:val="20"/>
          <w:szCs w:val="20"/>
        </w:rPr>
        <w:t xml:space="preserve"> - </w:t>
      </w:r>
      <w:r w:rsidRPr="005D50C5">
        <w:rPr>
          <w:sz w:val="20"/>
          <w:szCs w:val="20"/>
        </w:rPr>
        <w:t xml:space="preserve">an increase of </w:t>
      </w:r>
      <w:r w:rsidR="005D50C5" w:rsidRPr="005D50C5">
        <w:rPr>
          <w:sz w:val="20"/>
          <w:szCs w:val="20"/>
        </w:rPr>
        <w:t>0.9</w:t>
      </w:r>
      <w:r w:rsidRPr="005D50C5">
        <w:rPr>
          <w:sz w:val="20"/>
          <w:szCs w:val="20"/>
        </w:rPr>
        <w:t xml:space="preserve">%. This is far lower than the increase of </w:t>
      </w:r>
      <w:r w:rsidR="005D50C5" w:rsidRPr="005D50C5">
        <w:rPr>
          <w:sz w:val="20"/>
          <w:szCs w:val="20"/>
        </w:rPr>
        <w:t>16.3</w:t>
      </w:r>
      <w:r w:rsidRPr="005D50C5">
        <w:rPr>
          <w:sz w:val="20"/>
          <w:szCs w:val="20"/>
        </w:rPr>
        <w:t>% which is projected for England over the same period</w:t>
      </w:r>
      <w:r w:rsidR="003C1206" w:rsidRPr="005D50C5">
        <w:rPr>
          <w:sz w:val="20"/>
          <w:szCs w:val="20"/>
        </w:rPr>
        <w:t>.</w:t>
      </w:r>
    </w:p>
    <w:p w:rsidR="00607537" w:rsidRPr="00FA6E02" w:rsidRDefault="00607537" w:rsidP="00607537">
      <w:pPr>
        <w:jc w:val="both"/>
        <w:rPr>
          <w:b/>
          <w:color w:val="FF0000"/>
        </w:rPr>
      </w:pPr>
    </w:p>
    <w:p w:rsidR="005459FF" w:rsidRDefault="005459FF" w:rsidP="003C1206">
      <w:pPr>
        <w:pStyle w:val="Heading2"/>
      </w:pPr>
    </w:p>
    <w:p w:rsidR="00433DFF" w:rsidRPr="00FA6E02" w:rsidRDefault="00E542C8" w:rsidP="003C1206">
      <w:pPr>
        <w:pStyle w:val="Heading2"/>
      </w:pPr>
      <w:r w:rsidRPr="00FA6E02">
        <w:rPr>
          <w:rStyle w:val="FootnoteReference"/>
        </w:rPr>
        <w:footnoteReference w:id="1"/>
      </w:r>
      <w:r w:rsidR="00433DFF" w:rsidRPr="00FA6E02">
        <w:t>Households</w:t>
      </w:r>
      <w:r w:rsidR="001176A2" w:rsidRPr="00FA6E02">
        <w:t xml:space="preserve"> </w:t>
      </w:r>
    </w:p>
    <w:p w:rsidR="00433DFF" w:rsidRPr="00FA6E02" w:rsidRDefault="005459FF" w:rsidP="00607537">
      <w:pPr>
        <w:jc w:val="both"/>
        <w:rPr>
          <w:color w:val="FF0000"/>
          <w:sz w:val="20"/>
          <w:szCs w:val="20"/>
        </w:rPr>
      </w:pPr>
      <w:r>
        <w:rPr>
          <w:noProof/>
          <w:lang w:eastAsia="en-GB"/>
        </w:rPr>
        <w:drawing>
          <wp:anchor distT="0" distB="0" distL="114300" distR="114300" simplePos="0" relativeHeight="251672576" behindDoc="0" locked="0" layoutInCell="1" allowOverlap="1" wp14:anchorId="4E7B53E2" wp14:editId="6C4DF27F">
            <wp:simplePos x="0" y="0"/>
            <wp:positionH relativeFrom="column">
              <wp:posOffset>2694305</wp:posOffset>
            </wp:positionH>
            <wp:positionV relativeFrom="paragraph">
              <wp:posOffset>91440</wp:posOffset>
            </wp:positionV>
            <wp:extent cx="3648075" cy="2400300"/>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33DFF" w:rsidRPr="00FA6E02">
        <w:rPr>
          <w:sz w:val="20"/>
          <w:szCs w:val="20"/>
        </w:rPr>
        <w:t>The number of household in Northumberla</w:t>
      </w:r>
      <w:r w:rsidR="00FA6E02" w:rsidRPr="00FA6E02">
        <w:rPr>
          <w:sz w:val="20"/>
          <w:szCs w:val="20"/>
        </w:rPr>
        <w:t>nd is projected to rise from 140,000 in 2014</w:t>
      </w:r>
      <w:r w:rsidR="00433DFF" w:rsidRPr="00FA6E02">
        <w:rPr>
          <w:sz w:val="20"/>
          <w:szCs w:val="20"/>
        </w:rPr>
        <w:t xml:space="preserve"> to 1</w:t>
      </w:r>
      <w:r w:rsidR="00FA6E02" w:rsidRPr="00FA6E02">
        <w:rPr>
          <w:sz w:val="20"/>
          <w:szCs w:val="20"/>
        </w:rPr>
        <w:t>53,</w:t>
      </w:r>
      <w:r w:rsidR="00FA6E02" w:rsidRPr="00E84740">
        <w:rPr>
          <w:sz w:val="20"/>
          <w:szCs w:val="20"/>
        </w:rPr>
        <w:t>000 by 2039.</w:t>
      </w:r>
      <w:r w:rsidR="00433DFF" w:rsidRPr="00E84740">
        <w:rPr>
          <w:sz w:val="20"/>
          <w:szCs w:val="20"/>
        </w:rPr>
        <w:t xml:space="preserve"> This is an increase of </w:t>
      </w:r>
      <w:r w:rsidR="00E84740" w:rsidRPr="00E84740">
        <w:rPr>
          <w:sz w:val="20"/>
          <w:szCs w:val="20"/>
        </w:rPr>
        <w:t>8.9</w:t>
      </w:r>
      <w:r w:rsidR="00433DFF" w:rsidRPr="00E84740">
        <w:rPr>
          <w:sz w:val="20"/>
          <w:szCs w:val="20"/>
        </w:rPr>
        <w:t>% over the period and is lower than the p</w:t>
      </w:r>
      <w:r w:rsidR="00E84740" w:rsidRPr="00E84740">
        <w:rPr>
          <w:sz w:val="20"/>
          <w:szCs w:val="20"/>
        </w:rPr>
        <w:t>rojected percentage rise of 23.1</w:t>
      </w:r>
      <w:r w:rsidR="00433DFF" w:rsidRPr="00E84740">
        <w:rPr>
          <w:sz w:val="20"/>
          <w:szCs w:val="20"/>
        </w:rPr>
        <w:t>% for England</w:t>
      </w:r>
    </w:p>
    <w:p w:rsidR="00607537" w:rsidRPr="005459FF" w:rsidRDefault="008A5634" w:rsidP="00A65622">
      <w:pPr>
        <w:jc w:val="both"/>
      </w:pPr>
      <w:r w:rsidRPr="00E84740">
        <w:rPr>
          <w:sz w:val="20"/>
          <w:szCs w:val="20"/>
        </w:rPr>
        <w:t xml:space="preserve">The household projections are based on the projected household population rather than the total population. The difference between the two is the population in communal establishments, also termed the ‘institutional’ population. This population comprises all people not living in private households. These include people living in </w:t>
      </w:r>
      <w:r w:rsidRPr="005459FF">
        <w:rPr>
          <w:sz w:val="20"/>
          <w:szCs w:val="20"/>
        </w:rPr>
        <w:t>nursing homes, halls of residence, military barracks and prisons.</w:t>
      </w:r>
    </w:p>
    <w:tbl>
      <w:tblPr>
        <w:tblpPr w:leftFromText="180" w:rightFromText="180" w:vertAnchor="text" w:horzAnchor="margin" w:tblpXSpec="center" w:tblpY="17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345"/>
        <w:gridCol w:w="454"/>
        <w:gridCol w:w="454"/>
        <w:gridCol w:w="346"/>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3"/>
        <w:gridCol w:w="337"/>
      </w:tblGrid>
      <w:tr w:rsidR="00E84740" w:rsidRPr="00E84740" w:rsidTr="00FA6445">
        <w:trPr>
          <w:trHeight w:val="345"/>
        </w:trPr>
        <w:tc>
          <w:tcPr>
            <w:tcW w:w="9180" w:type="dxa"/>
            <w:gridSpan w:val="26"/>
            <w:shd w:val="clear" w:color="FFFFFF" w:fill="FFFFFF"/>
            <w:noWrap/>
            <w:vAlign w:val="center"/>
            <w:hideMark/>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b/>
                <w:bCs/>
                <w:sz w:val="20"/>
                <w:szCs w:val="20"/>
                <w:lang w:eastAsia="en-GB"/>
              </w:rPr>
              <w:t>Projected number of households in Northumberland (000’s)</w:t>
            </w:r>
          </w:p>
        </w:tc>
      </w:tr>
      <w:tr w:rsidR="00E84740" w:rsidRPr="00E84740" w:rsidTr="00FA6445">
        <w:trPr>
          <w:trHeight w:val="630"/>
        </w:trPr>
        <w:tc>
          <w:tcPr>
            <w:tcW w:w="346"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2014</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2015</w:t>
            </w:r>
          </w:p>
        </w:tc>
        <w:tc>
          <w:tcPr>
            <w:tcW w:w="454"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2016</w:t>
            </w:r>
          </w:p>
        </w:tc>
        <w:tc>
          <w:tcPr>
            <w:tcW w:w="454"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2017</w:t>
            </w:r>
          </w:p>
        </w:tc>
        <w:tc>
          <w:tcPr>
            <w:tcW w:w="346"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2018</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2019</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2020</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2021</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2022</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2023</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2024</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2025</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2026</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2027</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2028</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2029</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2030</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2031</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2032</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2033</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2034</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2035</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2036</w:t>
            </w:r>
          </w:p>
        </w:tc>
        <w:tc>
          <w:tcPr>
            <w:tcW w:w="345" w:type="dxa"/>
            <w:shd w:val="clear" w:color="auto" w:fill="EEECE1" w:themeFill="background2"/>
            <w:noWrap/>
            <w:textDirection w:val="btLr"/>
            <w:vAlign w:val="center"/>
            <w:hideMark/>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2037</w:t>
            </w:r>
          </w:p>
        </w:tc>
        <w:tc>
          <w:tcPr>
            <w:tcW w:w="343" w:type="dxa"/>
            <w:shd w:val="clear" w:color="auto" w:fill="EEECE1" w:themeFill="background2"/>
            <w:textDirection w:val="btLr"/>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2038</w:t>
            </w:r>
          </w:p>
        </w:tc>
        <w:tc>
          <w:tcPr>
            <w:tcW w:w="337" w:type="dxa"/>
            <w:shd w:val="clear" w:color="auto" w:fill="EEECE1" w:themeFill="background2"/>
            <w:textDirection w:val="btLr"/>
          </w:tcPr>
          <w:p w:rsidR="00E84740" w:rsidRPr="00E84740" w:rsidRDefault="00E84740" w:rsidP="00E84740">
            <w:pPr>
              <w:spacing w:after="0" w:line="240" w:lineRule="auto"/>
              <w:jc w:val="center"/>
              <w:rPr>
                <w:rFonts w:eastAsia="Times New Roman" w:cs="Times New Roman"/>
                <w:bCs/>
                <w:sz w:val="20"/>
                <w:szCs w:val="20"/>
                <w:lang w:eastAsia="en-GB"/>
              </w:rPr>
            </w:pPr>
            <w:r w:rsidRPr="00E84740">
              <w:rPr>
                <w:rFonts w:eastAsia="Times New Roman" w:cs="Times New Roman"/>
                <w:bCs/>
                <w:sz w:val="20"/>
                <w:szCs w:val="20"/>
                <w:lang w:eastAsia="en-GB"/>
              </w:rPr>
              <w:t>2039</w:t>
            </w:r>
          </w:p>
        </w:tc>
      </w:tr>
      <w:tr w:rsidR="00E84740" w:rsidRPr="00E84740" w:rsidTr="00FA6445">
        <w:trPr>
          <w:cantSplit/>
          <w:trHeight w:val="557"/>
        </w:trPr>
        <w:tc>
          <w:tcPr>
            <w:tcW w:w="346"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140</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141</w:t>
            </w:r>
          </w:p>
        </w:tc>
        <w:tc>
          <w:tcPr>
            <w:tcW w:w="454"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142</w:t>
            </w:r>
          </w:p>
        </w:tc>
        <w:tc>
          <w:tcPr>
            <w:tcW w:w="454"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142</w:t>
            </w:r>
          </w:p>
        </w:tc>
        <w:tc>
          <w:tcPr>
            <w:tcW w:w="346"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143</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144</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144</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145</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145</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146</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147</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147</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148</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148</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149</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149</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150</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150</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151</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151</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151</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152</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152</w:t>
            </w:r>
          </w:p>
        </w:tc>
        <w:tc>
          <w:tcPr>
            <w:tcW w:w="345" w:type="dxa"/>
            <w:shd w:val="clear" w:color="FFFFFF" w:fill="FFFFFF"/>
            <w:noWrap/>
            <w:textDirection w:val="btLr"/>
            <w:vAlign w:val="cente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152</w:t>
            </w:r>
          </w:p>
        </w:tc>
        <w:tc>
          <w:tcPr>
            <w:tcW w:w="343" w:type="dxa"/>
            <w:shd w:val="clear" w:color="FFFFFF" w:fill="FFFFFF"/>
            <w:textDirection w:val="btL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153</w:t>
            </w:r>
          </w:p>
        </w:tc>
        <w:tc>
          <w:tcPr>
            <w:tcW w:w="337" w:type="dxa"/>
            <w:shd w:val="clear" w:color="FFFFFF" w:fill="FFFFFF"/>
            <w:textDirection w:val="btLr"/>
          </w:tcPr>
          <w:p w:rsidR="00E84740" w:rsidRPr="00E84740" w:rsidRDefault="00E84740" w:rsidP="00E84740">
            <w:pPr>
              <w:spacing w:after="0" w:line="240" w:lineRule="auto"/>
              <w:jc w:val="center"/>
              <w:rPr>
                <w:rFonts w:eastAsia="Times New Roman" w:cs="Times New Roman"/>
                <w:sz w:val="20"/>
                <w:szCs w:val="20"/>
                <w:lang w:eastAsia="en-GB"/>
              </w:rPr>
            </w:pPr>
            <w:r w:rsidRPr="00E84740">
              <w:rPr>
                <w:rFonts w:eastAsia="Times New Roman" w:cs="Times New Roman"/>
                <w:sz w:val="20"/>
                <w:szCs w:val="20"/>
                <w:lang w:eastAsia="en-GB"/>
              </w:rPr>
              <w:t>153</w:t>
            </w:r>
          </w:p>
        </w:tc>
      </w:tr>
    </w:tbl>
    <w:p w:rsidR="0081244D" w:rsidRPr="00FA6E02" w:rsidRDefault="0081244D" w:rsidP="00607537">
      <w:pPr>
        <w:jc w:val="both"/>
        <w:rPr>
          <w:b/>
          <w:color w:val="FF0000"/>
        </w:rPr>
      </w:pPr>
    </w:p>
    <w:p w:rsidR="00433DFF" w:rsidRPr="00A5389B" w:rsidRDefault="00244261" w:rsidP="00607537">
      <w:pPr>
        <w:jc w:val="both"/>
        <w:rPr>
          <w:b/>
        </w:rPr>
      </w:pPr>
      <w:r>
        <w:rPr>
          <w:noProof/>
          <w:lang w:eastAsia="en-GB"/>
        </w:rPr>
        <w:drawing>
          <wp:anchor distT="0" distB="0" distL="114300" distR="114300" simplePos="0" relativeHeight="251670528" behindDoc="1" locked="0" layoutInCell="1" allowOverlap="1" wp14:anchorId="0E8BA1F8" wp14:editId="1DD16A28">
            <wp:simplePos x="0" y="0"/>
            <wp:positionH relativeFrom="column">
              <wp:posOffset>3025775</wp:posOffset>
            </wp:positionH>
            <wp:positionV relativeFrom="paragraph">
              <wp:posOffset>154940</wp:posOffset>
            </wp:positionV>
            <wp:extent cx="2999105" cy="1638300"/>
            <wp:effectExtent l="0" t="0" r="0" b="0"/>
            <wp:wrapSquare wrapText="bothSides"/>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E542C8" w:rsidRPr="00A5389B">
        <w:rPr>
          <w:rStyle w:val="FootnoteReference"/>
          <w:b/>
        </w:rPr>
        <w:footnoteReference w:id="2"/>
      </w:r>
      <w:r w:rsidR="00433DFF" w:rsidRPr="00A5389B">
        <w:rPr>
          <w:b/>
        </w:rPr>
        <w:t>Average household size</w:t>
      </w:r>
      <w:r w:rsidR="00607537" w:rsidRPr="00A5389B">
        <w:rPr>
          <w:noProof/>
          <w:lang w:eastAsia="en-GB"/>
        </w:rPr>
        <w:t xml:space="preserve"> </w:t>
      </w:r>
      <w:bookmarkStart w:id="0" w:name="_GoBack"/>
      <w:bookmarkEnd w:id="0"/>
    </w:p>
    <w:p w:rsidR="00433DFF" w:rsidRPr="00A5389B" w:rsidRDefault="00433DFF" w:rsidP="00607537">
      <w:pPr>
        <w:jc w:val="both"/>
        <w:rPr>
          <w:sz w:val="20"/>
          <w:szCs w:val="20"/>
        </w:rPr>
      </w:pPr>
      <w:r w:rsidRPr="00A5389B">
        <w:rPr>
          <w:sz w:val="20"/>
          <w:szCs w:val="20"/>
        </w:rPr>
        <w:t xml:space="preserve">The average household </w:t>
      </w:r>
      <w:r w:rsidR="002A4D77" w:rsidRPr="00A5389B">
        <w:rPr>
          <w:sz w:val="20"/>
          <w:szCs w:val="20"/>
        </w:rPr>
        <w:t>size in Northumberland in 201</w:t>
      </w:r>
      <w:r w:rsidR="00FA6445">
        <w:rPr>
          <w:sz w:val="20"/>
          <w:szCs w:val="20"/>
        </w:rPr>
        <w:t>4</w:t>
      </w:r>
      <w:r w:rsidR="00A5389B" w:rsidRPr="00A5389B">
        <w:rPr>
          <w:sz w:val="20"/>
          <w:szCs w:val="20"/>
        </w:rPr>
        <w:t xml:space="preserve"> was estimated to be 2.21</w:t>
      </w:r>
      <w:r w:rsidRPr="00A5389B">
        <w:rPr>
          <w:sz w:val="20"/>
          <w:szCs w:val="20"/>
        </w:rPr>
        <w:t xml:space="preserve"> persons. This s</w:t>
      </w:r>
      <w:r w:rsidR="00A5389B" w:rsidRPr="00A5389B">
        <w:rPr>
          <w:sz w:val="20"/>
          <w:szCs w:val="20"/>
        </w:rPr>
        <w:t>ize is projected to fall to 2.05 persons by 2039 which is a reduction of -7.2</w:t>
      </w:r>
      <w:r w:rsidRPr="00A5389B">
        <w:rPr>
          <w:sz w:val="20"/>
          <w:szCs w:val="20"/>
        </w:rPr>
        <w:t>%. In comparison the average h</w:t>
      </w:r>
      <w:r w:rsidR="00A5389B" w:rsidRPr="00A5389B">
        <w:rPr>
          <w:sz w:val="20"/>
          <w:szCs w:val="20"/>
        </w:rPr>
        <w:t>ousehold size in England in 2014 was estimated to be 2.35</w:t>
      </w:r>
      <w:r w:rsidRPr="00A5389B">
        <w:rPr>
          <w:sz w:val="20"/>
          <w:szCs w:val="20"/>
        </w:rPr>
        <w:t xml:space="preserve"> persons. This figure is also projected to fall to 2.21 persons, a </w:t>
      </w:r>
      <w:r w:rsidR="00A5389B" w:rsidRPr="00A5389B">
        <w:rPr>
          <w:sz w:val="20"/>
          <w:szCs w:val="20"/>
        </w:rPr>
        <w:t>lower percentage change (-6.0</w:t>
      </w:r>
      <w:r w:rsidR="006F4953" w:rsidRPr="00A5389B">
        <w:rPr>
          <w:sz w:val="20"/>
          <w:szCs w:val="20"/>
        </w:rPr>
        <w:t>%) than Northumberland</w:t>
      </w:r>
      <w:r w:rsidR="00607537" w:rsidRPr="00A5389B">
        <w:rPr>
          <w:sz w:val="20"/>
          <w:szCs w:val="20"/>
        </w:rPr>
        <w:t>.</w:t>
      </w:r>
      <w:r w:rsidR="006F4953" w:rsidRPr="00A5389B">
        <w:rPr>
          <w:sz w:val="20"/>
          <w:szCs w:val="20"/>
        </w:rPr>
        <w:t xml:space="preserve"> </w:t>
      </w:r>
    </w:p>
    <w:p w:rsidR="00607537" w:rsidRPr="00A5389B" w:rsidRDefault="002A4D77" w:rsidP="00607537">
      <w:pPr>
        <w:pStyle w:val="Heading2"/>
      </w:pPr>
      <w:r w:rsidRPr="00A5389B">
        <w:t>C</w:t>
      </w:r>
      <w:r w:rsidR="00607537" w:rsidRPr="00A5389B">
        <w:t xml:space="preserve">omparison with </w:t>
      </w:r>
      <w:r w:rsidR="00244261">
        <w:t>2011, 2012 and 2014</w:t>
      </w:r>
      <w:r w:rsidR="00607537" w:rsidRPr="00A5389B">
        <w:t xml:space="preserve"> </w:t>
      </w:r>
      <w:r w:rsidR="00720A9E" w:rsidRPr="00A5389B">
        <w:t xml:space="preserve">household </w:t>
      </w:r>
      <w:r w:rsidR="00607537" w:rsidRPr="00A5389B">
        <w:t>projections</w:t>
      </w:r>
      <w:r w:rsidR="00244261">
        <w:t xml:space="preserve">, and </w:t>
      </w:r>
      <w:r w:rsidR="00244261" w:rsidRPr="00A5389B">
        <w:t>2011 Interim</w:t>
      </w:r>
      <w:r w:rsidR="00244261">
        <w:t xml:space="preserve"> projections</w:t>
      </w:r>
    </w:p>
    <w:p w:rsidR="00720A9E" w:rsidRPr="00A5389B" w:rsidRDefault="00720A9E" w:rsidP="00720A9E">
      <w:pPr>
        <w:rPr>
          <w:sz w:val="20"/>
          <w:szCs w:val="20"/>
        </w:rPr>
      </w:pPr>
      <w:r w:rsidRPr="00A5389B">
        <w:rPr>
          <w:sz w:val="20"/>
          <w:szCs w:val="20"/>
        </w:rPr>
        <w:t xml:space="preserve">Each time ONS publish updated household projections, they are based on the most recent population projection figures available at the time. Because of this, </w:t>
      </w:r>
      <w:r w:rsidR="002A4D77" w:rsidRPr="00A5389B">
        <w:rPr>
          <w:sz w:val="20"/>
          <w:szCs w:val="20"/>
        </w:rPr>
        <w:t>comparisons between different years are</w:t>
      </w:r>
      <w:r w:rsidRPr="00A5389B">
        <w:rPr>
          <w:sz w:val="20"/>
          <w:szCs w:val="20"/>
        </w:rPr>
        <w:t xml:space="preserve"> difficult.</w:t>
      </w:r>
    </w:p>
    <w:tbl>
      <w:tblPr>
        <w:tblStyle w:val="TableGrid"/>
        <w:tblW w:w="0" w:type="auto"/>
        <w:jc w:val="center"/>
        <w:tblLook w:val="04A0" w:firstRow="1" w:lastRow="0" w:firstColumn="1" w:lastColumn="0" w:noHBand="0" w:noVBand="1"/>
      </w:tblPr>
      <w:tblGrid>
        <w:gridCol w:w="1322"/>
        <w:gridCol w:w="4865"/>
        <w:gridCol w:w="893"/>
        <w:gridCol w:w="1097"/>
      </w:tblGrid>
      <w:tr w:rsidR="00A5389B" w:rsidRPr="00A5389B" w:rsidTr="00041A91">
        <w:trPr>
          <w:trHeight w:val="408"/>
          <w:jc w:val="center"/>
        </w:trPr>
        <w:tc>
          <w:tcPr>
            <w:tcW w:w="1322" w:type="dxa"/>
            <w:vMerge w:val="restart"/>
            <w:shd w:val="clear" w:color="auto" w:fill="F2F2F2" w:themeFill="background1" w:themeFillShade="F2"/>
            <w:vAlign w:val="center"/>
          </w:tcPr>
          <w:p w:rsidR="00325408" w:rsidRPr="00A5389B" w:rsidRDefault="00325408" w:rsidP="002A4D77">
            <w:pPr>
              <w:jc w:val="center"/>
              <w:rPr>
                <w:b/>
                <w:sz w:val="20"/>
                <w:szCs w:val="20"/>
              </w:rPr>
            </w:pPr>
            <w:r w:rsidRPr="00A5389B">
              <w:rPr>
                <w:b/>
                <w:sz w:val="20"/>
                <w:szCs w:val="20"/>
              </w:rPr>
              <w:t>Projection</w:t>
            </w:r>
          </w:p>
        </w:tc>
        <w:tc>
          <w:tcPr>
            <w:tcW w:w="4865" w:type="dxa"/>
            <w:vMerge w:val="restart"/>
            <w:shd w:val="clear" w:color="auto" w:fill="F2F2F2" w:themeFill="background1" w:themeFillShade="F2"/>
            <w:vAlign w:val="center"/>
          </w:tcPr>
          <w:p w:rsidR="00325408" w:rsidRPr="00A5389B" w:rsidRDefault="00325408" w:rsidP="002A4D77">
            <w:pPr>
              <w:jc w:val="center"/>
              <w:rPr>
                <w:b/>
                <w:sz w:val="20"/>
                <w:szCs w:val="20"/>
              </w:rPr>
            </w:pPr>
            <w:r w:rsidRPr="00A5389B">
              <w:rPr>
                <w:b/>
                <w:sz w:val="20"/>
                <w:szCs w:val="20"/>
              </w:rPr>
              <w:t>Baseline figures</w:t>
            </w:r>
          </w:p>
        </w:tc>
        <w:tc>
          <w:tcPr>
            <w:tcW w:w="1990" w:type="dxa"/>
            <w:gridSpan w:val="2"/>
            <w:shd w:val="clear" w:color="auto" w:fill="F2F2F2" w:themeFill="background1" w:themeFillShade="F2"/>
            <w:vAlign w:val="center"/>
          </w:tcPr>
          <w:p w:rsidR="00325408" w:rsidRPr="00A5389B" w:rsidRDefault="00325408" w:rsidP="002A4D77">
            <w:pPr>
              <w:jc w:val="center"/>
              <w:rPr>
                <w:b/>
                <w:sz w:val="20"/>
                <w:szCs w:val="20"/>
              </w:rPr>
            </w:pPr>
            <w:r w:rsidRPr="00A5389B">
              <w:rPr>
                <w:b/>
                <w:sz w:val="20"/>
                <w:szCs w:val="20"/>
              </w:rPr>
              <w:t>Time period</w:t>
            </w:r>
          </w:p>
        </w:tc>
      </w:tr>
      <w:tr w:rsidR="00A5389B" w:rsidRPr="00A5389B" w:rsidTr="00041A91">
        <w:trPr>
          <w:jc w:val="center"/>
        </w:trPr>
        <w:tc>
          <w:tcPr>
            <w:tcW w:w="1322" w:type="dxa"/>
            <w:vMerge/>
            <w:shd w:val="clear" w:color="auto" w:fill="F2F2F2" w:themeFill="background1" w:themeFillShade="F2"/>
            <w:vAlign w:val="center"/>
          </w:tcPr>
          <w:p w:rsidR="00325408" w:rsidRPr="00A5389B" w:rsidRDefault="00325408" w:rsidP="002A4D77">
            <w:pPr>
              <w:jc w:val="center"/>
              <w:rPr>
                <w:b/>
                <w:sz w:val="20"/>
                <w:szCs w:val="20"/>
              </w:rPr>
            </w:pPr>
          </w:p>
        </w:tc>
        <w:tc>
          <w:tcPr>
            <w:tcW w:w="4865" w:type="dxa"/>
            <w:vMerge/>
            <w:shd w:val="clear" w:color="auto" w:fill="F2F2F2" w:themeFill="background1" w:themeFillShade="F2"/>
            <w:vAlign w:val="center"/>
          </w:tcPr>
          <w:p w:rsidR="00325408" w:rsidRPr="00A5389B" w:rsidRDefault="00325408" w:rsidP="002A4D77">
            <w:pPr>
              <w:jc w:val="center"/>
              <w:rPr>
                <w:b/>
                <w:sz w:val="20"/>
                <w:szCs w:val="20"/>
              </w:rPr>
            </w:pPr>
          </w:p>
        </w:tc>
        <w:tc>
          <w:tcPr>
            <w:tcW w:w="893" w:type="dxa"/>
            <w:shd w:val="clear" w:color="auto" w:fill="F2F2F2" w:themeFill="background1" w:themeFillShade="F2"/>
            <w:vAlign w:val="center"/>
          </w:tcPr>
          <w:p w:rsidR="00325408" w:rsidRPr="00A5389B" w:rsidRDefault="00325408" w:rsidP="002A4D77">
            <w:pPr>
              <w:jc w:val="center"/>
              <w:rPr>
                <w:b/>
                <w:sz w:val="20"/>
                <w:szCs w:val="20"/>
              </w:rPr>
            </w:pPr>
            <w:r w:rsidRPr="00A5389B">
              <w:rPr>
                <w:b/>
                <w:sz w:val="20"/>
                <w:szCs w:val="20"/>
              </w:rPr>
              <w:t>From</w:t>
            </w:r>
          </w:p>
        </w:tc>
        <w:tc>
          <w:tcPr>
            <w:tcW w:w="1097" w:type="dxa"/>
            <w:shd w:val="clear" w:color="auto" w:fill="F2F2F2" w:themeFill="background1" w:themeFillShade="F2"/>
            <w:vAlign w:val="center"/>
          </w:tcPr>
          <w:p w:rsidR="00325408" w:rsidRPr="00A5389B" w:rsidRDefault="00325408" w:rsidP="002A4D77">
            <w:pPr>
              <w:jc w:val="center"/>
              <w:rPr>
                <w:b/>
                <w:sz w:val="20"/>
                <w:szCs w:val="20"/>
              </w:rPr>
            </w:pPr>
            <w:r w:rsidRPr="00A5389B">
              <w:rPr>
                <w:b/>
                <w:sz w:val="20"/>
                <w:szCs w:val="20"/>
              </w:rPr>
              <w:t>To</w:t>
            </w:r>
          </w:p>
        </w:tc>
      </w:tr>
      <w:tr w:rsidR="00A5389B" w:rsidRPr="00A5389B" w:rsidTr="00325408">
        <w:trPr>
          <w:jc w:val="center"/>
        </w:trPr>
        <w:tc>
          <w:tcPr>
            <w:tcW w:w="1322" w:type="dxa"/>
          </w:tcPr>
          <w:p w:rsidR="00325408" w:rsidRPr="00A5389B" w:rsidRDefault="00325408" w:rsidP="00325408">
            <w:pPr>
              <w:jc w:val="center"/>
              <w:rPr>
                <w:sz w:val="20"/>
                <w:szCs w:val="20"/>
                <w:shd w:val="clear" w:color="auto" w:fill="FFFFFF"/>
              </w:rPr>
            </w:pPr>
            <w:r w:rsidRPr="00A5389B">
              <w:rPr>
                <w:sz w:val="20"/>
                <w:szCs w:val="20"/>
                <w:shd w:val="clear" w:color="auto" w:fill="FFFFFF"/>
              </w:rPr>
              <w:t>2008</w:t>
            </w:r>
          </w:p>
        </w:tc>
        <w:tc>
          <w:tcPr>
            <w:tcW w:w="4865" w:type="dxa"/>
          </w:tcPr>
          <w:p w:rsidR="00325408" w:rsidRPr="00A5389B" w:rsidRDefault="00325408" w:rsidP="00E542C8">
            <w:pPr>
              <w:rPr>
                <w:sz w:val="20"/>
                <w:szCs w:val="20"/>
                <w:shd w:val="clear" w:color="auto" w:fill="FFFFFF"/>
              </w:rPr>
            </w:pPr>
            <w:r w:rsidRPr="00A5389B">
              <w:rPr>
                <w:sz w:val="20"/>
                <w:szCs w:val="20"/>
                <w:shd w:val="clear" w:color="auto" w:fill="FFFFFF"/>
              </w:rPr>
              <w:t>2008 population projections</w:t>
            </w:r>
          </w:p>
        </w:tc>
        <w:tc>
          <w:tcPr>
            <w:tcW w:w="893" w:type="dxa"/>
          </w:tcPr>
          <w:p w:rsidR="00325408" w:rsidRPr="00A5389B" w:rsidRDefault="00325408" w:rsidP="00325408">
            <w:pPr>
              <w:jc w:val="center"/>
              <w:rPr>
                <w:sz w:val="20"/>
                <w:szCs w:val="20"/>
                <w:shd w:val="clear" w:color="auto" w:fill="FFFFFF"/>
              </w:rPr>
            </w:pPr>
            <w:r w:rsidRPr="00A5389B">
              <w:rPr>
                <w:sz w:val="20"/>
                <w:szCs w:val="20"/>
                <w:shd w:val="clear" w:color="auto" w:fill="FFFFFF"/>
              </w:rPr>
              <w:t>2008</w:t>
            </w:r>
          </w:p>
        </w:tc>
        <w:tc>
          <w:tcPr>
            <w:tcW w:w="1097" w:type="dxa"/>
          </w:tcPr>
          <w:p w:rsidR="00325408" w:rsidRPr="00A5389B" w:rsidRDefault="00325408" w:rsidP="00325408">
            <w:pPr>
              <w:jc w:val="center"/>
              <w:rPr>
                <w:sz w:val="20"/>
                <w:szCs w:val="20"/>
                <w:shd w:val="clear" w:color="auto" w:fill="FFFFFF"/>
              </w:rPr>
            </w:pPr>
            <w:r w:rsidRPr="00A5389B">
              <w:rPr>
                <w:sz w:val="20"/>
                <w:szCs w:val="20"/>
                <w:shd w:val="clear" w:color="auto" w:fill="FFFFFF"/>
              </w:rPr>
              <w:t>2033</w:t>
            </w:r>
          </w:p>
        </w:tc>
      </w:tr>
      <w:tr w:rsidR="00A5389B" w:rsidRPr="00A5389B" w:rsidTr="00325408">
        <w:trPr>
          <w:jc w:val="center"/>
        </w:trPr>
        <w:tc>
          <w:tcPr>
            <w:tcW w:w="1322" w:type="dxa"/>
          </w:tcPr>
          <w:p w:rsidR="00325408" w:rsidRPr="00A5389B" w:rsidRDefault="00325408" w:rsidP="00325408">
            <w:pPr>
              <w:jc w:val="center"/>
              <w:rPr>
                <w:sz w:val="20"/>
                <w:szCs w:val="20"/>
                <w:shd w:val="clear" w:color="auto" w:fill="FFFFFF"/>
              </w:rPr>
            </w:pPr>
            <w:r w:rsidRPr="00A5389B">
              <w:rPr>
                <w:sz w:val="20"/>
                <w:szCs w:val="20"/>
                <w:shd w:val="clear" w:color="auto" w:fill="FFFFFF"/>
              </w:rPr>
              <w:t>2011</w:t>
            </w:r>
          </w:p>
        </w:tc>
        <w:tc>
          <w:tcPr>
            <w:tcW w:w="4865" w:type="dxa"/>
          </w:tcPr>
          <w:p w:rsidR="00325408" w:rsidRPr="00A5389B" w:rsidRDefault="00325408" w:rsidP="00E542C8">
            <w:pPr>
              <w:rPr>
                <w:sz w:val="20"/>
                <w:szCs w:val="20"/>
                <w:shd w:val="clear" w:color="auto" w:fill="FFFFFF"/>
              </w:rPr>
            </w:pPr>
            <w:r w:rsidRPr="00A5389B">
              <w:rPr>
                <w:sz w:val="20"/>
                <w:szCs w:val="20"/>
                <w:shd w:val="clear" w:color="auto" w:fill="FFFFFF"/>
              </w:rPr>
              <w:t>2011 based sub-national population projections</w:t>
            </w:r>
          </w:p>
        </w:tc>
        <w:tc>
          <w:tcPr>
            <w:tcW w:w="893" w:type="dxa"/>
          </w:tcPr>
          <w:p w:rsidR="00325408" w:rsidRPr="00A5389B" w:rsidRDefault="00325408" w:rsidP="00325408">
            <w:pPr>
              <w:jc w:val="center"/>
              <w:rPr>
                <w:sz w:val="20"/>
                <w:szCs w:val="20"/>
                <w:shd w:val="clear" w:color="auto" w:fill="FFFFFF"/>
              </w:rPr>
            </w:pPr>
            <w:r w:rsidRPr="00A5389B">
              <w:rPr>
                <w:sz w:val="20"/>
                <w:szCs w:val="20"/>
                <w:shd w:val="clear" w:color="auto" w:fill="FFFFFF"/>
              </w:rPr>
              <w:t>2011</w:t>
            </w:r>
          </w:p>
        </w:tc>
        <w:tc>
          <w:tcPr>
            <w:tcW w:w="1097" w:type="dxa"/>
          </w:tcPr>
          <w:p w:rsidR="00325408" w:rsidRPr="00A5389B" w:rsidRDefault="00325408" w:rsidP="00325408">
            <w:pPr>
              <w:jc w:val="center"/>
              <w:rPr>
                <w:sz w:val="20"/>
                <w:szCs w:val="20"/>
                <w:shd w:val="clear" w:color="auto" w:fill="FFFFFF"/>
              </w:rPr>
            </w:pPr>
            <w:r w:rsidRPr="00A5389B">
              <w:rPr>
                <w:sz w:val="20"/>
                <w:szCs w:val="20"/>
                <w:shd w:val="clear" w:color="auto" w:fill="FFFFFF"/>
              </w:rPr>
              <w:t>2021</w:t>
            </w:r>
          </w:p>
        </w:tc>
      </w:tr>
      <w:tr w:rsidR="00A5389B" w:rsidRPr="00A5389B" w:rsidTr="00325408">
        <w:trPr>
          <w:jc w:val="center"/>
        </w:trPr>
        <w:tc>
          <w:tcPr>
            <w:tcW w:w="1322" w:type="dxa"/>
          </w:tcPr>
          <w:p w:rsidR="00325408" w:rsidRPr="00A5389B" w:rsidRDefault="00325408" w:rsidP="00325408">
            <w:pPr>
              <w:jc w:val="center"/>
              <w:rPr>
                <w:sz w:val="20"/>
                <w:szCs w:val="20"/>
                <w:shd w:val="clear" w:color="auto" w:fill="FFFFFF"/>
              </w:rPr>
            </w:pPr>
            <w:r w:rsidRPr="00A5389B">
              <w:rPr>
                <w:sz w:val="20"/>
                <w:szCs w:val="20"/>
                <w:shd w:val="clear" w:color="auto" w:fill="FFFFFF"/>
              </w:rPr>
              <w:t>2012</w:t>
            </w:r>
          </w:p>
        </w:tc>
        <w:tc>
          <w:tcPr>
            <w:tcW w:w="4865" w:type="dxa"/>
          </w:tcPr>
          <w:p w:rsidR="00325408" w:rsidRPr="00A5389B" w:rsidRDefault="00325408" w:rsidP="00E542C8">
            <w:pPr>
              <w:rPr>
                <w:sz w:val="20"/>
                <w:szCs w:val="20"/>
                <w:shd w:val="clear" w:color="auto" w:fill="FFFFFF"/>
              </w:rPr>
            </w:pPr>
            <w:r w:rsidRPr="00A5389B">
              <w:rPr>
                <w:sz w:val="20"/>
                <w:szCs w:val="20"/>
                <w:shd w:val="clear" w:color="auto" w:fill="FFFFFF"/>
              </w:rPr>
              <w:t>2012 based sub-national population projections</w:t>
            </w:r>
          </w:p>
        </w:tc>
        <w:tc>
          <w:tcPr>
            <w:tcW w:w="893" w:type="dxa"/>
          </w:tcPr>
          <w:p w:rsidR="00325408" w:rsidRPr="00A5389B" w:rsidRDefault="00325408" w:rsidP="00325408">
            <w:pPr>
              <w:jc w:val="center"/>
              <w:rPr>
                <w:sz w:val="20"/>
                <w:szCs w:val="20"/>
                <w:shd w:val="clear" w:color="auto" w:fill="FFFFFF"/>
              </w:rPr>
            </w:pPr>
            <w:r w:rsidRPr="00A5389B">
              <w:rPr>
                <w:sz w:val="20"/>
                <w:szCs w:val="20"/>
                <w:shd w:val="clear" w:color="auto" w:fill="FFFFFF"/>
              </w:rPr>
              <w:t>2012</w:t>
            </w:r>
          </w:p>
        </w:tc>
        <w:tc>
          <w:tcPr>
            <w:tcW w:w="1097" w:type="dxa"/>
          </w:tcPr>
          <w:p w:rsidR="00325408" w:rsidRPr="00A5389B" w:rsidRDefault="00325408" w:rsidP="00325408">
            <w:pPr>
              <w:jc w:val="center"/>
              <w:rPr>
                <w:sz w:val="20"/>
                <w:szCs w:val="20"/>
                <w:shd w:val="clear" w:color="auto" w:fill="FFFFFF"/>
              </w:rPr>
            </w:pPr>
            <w:r w:rsidRPr="00A5389B">
              <w:rPr>
                <w:sz w:val="20"/>
                <w:szCs w:val="20"/>
                <w:shd w:val="clear" w:color="auto" w:fill="FFFFFF"/>
              </w:rPr>
              <w:t>2037</w:t>
            </w:r>
          </w:p>
        </w:tc>
      </w:tr>
      <w:tr w:rsidR="00244261" w:rsidRPr="00A5389B" w:rsidTr="00325408">
        <w:trPr>
          <w:jc w:val="center"/>
        </w:trPr>
        <w:tc>
          <w:tcPr>
            <w:tcW w:w="1322" w:type="dxa"/>
          </w:tcPr>
          <w:p w:rsidR="00A5389B" w:rsidRPr="00A5389B" w:rsidRDefault="00A5389B" w:rsidP="00325408">
            <w:pPr>
              <w:jc w:val="center"/>
              <w:rPr>
                <w:sz w:val="20"/>
                <w:szCs w:val="20"/>
                <w:shd w:val="clear" w:color="auto" w:fill="FFFFFF"/>
              </w:rPr>
            </w:pPr>
            <w:r w:rsidRPr="00A5389B">
              <w:rPr>
                <w:sz w:val="20"/>
                <w:szCs w:val="20"/>
                <w:shd w:val="clear" w:color="auto" w:fill="FFFFFF"/>
              </w:rPr>
              <w:t>2014</w:t>
            </w:r>
          </w:p>
        </w:tc>
        <w:tc>
          <w:tcPr>
            <w:tcW w:w="4865" w:type="dxa"/>
          </w:tcPr>
          <w:p w:rsidR="00A5389B" w:rsidRPr="00A5389B" w:rsidRDefault="00A5389B" w:rsidP="00E542C8">
            <w:pPr>
              <w:rPr>
                <w:sz w:val="20"/>
                <w:szCs w:val="20"/>
                <w:shd w:val="clear" w:color="auto" w:fill="FFFFFF"/>
              </w:rPr>
            </w:pPr>
            <w:r w:rsidRPr="00A5389B">
              <w:rPr>
                <w:sz w:val="20"/>
                <w:szCs w:val="20"/>
                <w:shd w:val="clear" w:color="auto" w:fill="FFFFFF"/>
              </w:rPr>
              <w:t>2014</w:t>
            </w:r>
            <w:r w:rsidRPr="00A5389B">
              <w:rPr>
                <w:sz w:val="20"/>
                <w:szCs w:val="20"/>
                <w:shd w:val="clear" w:color="auto" w:fill="FFFFFF"/>
              </w:rPr>
              <w:t xml:space="preserve"> based sub-national population projections</w:t>
            </w:r>
          </w:p>
        </w:tc>
        <w:tc>
          <w:tcPr>
            <w:tcW w:w="893" w:type="dxa"/>
          </w:tcPr>
          <w:p w:rsidR="00A5389B" w:rsidRPr="00A5389B" w:rsidRDefault="00A5389B" w:rsidP="00325408">
            <w:pPr>
              <w:jc w:val="center"/>
              <w:rPr>
                <w:sz w:val="20"/>
                <w:szCs w:val="20"/>
                <w:shd w:val="clear" w:color="auto" w:fill="FFFFFF"/>
              </w:rPr>
            </w:pPr>
            <w:r w:rsidRPr="00A5389B">
              <w:rPr>
                <w:sz w:val="20"/>
                <w:szCs w:val="20"/>
                <w:shd w:val="clear" w:color="auto" w:fill="FFFFFF"/>
              </w:rPr>
              <w:t>2014</w:t>
            </w:r>
          </w:p>
        </w:tc>
        <w:tc>
          <w:tcPr>
            <w:tcW w:w="1097" w:type="dxa"/>
          </w:tcPr>
          <w:p w:rsidR="00A5389B" w:rsidRPr="00A5389B" w:rsidRDefault="00A5389B" w:rsidP="00325408">
            <w:pPr>
              <w:jc w:val="center"/>
              <w:rPr>
                <w:sz w:val="20"/>
                <w:szCs w:val="20"/>
                <w:shd w:val="clear" w:color="auto" w:fill="FFFFFF"/>
              </w:rPr>
            </w:pPr>
            <w:r w:rsidRPr="00A5389B">
              <w:rPr>
                <w:sz w:val="20"/>
                <w:szCs w:val="20"/>
                <w:shd w:val="clear" w:color="auto" w:fill="FFFFFF"/>
              </w:rPr>
              <w:t>2029</w:t>
            </w:r>
          </w:p>
        </w:tc>
      </w:tr>
    </w:tbl>
    <w:p w:rsidR="00325408" w:rsidRPr="00FA6E02" w:rsidRDefault="00325408" w:rsidP="00E542C8">
      <w:pPr>
        <w:spacing w:after="0" w:line="240" w:lineRule="auto"/>
        <w:rPr>
          <w:color w:val="FF0000"/>
        </w:rPr>
      </w:pPr>
    </w:p>
    <w:p w:rsidR="00E542C8" w:rsidRPr="00A5389B" w:rsidRDefault="0015493D" w:rsidP="00E542C8">
      <w:pPr>
        <w:spacing w:after="0" w:line="240" w:lineRule="auto"/>
        <w:rPr>
          <w:sz w:val="20"/>
          <w:szCs w:val="20"/>
        </w:rPr>
      </w:pPr>
      <w:r>
        <w:rPr>
          <w:sz w:val="20"/>
          <w:szCs w:val="20"/>
        </w:rPr>
        <w:t>2012</w:t>
      </w:r>
      <w:r w:rsidR="00607537" w:rsidRPr="00A5389B">
        <w:rPr>
          <w:sz w:val="20"/>
          <w:szCs w:val="20"/>
        </w:rPr>
        <w:t xml:space="preserve"> household pr</w:t>
      </w:r>
      <w:r>
        <w:rPr>
          <w:sz w:val="20"/>
          <w:szCs w:val="20"/>
        </w:rPr>
        <w:t>ojections estimated that by 2037 there would be 154</w:t>
      </w:r>
      <w:r w:rsidR="00607537" w:rsidRPr="00A5389B">
        <w:rPr>
          <w:sz w:val="20"/>
          <w:szCs w:val="20"/>
        </w:rPr>
        <w:t xml:space="preserve">,000 households. </w:t>
      </w:r>
      <w:r w:rsidR="00A5389B" w:rsidRPr="00A5389B">
        <w:rPr>
          <w:sz w:val="20"/>
          <w:szCs w:val="20"/>
        </w:rPr>
        <w:t>This compares to the latest 2014</w:t>
      </w:r>
      <w:r w:rsidR="00607537" w:rsidRPr="00A5389B">
        <w:rPr>
          <w:sz w:val="20"/>
          <w:szCs w:val="20"/>
        </w:rPr>
        <w:t xml:space="preserve"> projections whi</w:t>
      </w:r>
      <w:r w:rsidR="00A5389B" w:rsidRPr="00A5389B">
        <w:rPr>
          <w:sz w:val="20"/>
          <w:szCs w:val="20"/>
        </w:rPr>
        <w:t>ch estimate the figure to be 15</w:t>
      </w:r>
      <w:r>
        <w:rPr>
          <w:sz w:val="20"/>
          <w:szCs w:val="20"/>
        </w:rPr>
        <w:t>2</w:t>
      </w:r>
      <w:r w:rsidR="00607537" w:rsidRPr="00A5389B">
        <w:rPr>
          <w:sz w:val="20"/>
          <w:szCs w:val="20"/>
        </w:rPr>
        <w:t>,000</w:t>
      </w:r>
      <w:r>
        <w:rPr>
          <w:sz w:val="20"/>
          <w:szCs w:val="20"/>
        </w:rPr>
        <w:t xml:space="preserve">. 2011 data projected </w:t>
      </w:r>
      <w:r w:rsidR="00244261">
        <w:rPr>
          <w:sz w:val="20"/>
          <w:szCs w:val="20"/>
        </w:rPr>
        <w:t>forward, showed a figure of 158,000 by 2039</w:t>
      </w:r>
    </w:p>
    <w:p w:rsidR="00E542C8" w:rsidRPr="00FA6E02" w:rsidRDefault="0015493D" w:rsidP="00E542C8">
      <w:pPr>
        <w:spacing w:after="0" w:line="240" w:lineRule="auto"/>
        <w:rPr>
          <w:color w:val="FF0000"/>
        </w:rPr>
      </w:pPr>
      <w:r>
        <w:rPr>
          <w:noProof/>
          <w:lang w:eastAsia="en-GB"/>
        </w:rPr>
        <w:drawing>
          <wp:inline distT="0" distB="0" distL="0" distR="0" wp14:anchorId="02DC3B43" wp14:editId="55DA258C">
            <wp:extent cx="5876925" cy="28384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42C8" w:rsidRDefault="002D2603" w:rsidP="00E542C8">
      <w:pPr>
        <w:spacing w:after="0" w:line="240" w:lineRule="auto"/>
        <w:rPr>
          <w:sz w:val="20"/>
          <w:szCs w:val="20"/>
        </w:rPr>
      </w:pPr>
      <w:r w:rsidRPr="0015493D">
        <w:rPr>
          <w:sz w:val="20"/>
          <w:szCs w:val="20"/>
        </w:rPr>
        <w:t>This document will be updated when m</w:t>
      </w:r>
      <w:r w:rsidR="00D864E8" w:rsidRPr="0015493D">
        <w:rPr>
          <w:sz w:val="20"/>
          <w:szCs w:val="20"/>
        </w:rPr>
        <w:t xml:space="preserve">ore detailed data on household type, age of household representative, dependent children </w:t>
      </w:r>
      <w:r w:rsidR="002F29C3" w:rsidRPr="0015493D">
        <w:rPr>
          <w:sz w:val="20"/>
          <w:szCs w:val="20"/>
        </w:rPr>
        <w:t>etc.</w:t>
      </w:r>
      <w:r w:rsidR="00D864E8" w:rsidRPr="0015493D">
        <w:rPr>
          <w:sz w:val="20"/>
          <w:szCs w:val="20"/>
        </w:rPr>
        <w:t xml:space="preserve"> </w:t>
      </w:r>
      <w:r w:rsidRPr="0015493D">
        <w:rPr>
          <w:sz w:val="20"/>
          <w:szCs w:val="20"/>
        </w:rPr>
        <w:t>becomes available</w:t>
      </w:r>
    </w:p>
    <w:p w:rsidR="00362B4C" w:rsidRDefault="00362B4C" w:rsidP="00E542C8">
      <w:pPr>
        <w:spacing w:after="0" w:line="240" w:lineRule="auto"/>
        <w:rPr>
          <w:sz w:val="20"/>
          <w:szCs w:val="20"/>
        </w:rPr>
      </w:pPr>
    </w:p>
    <w:p w:rsidR="00362B4C" w:rsidRDefault="00362B4C" w:rsidP="00E542C8">
      <w:pPr>
        <w:spacing w:after="0" w:line="240" w:lineRule="auto"/>
        <w:rPr>
          <w:sz w:val="20"/>
          <w:szCs w:val="20"/>
        </w:rPr>
      </w:pPr>
    </w:p>
    <w:p w:rsidR="00362B4C" w:rsidRDefault="00362B4C" w:rsidP="00E542C8">
      <w:pPr>
        <w:spacing w:after="0" w:line="240" w:lineRule="auto"/>
        <w:rPr>
          <w:sz w:val="20"/>
          <w:szCs w:val="20"/>
        </w:rPr>
      </w:pPr>
      <w:r>
        <w:rPr>
          <w:sz w:val="20"/>
          <w:szCs w:val="20"/>
        </w:rPr>
        <w:t xml:space="preserve">Further information </w:t>
      </w:r>
      <w:r>
        <w:rPr>
          <w:sz w:val="20"/>
          <w:szCs w:val="20"/>
        </w:rPr>
        <w:tab/>
      </w:r>
      <w:hyperlink r:id="rId13" w:history="1">
        <w:r w:rsidRPr="00362B4C">
          <w:rPr>
            <w:rStyle w:val="Hyperlink"/>
            <w:sz w:val="20"/>
            <w:szCs w:val="20"/>
          </w:rPr>
          <w:t>ONS 2014 based Household projections – tables</w:t>
        </w:r>
      </w:hyperlink>
    </w:p>
    <w:p w:rsidR="00362B4C" w:rsidRPr="0015493D" w:rsidRDefault="00362B4C" w:rsidP="00362B4C">
      <w:pPr>
        <w:spacing w:after="0" w:line="240" w:lineRule="auto"/>
        <w:ind w:left="1440" w:firstLine="720"/>
        <w:rPr>
          <w:sz w:val="20"/>
          <w:szCs w:val="20"/>
        </w:rPr>
      </w:pPr>
      <w:hyperlink r:id="rId14" w:history="1">
        <w:r w:rsidRPr="00362B4C">
          <w:rPr>
            <w:rStyle w:val="Hyperlink"/>
            <w:sz w:val="20"/>
            <w:szCs w:val="20"/>
          </w:rPr>
          <w:t>ONS 2014 based household projections - methodology</w:t>
        </w:r>
      </w:hyperlink>
    </w:p>
    <w:p w:rsidR="008A5634" w:rsidRDefault="008A5634" w:rsidP="00E542C8">
      <w:pPr>
        <w:spacing w:after="0" w:line="240" w:lineRule="auto"/>
      </w:pPr>
    </w:p>
    <w:sectPr w:rsidR="008A5634" w:rsidSect="002C5C6B">
      <w:headerReference w:type="default" r:id="rId15"/>
      <w:footerReference w:type="default" r:id="rId16"/>
      <w:pgSz w:w="11906" w:h="16838"/>
      <w:pgMar w:top="964" w:right="1247" w:bottom="567" w:left="1247"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1A" w:rsidRDefault="0065591A" w:rsidP="00E542C8">
      <w:pPr>
        <w:spacing w:after="0" w:line="240" w:lineRule="auto"/>
      </w:pPr>
      <w:r>
        <w:separator/>
      </w:r>
    </w:p>
  </w:endnote>
  <w:endnote w:type="continuationSeparator" w:id="0">
    <w:p w:rsidR="0065591A" w:rsidRDefault="0065591A" w:rsidP="00E5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364104"/>
      <w:docPartObj>
        <w:docPartGallery w:val="Page Numbers (Bottom of Page)"/>
        <w:docPartUnique/>
      </w:docPartObj>
    </w:sdtPr>
    <w:sdtEndPr>
      <w:rPr>
        <w:noProof/>
      </w:rPr>
    </w:sdtEndPr>
    <w:sdtContent>
      <w:p w:rsidR="002C5C6B" w:rsidRDefault="002C5C6B">
        <w:pPr>
          <w:pStyle w:val="Footer"/>
          <w:jc w:val="right"/>
        </w:pPr>
        <w:r>
          <w:rPr>
            <w:noProof/>
            <w:lang w:eastAsia="en-GB"/>
          </w:rPr>
          <mc:AlternateContent>
            <mc:Choice Requires="wps">
              <w:drawing>
                <wp:anchor distT="0" distB="0" distL="114300" distR="114300" simplePos="0" relativeHeight="251658240" behindDoc="0" locked="0" layoutInCell="1" allowOverlap="1" wp14:anchorId="0F5D5204" wp14:editId="0A202505">
                  <wp:simplePos x="0" y="0"/>
                  <wp:positionH relativeFrom="column">
                    <wp:posOffset>81915</wp:posOffset>
                  </wp:positionH>
                  <wp:positionV relativeFrom="page">
                    <wp:posOffset>10248900</wp:posOffset>
                  </wp:positionV>
                  <wp:extent cx="5712460" cy="3238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C6B" w:rsidRPr="00D4581C" w:rsidRDefault="002C5C6B" w:rsidP="00D4581C">
                              <w:pPr>
                                <w:jc w:val="center"/>
                                <w:rPr>
                                  <w:b/>
                                  <w:color w:val="C00000"/>
                                </w:rPr>
                              </w:pPr>
                              <w:r>
                                <w:rPr>
                                  <w:b/>
                                  <w:color w:val="C00000"/>
                                </w:rPr>
                                <w:t xml:space="preserve">Web  </w:t>
                              </w:r>
                              <w:hyperlink r:id="rId1" w:history="1">
                                <w:r w:rsidRPr="00D4581C">
                                  <w:rPr>
                                    <w:rStyle w:val="Hyperlink"/>
                                    <w:b/>
                                    <w:color w:val="C00000"/>
                                  </w:rPr>
                                  <w:t>Knowledge.northumberland.gov.uk</w:t>
                                </w:r>
                              </w:hyperlink>
                              <w:r>
                                <w:rPr>
                                  <w:b/>
                                  <w:color w:val="C00000"/>
                                </w:rPr>
                                <w:t xml:space="preserve">        Email   </w:t>
                              </w:r>
                              <w:hyperlink r:id="rId2" w:history="1">
                                <w:r w:rsidRPr="00D4581C">
                                  <w:rPr>
                                    <w:rStyle w:val="Hyperlink"/>
                                    <w:b/>
                                    <w:color w:val="C00000"/>
                                  </w:rPr>
                                  <w:t>knowledge@northumberland.gov.uk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807pt;width:449.8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7JtQIAALk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" filled="f" stroked="f">
                  <v:textbox>
                    <w:txbxContent>
                      <w:p w:rsidR="002C5C6B" w:rsidRPr="00D4581C" w:rsidRDefault="002C5C6B" w:rsidP="00D4581C">
                        <w:pPr>
                          <w:jc w:val="center"/>
                          <w:rPr>
                            <w:b/>
                            <w:color w:val="C00000"/>
                          </w:rPr>
                        </w:pPr>
                        <w:r>
                          <w:rPr>
                            <w:b/>
                            <w:color w:val="C00000"/>
                          </w:rPr>
                          <w:t xml:space="preserve">Web  </w:t>
                        </w:r>
                        <w:hyperlink r:id="rId3" w:history="1">
                          <w:r w:rsidRPr="00D4581C">
                            <w:rPr>
                              <w:rStyle w:val="Hyperlink"/>
                              <w:b/>
                              <w:color w:val="C00000"/>
                            </w:rPr>
                            <w:t>Knowledge.north</w:t>
                          </w:r>
                          <w:r w:rsidRPr="00D4581C">
                            <w:rPr>
                              <w:rStyle w:val="Hyperlink"/>
                              <w:b/>
                              <w:color w:val="C00000"/>
                            </w:rPr>
                            <w:t>u</w:t>
                          </w:r>
                          <w:r w:rsidRPr="00D4581C">
                            <w:rPr>
                              <w:rStyle w:val="Hyperlink"/>
                              <w:b/>
                              <w:color w:val="C00000"/>
                            </w:rPr>
                            <w:t>mberland.gov.uk</w:t>
                          </w:r>
                        </w:hyperlink>
                        <w:r>
                          <w:rPr>
                            <w:b/>
                            <w:color w:val="C00000"/>
                          </w:rPr>
                          <w:t xml:space="preserve">        Email   </w:t>
                        </w:r>
                        <w:hyperlink r:id="rId4" w:history="1">
                          <w:r w:rsidRPr="00D4581C">
                            <w:rPr>
                              <w:rStyle w:val="Hyperlink"/>
                              <w:b/>
                              <w:color w:val="C00000"/>
                            </w:rPr>
                            <w:t>knowledge@northumberland.gov.uk</w:t>
                          </w:r>
                        </w:hyperlink>
                      </w:p>
                    </w:txbxContent>
                  </v:textbox>
                  <w10:wrap type="square" anchory="page"/>
                </v:shape>
              </w:pict>
            </mc:Fallback>
          </mc:AlternateContent>
        </w:r>
        <w:r>
          <w:fldChar w:fldCharType="begin"/>
        </w:r>
        <w:r>
          <w:instrText xml:space="preserve"> PAGE   \* MERGEFORMAT </w:instrText>
        </w:r>
        <w:r>
          <w:fldChar w:fldCharType="separate"/>
        </w:r>
        <w:r w:rsidR="00A54A81">
          <w:rPr>
            <w:noProof/>
          </w:rPr>
          <w:t>2</w:t>
        </w:r>
        <w:r>
          <w:rPr>
            <w:noProof/>
          </w:rPr>
          <w:fldChar w:fldCharType="end"/>
        </w:r>
      </w:p>
    </w:sdtContent>
  </w:sdt>
  <w:p w:rsidR="002C5C6B" w:rsidRDefault="002C5C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1A" w:rsidRDefault="0065591A" w:rsidP="00E542C8">
      <w:pPr>
        <w:spacing w:after="0" w:line="240" w:lineRule="auto"/>
      </w:pPr>
      <w:r>
        <w:separator/>
      </w:r>
    </w:p>
  </w:footnote>
  <w:footnote w:type="continuationSeparator" w:id="0">
    <w:p w:rsidR="0065591A" w:rsidRDefault="0065591A" w:rsidP="00E542C8">
      <w:pPr>
        <w:spacing w:after="0" w:line="240" w:lineRule="auto"/>
      </w:pPr>
      <w:r>
        <w:continuationSeparator/>
      </w:r>
    </w:p>
  </w:footnote>
  <w:footnote w:id="1">
    <w:p w:rsidR="00E542C8" w:rsidRPr="00E542C8" w:rsidRDefault="00E542C8" w:rsidP="00E542C8">
      <w:pPr>
        <w:pStyle w:val="Default"/>
        <w:rPr>
          <w:rFonts w:asciiTheme="minorHAnsi" w:hAnsiTheme="minorHAnsi"/>
          <w:i/>
          <w:sz w:val="20"/>
          <w:szCs w:val="20"/>
        </w:rPr>
      </w:pPr>
      <w:r>
        <w:rPr>
          <w:rStyle w:val="FootnoteReference"/>
        </w:rPr>
        <w:footnoteRef/>
      </w:r>
      <w:r w:rsidRPr="00E542C8">
        <w:rPr>
          <w:rFonts w:asciiTheme="minorHAnsi" w:hAnsiTheme="minorHAnsi"/>
          <w:b/>
          <w:bCs/>
          <w:i/>
          <w:sz w:val="20"/>
          <w:szCs w:val="20"/>
        </w:rPr>
        <w:t xml:space="preserve">Household – </w:t>
      </w:r>
      <w:r w:rsidRPr="00E542C8">
        <w:rPr>
          <w:rFonts w:asciiTheme="minorHAnsi" w:hAnsiTheme="minorHAnsi"/>
          <w:i/>
          <w:sz w:val="20"/>
          <w:szCs w:val="20"/>
        </w:rPr>
        <w:t xml:space="preserve">The definition of a household in the 2011 Census was: </w:t>
      </w:r>
    </w:p>
    <w:p w:rsidR="00E542C8" w:rsidRPr="00E542C8" w:rsidRDefault="00E542C8" w:rsidP="00E542C8">
      <w:pPr>
        <w:spacing w:after="0" w:line="240" w:lineRule="auto"/>
        <w:rPr>
          <w:i/>
          <w:sz w:val="20"/>
          <w:szCs w:val="20"/>
        </w:rPr>
      </w:pPr>
      <w:r w:rsidRPr="00E542C8">
        <w:rPr>
          <w:i/>
          <w:iCs/>
          <w:sz w:val="20"/>
          <w:szCs w:val="20"/>
        </w:rPr>
        <w:t>‘one person living alone; or a group of people (not necessarily related) living at the same address who share cooking facilities and share a living room or sitting room or dining area’.</w:t>
      </w:r>
    </w:p>
    <w:p w:rsidR="00E542C8" w:rsidRPr="00E542C8" w:rsidRDefault="00E542C8" w:rsidP="00E542C8">
      <w:pPr>
        <w:pStyle w:val="FootnoteText"/>
        <w:rPr>
          <w:i/>
        </w:rPr>
      </w:pPr>
    </w:p>
  </w:footnote>
  <w:footnote w:id="2">
    <w:p w:rsidR="00E542C8" w:rsidRPr="00E542C8" w:rsidRDefault="00E542C8" w:rsidP="00E542C8">
      <w:pPr>
        <w:spacing w:after="0" w:line="240" w:lineRule="auto"/>
        <w:rPr>
          <w:i/>
          <w:sz w:val="20"/>
          <w:szCs w:val="20"/>
        </w:rPr>
      </w:pPr>
      <w:r w:rsidRPr="00E542C8">
        <w:rPr>
          <w:rStyle w:val="FootnoteReference"/>
          <w:i/>
          <w:sz w:val="20"/>
          <w:szCs w:val="20"/>
        </w:rPr>
        <w:footnoteRef/>
      </w:r>
      <w:r w:rsidRPr="00E542C8">
        <w:rPr>
          <w:i/>
          <w:sz w:val="20"/>
          <w:szCs w:val="20"/>
        </w:rPr>
        <w:t xml:space="preserve"> </w:t>
      </w:r>
      <w:r w:rsidRPr="00E542C8">
        <w:rPr>
          <w:b/>
          <w:i/>
          <w:sz w:val="20"/>
          <w:szCs w:val="20"/>
        </w:rPr>
        <w:t>The average household size</w:t>
      </w:r>
      <w:r w:rsidRPr="00E542C8">
        <w:rPr>
          <w:i/>
          <w:sz w:val="20"/>
          <w:szCs w:val="20"/>
        </w:rPr>
        <w:t xml:space="preserve"> is the average number of people within a private household (including children). It is calculated by dividing the household population by the number of households for a given geography and/or age group. </w:t>
      </w:r>
    </w:p>
    <w:p w:rsidR="00E542C8" w:rsidRDefault="00E542C8" w:rsidP="00E542C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0A5" w:rsidRPr="008D50A5" w:rsidRDefault="008D50A5" w:rsidP="008D50A5">
    <w:pPr>
      <w:pStyle w:val="Header"/>
      <w:jc w:val="center"/>
      <w:rPr>
        <w:i/>
        <w:color w:val="808080" w:themeColor="background1" w:themeShade="80"/>
        <w:sz w:val="18"/>
        <w:szCs w:val="18"/>
      </w:rPr>
    </w:pPr>
    <w:r w:rsidRPr="008D50A5">
      <w:rPr>
        <w:i/>
        <w:color w:val="808080" w:themeColor="background1" w:themeShade="80"/>
        <w:sz w:val="18"/>
        <w:szCs w:val="18"/>
      </w:rPr>
      <w:t>ONS 201</w:t>
    </w:r>
    <w:r w:rsidR="00E20AA4">
      <w:rPr>
        <w:i/>
        <w:color w:val="808080" w:themeColor="background1" w:themeShade="80"/>
        <w:sz w:val="18"/>
        <w:szCs w:val="18"/>
      </w:rPr>
      <w:t>4</w:t>
    </w:r>
    <w:r w:rsidRPr="008D50A5">
      <w:rPr>
        <w:i/>
        <w:color w:val="808080" w:themeColor="background1" w:themeShade="80"/>
        <w:sz w:val="18"/>
        <w:szCs w:val="18"/>
      </w:rPr>
      <w:t xml:space="preserve"> Household </w:t>
    </w:r>
    <w:r w:rsidR="002F29C3" w:rsidRPr="008D50A5">
      <w:rPr>
        <w:i/>
        <w:color w:val="808080" w:themeColor="background1" w:themeShade="80"/>
        <w:sz w:val="18"/>
        <w:szCs w:val="18"/>
      </w:rPr>
      <w:t xml:space="preserve">Projections </w:t>
    </w:r>
    <w:r w:rsidR="00E20AA4">
      <w:rPr>
        <w:i/>
        <w:color w:val="808080" w:themeColor="background1" w:themeShade="80"/>
        <w:sz w:val="18"/>
        <w:szCs w:val="18"/>
      </w:rPr>
      <w:t>September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FF"/>
    <w:rsid w:val="00041A91"/>
    <w:rsid w:val="001176A2"/>
    <w:rsid w:val="00151CF2"/>
    <w:rsid w:val="0015493D"/>
    <w:rsid w:val="001E7336"/>
    <w:rsid w:val="00244261"/>
    <w:rsid w:val="002A4D77"/>
    <w:rsid w:val="002C5C6B"/>
    <w:rsid w:val="002D2603"/>
    <w:rsid w:val="002E52D0"/>
    <w:rsid w:val="002F29C3"/>
    <w:rsid w:val="002F2C25"/>
    <w:rsid w:val="00325408"/>
    <w:rsid w:val="00344B8C"/>
    <w:rsid w:val="00362B4C"/>
    <w:rsid w:val="003C1206"/>
    <w:rsid w:val="003F1756"/>
    <w:rsid w:val="003F2E58"/>
    <w:rsid w:val="00433DFF"/>
    <w:rsid w:val="004F1F64"/>
    <w:rsid w:val="00511084"/>
    <w:rsid w:val="00521034"/>
    <w:rsid w:val="005459FF"/>
    <w:rsid w:val="0055193F"/>
    <w:rsid w:val="0057709D"/>
    <w:rsid w:val="005D50C5"/>
    <w:rsid w:val="00607537"/>
    <w:rsid w:val="0065591A"/>
    <w:rsid w:val="006F149E"/>
    <w:rsid w:val="006F4953"/>
    <w:rsid w:val="00720A9E"/>
    <w:rsid w:val="0081244D"/>
    <w:rsid w:val="008A5634"/>
    <w:rsid w:val="008A6113"/>
    <w:rsid w:val="008C3714"/>
    <w:rsid w:val="008D50A5"/>
    <w:rsid w:val="009C21A1"/>
    <w:rsid w:val="00A5389B"/>
    <w:rsid w:val="00A54A81"/>
    <w:rsid w:val="00A65622"/>
    <w:rsid w:val="00AF52D5"/>
    <w:rsid w:val="00CD62A4"/>
    <w:rsid w:val="00D372C4"/>
    <w:rsid w:val="00D82171"/>
    <w:rsid w:val="00D864E8"/>
    <w:rsid w:val="00E20AA4"/>
    <w:rsid w:val="00E542C8"/>
    <w:rsid w:val="00E84740"/>
    <w:rsid w:val="00FA6445"/>
    <w:rsid w:val="00FA6E02"/>
    <w:rsid w:val="00FB4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2C8"/>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542C8"/>
    <w:pPr>
      <w:keepNext/>
      <w:keepLines/>
      <w:spacing w:before="200" w:after="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D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433DFF"/>
    <w:rPr>
      <w:color w:val="0000FF"/>
      <w:u w:val="single"/>
    </w:rPr>
  </w:style>
  <w:style w:type="paragraph" w:customStyle="1" w:styleId="Default">
    <w:name w:val="Default"/>
    <w:rsid w:val="006F495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54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2C8"/>
    <w:rPr>
      <w:sz w:val="20"/>
      <w:szCs w:val="20"/>
    </w:rPr>
  </w:style>
  <w:style w:type="character" w:styleId="FootnoteReference">
    <w:name w:val="footnote reference"/>
    <w:basedOn w:val="DefaultParagraphFont"/>
    <w:uiPriority w:val="99"/>
    <w:semiHidden/>
    <w:unhideWhenUsed/>
    <w:rsid w:val="00E542C8"/>
    <w:rPr>
      <w:vertAlign w:val="superscript"/>
    </w:rPr>
  </w:style>
  <w:style w:type="character" w:customStyle="1" w:styleId="Heading1Char">
    <w:name w:val="Heading 1 Char"/>
    <w:basedOn w:val="DefaultParagraphFont"/>
    <w:link w:val="Heading1"/>
    <w:uiPriority w:val="9"/>
    <w:rsid w:val="00E542C8"/>
    <w:rPr>
      <w:rFonts w:eastAsiaTheme="majorEastAsia" w:cstheme="majorBidi"/>
      <w:b/>
      <w:bCs/>
      <w:sz w:val="28"/>
      <w:szCs w:val="28"/>
    </w:rPr>
  </w:style>
  <w:style w:type="character" w:customStyle="1" w:styleId="Heading2Char">
    <w:name w:val="Heading 2 Char"/>
    <w:basedOn w:val="DefaultParagraphFont"/>
    <w:link w:val="Heading2"/>
    <w:uiPriority w:val="9"/>
    <w:rsid w:val="00E542C8"/>
    <w:rPr>
      <w:rFonts w:eastAsiaTheme="majorEastAsia" w:cstheme="majorBidi"/>
      <w:b/>
      <w:bCs/>
      <w:sz w:val="24"/>
      <w:szCs w:val="26"/>
    </w:rPr>
  </w:style>
  <w:style w:type="paragraph" w:styleId="BalloonText">
    <w:name w:val="Balloon Text"/>
    <w:basedOn w:val="Normal"/>
    <w:link w:val="BalloonTextChar"/>
    <w:uiPriority w:val="99"/>
    <w:semiHidden/>
    <w:unhideWhenUsed/>
    <w:rsid w:val="00511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084"/>
    <w:rPr>
      <w:rFonts w:ascii="Tahoma" w:hAnsi="Tahoma" w:cs="Tahoma"/>
      <w:sz w:val="16"/>
      <w:szCs w:val="16"/>
    </w:rPr>
  </w:style>
  <w:style w:type="paragraph" w:styleId="Header">
    <w:name w:val="header"/>
    <w:basedOn w:val="Normal"/>
    <w:link w:val="HeaderChar"/>
    <w:uiPriority w:val="99"/>
    <w:unhideWhenUsed/>
    <w:rsid w:val="00117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6A2"/>
  </w:style>
  <w:style w:type="paragraph" w:styleId="Footer">
    <w:name w:val="footer"/>
    <w:basedOn w:val="Normal"/>
    <w:link w:val="FooterChar"/>
    <w:uiPriority w:val="99"/>
    <w:unhideWhenUsed/>
    <w:rsid w:val="00117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6A2"/>
  </w:style>
  <w:style w:type="character" w:customStyle="1" w:styleId="apple-converted-space">
    <w:name w:val="apple-converted-space"/>
    <w:basedOn w:val="DefaultParagraphFont"/>
    <w:rsid w:val="002E52D0"/>
  </w:style>
  <w:style w:type="table" w:styleId="TableGrid">
    <w:name w:val="Table Grid"/>
    <w:basedOn w:val="TableNormal"/>
    <w:uiPriority w:val="59"/>
    <w:rsid w:val="002E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2C8"/>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542C8"/>
    <w:pPr>
      <w:keepNext/>
      <w:keepLines/>
      <w:spacing w:before="200" w:after="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D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433DFF"/>
    <w:rPr>
      <w:color w:val="0000FF"/>
      <w:u w:val="single"/>
    </w:rPr>
  </w:style>
  <w:style w:type="paragraph" w:customStyle="1" w:styleId="Default">
    <w:name w:val="Default"/>
    <w:rsid w:val="006F4953"/>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542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2C8"/>
    <w:rPr>
      <w:sz w:val="20"/>
      <w:szCs w:val="20"/>
    </w:rPr>
  </w:style>
  <w:style w:type="character" w:styleId="FootnoteReference">
    <w:name w:val="footnote reference"/>
    <w:basedOn w:val="DefaultParagraphFont"/>
    <w:uiPriority w:val="99"/>
    <w:semiHidden/>
    <w:unhideWhenUsed/>
    <w:rsid w:val="00E542C8"/>
    <w:rPr>
      <w:vertAlign w:val="superscript"/>
    </w:rPr>
  </w:style>
  <w:style w:type="character" w:customStyle="1" w:styleId="Heading1Char">
    <w:name w:val="Heading 1 Char"/>
    <w:basedOn w:val="DefaultParagraphFont"/>
    <w:link w:val="Heading1"/>
    <w:uiPriority w:val="9"/>
    <w:rsid w:val="00E542C8"/>
    <w:rPr>
      <w:rFonts w:eastAsiaTheme="majorEastAsia" w:cstheme="majorBidi"/>
      <w:b/>
      <w:bCs/>
      <w:sz w:val="28"/>
      <w:szCs w:val="28"/>
    </w:rPr>
  </w:style>
  <w:style w:type="character" w:customStyle="1" w:styleId="Heading2Char">
    <w:name w:val="Heading 2 Char"/>
    <w:basedOn w:val="DefaultParagraphFont"/>
    <w:link w:val="Heading2"/>
    <w:uiPriority w:val="9"/>
    <w:rsid w:val="00E542C8"/>
    <w:rPr>
      <w:rFonts w:eastAsiaTheme="majorEastAsia" w:cstheme="majorBidi"/>
      <w:b/>
      <w:bCs/>
      <w:sz w:val="24"/>
      <w:szCs w:val="26"/>
    </w:rPr>
  </w:style>
  <w:style w:type="paragraph" w:styleId="BalloonText">
    <w:name w:val="Balloon Text"/>
    <w:basedOn w:val="Normal"/>
    <w:link w:val="BalloonTextChar"/>
    <w:uiPriority w:val="99"/>
    <w:semiHidden/>
    <w:unhideWhenUsed/>
    <w:rsid w:val="00511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084"/>
    <w:rPr>
      <w:rFonts w:ascii="Tahoma" w:hAnsi="Tahoma" w:cs="Tahoma"/>
      <w:sz w:val="16"/>
      <w:szCs w:val="16"/>
    </w:rPr>
  </w:style>
  <w:style w:type="paragraph" w:styleId="Header">
    <w:name w:val="header"/>
    <w:basedOn w:val="Normal"/>
    <w:link w:val="HeaderChar"/>
    <w:uiPriority w:val="99"/>
    <w:unhideWhenUsed/>
    <w:rsid w:val="00117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6A2"/>
  </w:style>
  <w:style w:type="paragraph" w:styleId="Footer">
    <w:name w:val="footer"/>
    <w:basedOn w:val="Normal"/>
    <w:link w:val="FooterChar"/>
    <w:uiPriority w:val="99"/>
    <w:unhideWhenUsed/>
    <w:rsid w:val="00117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6A2"/>
  </w:style>
  <w:style w:type="character" w:customStyle="1" w:styleId="apple-converted-space">
    <w:name w:val="apple-converted-space"/>
    <w:basedOn w:val="DefaultParagraphFont"/>
    <w:rsid w:val="002E52D0"/>
  </w:style>
  <w:style w:type="table" w:styleId="TableGrid">
    <w:name w:val="Table Grid"/>
    <w:basedOn w:val="TableNormal"/>
    <w:uiPriority w:val="59"/>
    <w:rsid w:val="002E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34335">
      <w:bodyDiv w:val="1"/>
      <w:marLeft w:val="0"/>
      <w:marRight w:val="0"/>
      <w:marTop w:val="0"/>
      <w:marBottom w:val="0"/>
      <w:divBdr>
        <w:top w:val="none" w:sz="0" w:space="0" w:color="auto"/>
        <w:left w:val="none" w:sz="0" w:space="0" w:color="auto"/>
        <w:bottom w:val="none" w:sz="0" w:space="0" w:color="auto"/>
        <w:right w:val="none" w:sz="0" w:space="0" w:color="auto"/>
      </w:divBdr>
      <w:divsChild>
        <w:div w:id="944114900">
          <w:marLeft w:val="0"/>
          <w:marRight w:val="0"/>
          <w:marTop w:val="0"/>
          <w:marBottom w:val="0"/>
          <w:divBdr>
            <w:top w:val="none" w:sz="0" w:space="0" w:color="auto"/>
            <w:left w:val="none" w:sz="0" w:space="0" w:color="auto"/>
            <w:bottom w:val="none" w:sz="0" w:space="0" w:color="auto"/>
            <w:right w:val="none" w:sz="0" w:space="0" w:color="auto"/>
          </w:divBdr>
          <w:divsChild>
            <w:div w:id="126826067">
              <w:marLeft w:val="0"/>
              <w:marRight w:val="0"/>
              <w:marTop w:val="0"/>
              <w:marBottom w:val="0"/>
              <w:divBdr>
                <w:top w:val="none" w:sz="0" w:space="0" w:color="auto"/>
                <w:left w:val="none" w:sz="0" w:space="0" w:color="auto"/>
                <w:bottom w:val="none" w:sz="0" w:space="0" w:color="auto"/>
                <w:right w:val="none" w:sz="0" w:space="0" w:color="auto"/>
              </w:divBdr>
              <w:divsChild>
                <w:div w:id="1768041902">
                  <w:marLeft w:val="0"/>
                  <w:marRight w:val="0"/>
                  <w:marTop w:val="0"/>
                  <w:marBottom w:val="0"/>
                  <w:divBdr>
                    <w:top w:val="none" w:sz="0" w:space="0" w:color="auto"/>
                    <w:left w:val="none" w:sz="0" w:space="0" w:color="auto"/>
                    <w:bottom w:val="none" w:sz="0" w:space="0" w:color="auto"/>
                    <w:right w:val="none" w:sz="0" w:space="0" w:color="auto"/>
                  </w:divBdr>
                  <w:divsChild>
                    <w:div w:id="1763527891">
                      <w:marLeft w:val="0"/>
                      <w:marRight w:val="0"/>
                      <w:marTop w:val="0"/>
                      <w:marBottom w:val="0"/>
                      <w:divBdr>
                        <w:top w:val="none" w:sz="0" w:space="0" w:color="auto"/>
                        <w:left w:val="none" w:sz="0" w:space="0" w:color="auto"/>
                        <w:bottom w:val="none" w:sz="0" w:space="0" w:color="auto"/>
                        <w:right w:val="none" w:sz="0" w:space="0" w:color="auto"/>
                      </w:divBdr>
                      <w:divsChild>
                        <w:div w:id="2086678481">
                          <w:marLeft w:val="0"/>
                          <w:marRight w:val="0"/>
                          <w:marTop w:val="0"/>
                          <w:marBottom w:val="0"/>
                          <w:divBdr>
                            <w:top w:val="none" w:sz="0" w:space="0" w:color="auto"/>
                            <w:left w:val="none" w:sz="0" w:space="0" w:color="auto"/>
                            <w:bottom w:val="none" w:sz="0" w:space="0" w:color="auto"/>
                            <w:right w:val="none" w:sz="0" w:space="0" w:color="auto"/>
                          </w:divBdr>
                          <w:divsChild>
                            <w:div w:id="2892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6843">
      <w:bodyDiv w:val="1"/>
      <w:marLeft w:val="0"/>
      <w:marRight w:val="0"/>
      <w:marTop w:val="0"/>
      <w:marBottom w:val="0"/>
      <w:divBdr>
        <w:top w:val="none" w:sz="0" w:space="0" w:color="auto"/>
        <w:left w:val="none" w:sz="0" w:space="0" w:color="auto"/>
        <w:bottom w:val="none" w:sz="0" w:space="0" w:color="auto"/>
        <w:right w:val="none" w:sz="0" w:space="0" w:color="auto"/>
      </w:divBdr>
    </w:div>
    <w:div w:id="1732195302">
      <w:bodyDiv w:val="1"/>
      <w:marLeft w:val="0"/>
      <w:marRight w:val="0"/>
      <w:marTop w:val="0"/>
      <w:marBottom w:val="0"/>
      <w:divBdr>
        <w:top w:val="none" w:sz="0" w:space="0" w:color="auto"/>
        <w:left w:val="none" w:sz="0" w:space="0" w:color="auto"/>
        <w:bottom w:val="none" w:sz="0" w:space="0" w:color="auto"/>
        <w:right w:val="none" w:sz="0" w:space="0" w:color="auto"/>
      </w:divBdr>
      <w:divsChild>
        <w:div w:id="1589001803">
          <w:marLeft w:val="0"/>
          <w:marRight w:val="0"/>
          <w:marTop w:val="0"/>
          <w:marBottom w:val="0"/>
          <w:divBdr>
            <w:top w:val="none" w:sz="0" w:space="0" w:color="auto"/>
            <w:left w:val="none" w:sz="0" w:space="0" w:color="auto"/>
            <w:bottom w:val="none" w:sz="0" w:space="0" w:color="auto"/>
            <w:right w:val="none" w:sz="0" w:space="0" w:color="auto"/>
          </w:divBdr>
          <w:divsChild>
            <w:div w:id="1371415377">
              <w:marLeft w:val="0"/>
              <w:marRight w:val="0"/>
              <w:marTop w:val="0"/>
              <w:marBottom w:val="0"/>
              <w:divBdr>
                <w:top w:val="none" w:sz="0" w:space="0" w:color="auto"/>
                <w:left w:val="none" w:sz="0" w:space="0" w:color="auto"/>
                <w:bottom w:val="none" w:sz="0" w:space="0" w:color="auto"/>
                <w:right w:val="none" w:sz="0" w:space="0" w:color="auto"/>
              </w:divBdr>
              <w:divsChild>
                <w:div w:id="1642734306">
                  <w:marLeft w:val="0"/>
                  <w:marRight w:val="0"/>
                  <w:marTop w:val="0"/>
                  <w:marBottom w:val="0"/>
                  <w:divBdr>
                    <w:top w:val="none" w:sz="0" w:space="0" w:color="auto"/>
                    <w:left w:val="none" w:sz="0" w:space="0" w:color="auto"/>
                    <w:bottom w:val="none" w:sz="0" w:space="0" w:color="auto"/>
                    <w:right w:val="none" w:sz="0" w:space="0" w:color="auto"/>
                  </w:divBdr>
                  <w:divsChild>
                    <w:div w:id="1199507586">
                      <w:marLeft w:val="0"/>
                      <w:marRight w:val="0"/>
                      <w:marTop w:val="0"/>
                      <w:marBottom w:val="0"/>
                      <w:divBdr>
                        <w:top w:val="none" w:sz="0" w:space="0" w:color="auto"/>
                        <w:left w:val="none" w:sz="0" w:space="0" w:color="auto"/>
                        <w:bottom w:val="none" w:sz="0" w:space="0" w:color="auto"/>
                        <w:right w:val="none" w:sz="0" w:space="0" w:color="auto"/>
                      </w:divBdr>
                      <w:divsChild>
                        <w:div w:id="604458051">
                          <w:marLeft w:val="0"/>
                          <w:marRight w:val="0"/>
                          <w:marTop w:val="0"/>
                          <w:marBottom w:val="0"/>
                          <w:divBdr>
                            <w:top w:val="none" w:sz="0" w:space="0" w:color="auto"/>
                            <w:left w:val="none" w:sz="0" w:space="0" w:color="auto"/>
                            <w:bottom w:val="none" w:sz="0" w:space="0" w:color="auto"/>
                            <w:right w:val="none" w:sz="0" w:space="0" w:color="auto"/>
                          </w:divBdr>
                          <w:divsChild>
                            <w:div w:id="20852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5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overnment/statistics/2014-based-household-projections-in-england-2014-to-203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gov.uk/government/statistics/2014-based-household-projections-methodolog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orthumberland.gov.uk/default.aspx?page=15711" TargetMode="External"/><Relationship Id="rId2" Type="http://schemas.openxmlformats.org/officeDocument/2006/relationships/hyperlink" Target="mailto:knowledge@northumberland.gov.uk" TargetMode="External"/><Relationship Id="rId1" Type="http://schemas.openxmlformats.org/officeDocument/2006/relationships/hyperlink" Target="http://www.northumberland.gov.uk/default.aspx?page=15711" TargetMode="External"/><Relationship Id="rId4" Type="http://schemas.openxmlformats.org/officeDocument/2006/relationships/hyperlink" Target="mailto:knowledge@northumberland.gov.u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Population change</a:t>
            </a:r>
          </a:p>
        </c:rich>
      </c:tx>
      <c:layout>
        <c:manualLayout>
          <c:xMode val="edge"/>
          <c:yMode val="edge"/>
          <c:x val="0.29913188976377952"/>
          <c:y val="0"/>
        </c:manualLayout>
      </c:layout>
      <c:overlay val="1"/>
    </c:title>
    <c:autoTitleDeleted val="0"/>
    <c:plotArea>
      <c:layout>
        <c:manualLayout>
          <c:layoutTarget val="inner"/>
          <c:xMode val="edge"/>
          <c:yMode val="edge"/>
          <c:x val="0.16690438366256849"/>
          <c:y val="0.11158573928258968"/>
          <c:w val="0.652895772896809"/>
          <c:h val="0.61552185238208856"/>
        </c:manualLayout>
      </c:layout>
      <c:lineChart>
        <c:grouping val="standard"/>
        <c:varyColors val="0"/>
        <c:ser>
          <c:idx val="2"/>
          <c:order val="1"/>
          <c:tx>
            <c:strRef>
              <c:f>'2014'!$A$72</c:f>
              <c:strCache>
                <c:ptCount val="1"/>
                <c:pt idx="0">
                  <c:v>Northumberland</c:v>
                </c:pt>
              </c:strCache>
            </c:strRef>
          </c:tx>
          <c:spPr>
            <a:ln>
              <a:solidFill>
                <a:schemeClr val="bg1">
                  <a:lumMod val="50000"/>
                </a:schemeClr>
              </a:solidFill>
            </a:ln>
          </c:spPr>
          <c:marker>
            <c:symbol val="none"/>
          </c:marker>
          <c:cat>
            <c:numRef>
              <c:f>'2014'!$B$70:$AA$70</c:f>
              <c:numCache>
                <c:formatCode>General</c:formatCode>
                <c:ptCount val="2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pt idx="17">
                  <c:v>2031</c:v>
                </c:pt>
                <c:pt idx="18">
                  <c:v>2032</c:v>
                </c:pt>
                <c:pt idx="19">
                  <c:v>2033</c:v>
                </c:pt>
                <c:pt idx="20">
                  <c:v>2034</c:v>
                </c:pt>
                <c:pt idx="21">
                  <c:v>2035</c:v>
                </c:pt>
                <c:pt idx="22">
                  <c:v>2036</c:v>
                </c:pt>
                <c:pt idx="23">
                  <c:v>2037</c:v>
                </c:pt>
                <c:pt idx="24">
                  <c:v>2038</c:v>
                </c:pt>
                <c:pt idx="25">
                  <c:v>2039</c:v>
                </c:pt>
              </c:numCache>
            </c:numRef>
          </c:cat>
          <c:val>
            <c:numRef>
              <c:f>'2014'!$B$72:$AA$72</c:f>
              <c:numCache>
                <c:formatCode>#,##0</c:formatCode>
                <c:ptCount val="26"/>
                <c:pt idx="0">
                  <c:v>310.43900000000002</c:v>
                </c:pt>
                <c:pt idx="1">
                  <c:v>310.43099999999998</c:v>
                </c:pt>
                <c:pt idx="2">
                  <c:v>310.65600000000001</c:v>
                </c:pt>
                <c:pt idx="3">
                  <c:v>310.93299999999999</c:v>
                </c:pt>
                <c:pt idx="4">
                  <c:v>311.23700000000002</c:v>
                </c:pt>
                <c:pt idx="5">
                  <c:v>311.59500000000003</c:v>
                </c:pt>
                <c:pt idx="6">
                  <c:v>311.971</c:v>
                </c:pt>
                <c:pt idx="7">
                  <c:v>312.351</c:v>
                </c:pt>
                <c:pt idx="8">
                  <c:v>312.702</c:v>
                </c:pt>
                <c:pt idx="9">
                  <c:v>313.00400000000002</c:v>
                </c:pt>
                <c:pt idx="10">
                  <c:v>313.27800000000002</c:v>
                </c:pt>
                <c:pt idx="11">
                  <c:v>313.50799999999998</c:v>
                </c:pt>
                <c:pt idx="12">
                  <c:v>313.74900000000002</c:v>
                </c:pt>
                <c:pt idx="13">
                  <c:v>313.89699999999999</c:v>
                </c:pt>
                <c:pt idx="14">
                  <c:v>314.01</c:v>
                </c:pt>
                <c:pt idx="15">
                  <c:v>314.08</c:v>
                </c:pt>
                <c:pt idx="16">
                  <c:v>314.113</c:v>
                </c:pt>
                <c:pt idx="17">
                  <c:v>314.11</c:v>
                </c:pt>
                <c:pt idx="18">
                  <c:v>314.02699999999999</c:v>
                </c:pt>
                <c:pt idx="19">
                  <c:v>313.95400000000001</c:v>
                </c:pt>
                <c:pt idx="20">
                  <c:v>313.89400000000001</c:v>
                </c:pt>
                <c:pt idx="21">
                  <c:v>313.80500000000001</c:v>
                </c:pt>
                <c:pt idx="22">
                  <c:v>313.68400000000003</c:v>
                </c:pt>
                <c:pt idx="23">
                  <c:v>313.54399999999998</c:v>
                </c:pt>
                <c:pt idx="24">
                  <c:v>313.38099999999997</c:v>
                </c:pt>
                <c:pt idx="25">
                  <c:v>313.197</c:v>
                </c:pt>
              </c:numCache>
            </c:numRef>
          </c:val>
          <c:smooth val="0"/>
        </c:ser>
        <c:dLbls>
          <c:showLegendKey val="0"/>
          <c:showVal val="0"/>
          <c:showCatName val="0"/>
          <c:showSerName val="0"/>
          <c:showPercent val="0"/>
          <c:showBubbleSize val="0"/>
        </c:dLbls>
        <c:marker val="1"/>
        <c:smooth val="0"/>
        <c:axId val="159278592"/>
        <c:axId val="159280128"/>
      </c:lineChart>
      <c:lineChart>
        <c:grouping val="standard"/>
        <c:varyColors val="0"/>
        <c:ser>
          <c:idx val="1"/>
          <c:order val="0"/>
          <c:tx>
            <c:strRef>
              <c:f>'2014'!$A$71</c:f>
              <c:strCache>
                <c:ptCount val="1"/>
                <c:pt idx="0">
                  <c:v>ENGLAND</c:v>
                </c:pt>
              </c:strCache>
            </c:strRef>
          </c:tx>
          <c:marker>
            <c:symbol val="none"/>
          </c:marker>
          <c:cat>
            <c:numRef>
              <c:f>'2014'!$B$70:$AA$70</c:f>
              <c:numCache>
                <c:formatCode>General</c:formatCode>
                <c:ptCount val="2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pt idx="17">
                  <c:v>2031</c:v>
                </c:pt>
                <c:pt idx="18">
                  <c:v>2032</c:v>
                </c:pt>
                <c:pt idx="19">
                  <c:v>2033</c:v>
                </c:pt>
                <c:pt idx="20">
                  <c:v>2034</c:v>
                </c:pt>
                <c:pt idx="21">
                  <c:v>2035</c:v>
                </c:pt>
                <c:pt idx="22">
                  <c:v>2036</c:v>
                </c:pt>
                <c:pt idx="23">
                  <c:v>2037</c:v>
                </c:pt>
                <c:pt idx="24">
                  <c:v>2038</c:v>
                </c:pt>
                <c:pt idx="25">
                  <c:v>2039</c:v>
                </c:pt>
              </c:numCache>
            </c:numRef>
          </c:cat>
          <c:val>
            <c:numRef>
              <c:f>'2014'!$B$71:$AA$71</c:f>
              <c:numCache>
                <c:formatCode>#,##0</c:formatCode>
                <c:ptCount val="26"/>
                <c:pt idx="0">
                  <c:v>53351.232000000004</c:v>
                </c:pt>
                <c:pt idx="1">
                  <c:v>53812.425999999999</c:v>
                </c:pt>
                <c:pt idx="2">
                  <c:v>54246.947</c:v>
                </c:pt>
                <c:pt idx="3">
                  <c:v>54663.667999999998</c:v>
                </c:pt>
                <c:pt idx="4">
                  <c:v>55079.061999999998</c:v>
                </c:pt>
                <c:pt idx="5">
                  <c:v>55477.478000000003</c:v>
                </c:pt>
                <c:pt idx="6">
                  <c:v>55866.351999999999</c:v>
                </c:pt>
                <c:pt idx="7">
                  <c:v>56245.031999999999</c:v>
                </c:pt>
                <c:pt idx="8">
                  <c:v>56619.353999999999</c:v>
                </c:pt>
                <c:pt idx="9">
                  <c:v>56991.142</c:v>
                </c:pt>
                <c:pt idx="10">
                  <c:v>57358.724999999999</c:v>
                </c:pt>
                <c:pt idx="11">
                  <c:v>57721.17</c:v>
                </c:pt>
                <c:pt idx="12">
                  <c:v>58077.593999999997</c:v>
                </c:pt>
                <c:pt idx="13">
                  <c:v>58422.105000000003</c:v>
                </c:pt>
                <c:pt idx="14">
                  <c:v>58758.084000000003</c:v>
                </c:pt>
                <c:pt idx="15">
                  <c:v>59086.144999999997</c:v>
                </c:pt>
                <c:pt idx="16">
                  <c:v>59407.845000000001</c:v>
                </c:pt>
                <c:pt idx="17">
                  <c:v>59722.19</c:v>
                </c:pt>
                <c:pt idx="18">
                  <c:v>60022.008999999998</c:v>
                </c:pt>
                <c:pt idx="19">
                  <c:v>60318.752</c:v>
                </c:pt>
                <c:pt idx="20">
                  <c:v>60612.377999999997</c:v>
                </c:pt>
                <c:pt idx="21">
                  <c:v>60902.428999999996</c:v>
                </c:pt>
                <c:pt idx="22">
                  <c:v>61188.815999999999</c:v>
                </c:pt>
                <c:pt idx="23">
                  <c:v>61471.631999999998</c:v>
                </c:pt>
                <c:pt idx="24">
                  <c:v>61750.58</c:v>
                </c:pt>
                <c:pt idx="25">
                  <c:v>62026.7</c:v>
                </c:pt>
              </c:numCache>
            </c:numRef>
          </c:val>
          <c:smooth val="0"/>
        </c:ser>
        <c:dLbls>
          <c:showLegendKey val="0"/>
          <c:showVal val="0"/>
          <c:showCatName val="0"/>
          <c:showSerName val="0"/>
          <c:showPercent val="0"/>
          <c:showBubbleSize val="0"/>
        </c:dLbls>
        <c:marker val="1"/>
        <c:smooth val="0"/>
        <c:axId val="159611136"/>
        <c:axId val="159609216"/>
      </c:lineChart>
      <c:catAx>
        <c:axId val="159278592"/>
        <c:scaling>
          <c:orientation val="minMax"/>
        </c:scaling>
        <c:delete val="0"/>
        <c:axPos val="b"/>
        <c:numFmt formatCode="General" sourceLinked="1"/>
        <c:majorTickMark val="out"/>
        <c:minorTickMark val="none"/>
        <c:tickLblPos val="nextTo"/>
        <c:txPr>
          <a:bodyPr/>
          <a:lstStyle/>
          <a:p>
            <a:pPr>
              <a:defRPr sz="800"/>
            </a:pPr>
            <a:endParaRPr lang="en-US"/>
          </a:p>
        </c:txPr>
        <c:crossAx val="159280128"/>
        <c:crosses val="autoZero"/>
        <c:auto val="1"/>
        <c:lblAlgn val="ctr"/>
        <c:lblOffset val="100"/>
        <c:noMultiLvlLbl val="0"/>
      </c:catAx>
      <c:valAx>
        <c:axId val="159280128"/>
        <c:scaling>
          <c:orientation val="minMax"/>
        </c:scaling>
        <c:delete val="0"/>
        <c:axPos val="l"/>
        <c:majorGridlines/>
        <c:title>
          <c:tx>
            <c:rich>
              <a:bodyPr rot="-5400000" vert="horz"/>
              <a:lstStyle/>
              <a:p>
                <a:pPr>
                  <a:defRPr sz="900"/>
                </a:pPr>
                <a:r>
                  <a:rPr lang="en-US" sz="900"/>
                  <a:t>Northumberland Population (000s)</a:t>
                </a:r>
              </a:p>
            </c:rich>
          </c:tx>
          <c:layout/>
          <c:overlay val="0"/>
        </c:title>
        <c:numFmt formatCode="#,##0" sourceLinked="1"/>
        <c:majorTickMark val="out"/>
        <c:minorTickMark val="none"/>
        <c:tickLblPos val="nextTo"/>
        <c:txPr>
          <a:bodyPr/>
          <a:lstStyle/>
          <a:p>
            <a:pPr>
              <a:defRPr sz="800"/>
            </a:pPr>
            <a:endParaRPr lang="en-US"/>
          </a:p>
        </c:txPr>
        <c:crossAx val="159278592"/>
        <c:crosses val="autoZero"/>
        <c:crossBetween val="between"/>
      </c:valAx>
      <c:valAx>
        <c:axId val="159609216"/>
        <c:scaling>
          <c:orientation val="minMax"/>
        </c:scaling>
        <c:delete val="0"/>
        <c:axPos val="r"/>
        <c:title>
          <c:tx>
            <c:rich>
              <a:bodyPr rot="-5400000" vert="horz"/>
              <a:lstStyle/>
              <a:p>
                <a:pPr>
                  <a:defRPr sz="900"/>
                </a:pPr>
                <a:r>
                  <a:rPr lang="en-US" sz="900"/>
                  <a:t>England Population (000s)</a:t>
                </a:r>
              </a:p>
            </c:rich>
          </c:tx>
          <c:layout/>
          <c:overlay val="0"/>
        </c:title>
        <c:numFmt formatCode="#,##0" sourceLinked="1"/>
        <c:majorTickMark val="out"/>
        <c:minorTickMark val="none"/>
        <c:tickLblPos val="nextTo"/>
        <c:txPr>
          <a:bodyPr/>
          <a:lstStyle/>
          <a:p>
            <a:pPr>
              <a:defRPr sz="800"/>
            </a:pPr>
            <a:endParaRPr lang="en-US"/>
          </a:p>
        </c:txPr>
        <c:crossAx val="159611136"/>
        <c:crosses val="max"/>
        <c:crossBetween val="between"/>
      </c:valAx>
      <c:catAx>
        <c:axId val="159611136"/>
        <c:scaling>
          <c:orientation val="minMax"/>
        </c:scaling>
        <c:delete val="1"/>
        <c:axPos val="b"/>
        <c:numFmt formatCode="General" sourceLinked="1"/>
        <c:majorTickMark val="out"/>
        <c:minorTickMark val="none"/>
        <c:tickLblPos val="nextTo"/>
        <c:crossAx val="159609216"/>
        <c:crosses val="autoZero"/>
        <c:auto val="1"/>
        <c:lblAlgn val="ctr"/>
        <c:lblOffset val="100"/>
        <c:noMultiLvlLbl val="0"/>
      </c:catAx>
    </c:plotArea>
    <c:legend>
      <c:legendPos val="r"/>
      <c:layout>
        <c:manualLayout>
          <c:xMode val="edge"/>
          <c:yMode val="edge"/>
          <c:x val="0.14490135608048993"/>
          <c:y val="0.87924577136191306"/>
          <c:w val="0.63009864391951009"/>
          <c:h val="0.1165084572761738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100"/>
              <a:t>Household numbers</a:t>
            </a:r>
          </a:p>
        </c:rich>
      </c:tx>
      <c:layout>
        <c:manualLayout>
          <c:xMode val="edge"/>
          <c:yMode val="edge"/>
          <c:x val="0.3637430008748907"/>
          <c:y val="9.2592592592592587E-3"/>
        </c:manualLayout>
      </c:layout>
      <c:overlay val="1"/>
    </c:title>
    <c:autoTitleDeleted val="0"/>
    <c:plotArea>
      <c:layout>
        <c:manualLayout>
          <c:layoutTarget val="inner"/>
          <c:xMode val="edge"/>
          <c:yMode val="edge"/>
          <c:x val="0.18883460322176709"/>
          <c:y val="0.10695610965296004"/>
          <c:w val="0.6461692810591888"/>
          <c:h val="0.66097623213764944"/>
        </c:manualLayout>
      </c:layout>
      <c:lineChart>
        <c:grouping val="standard"/>
        <c:varyColors val="0"/>
        <c:ser>
          <c:idx val="2"/>
          <c:order val="1"/>
          <c:tx>
            <c:strRef>
              <c:f>'2014'!$A$95</c:f>
              <c:strCache>
                <c:ptCount val="1"/>
                <c:pt idx="0">
                  <c:v>Northumberland</c:v>
                </c:pt>
              </c:strCache>
            </c:strRef>
          </c:tx>
          <c:spPr>
            <a:ln>
              <a:solidFill>
                <a:schemeClr val="bg1">
                  <a:lumMod val="50000"/>
                </a:schemeClr>
              </a:solidFill>
            </a:ln>
          </c:spPr>
          <c:marker>
            <c:symbol val="none"/>
          </c:marker>
          <c:cat>
            <c:numRef>
              <c:f>'2014'!$B$93:$AA$93</c:f>
              <c:numCache>
                <c:formatCode>General</c:formatCode>
                <c:ptCount val="2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pt idx="17">
                  <c:v>2031</c:v>
                </c:pt>
                <c:pt idx="18">
                  <c:v>2032</c:v>
                </c:pt>
                <c:pt idx="19">
                  <c:v>2033</c:v>
                </c:pt>
                <c:pt idx="20">
                  <c:v>2034</c:v>
                </c:pt>
                <c:pt idx="21">
                  <c:v>2035</c:v>
                </c:pt>
                <c:pt idx="22">
                  <c:v>2036</c:v>
                </c:pt>
                <c:pt idx="23">
                  <c:v>2037</c:v>
                </c:pt>
                <c:pt idx="24">
                  <c:v>2038</c:v>
                </c:pt>
                <c:pt idx="25">
                  <c:v>2039</c:v>
                </c:pt>
              </c:numCache>
            </c:numRef>
          </c:cat>
          <c:val>
            <c:numRef>
              <c:f>'2014'!$B$95:$AA$95</c:f>
              <c:numCache>
                <c:formatCode>#,##0</c:formatCode>
                <c:ptCount val="26"/>
                <c:pt idx="0">
                  <c:v>140.23500000000001</c:v>
                </c:pt>
                <c:pt idx="1">
                  <c:v>140.82300000000001</c:v>
                </c:pt>
                <c:pt idx="2">
                  <c:v>141.52799999999999</c:v>
                </c:pt>
                <c:pt idx="3">
                  <c:v>142.21799999999999</c:v>
                </c:pt>
                <c:pt idx="4">
                  <c:v>142.869</c:v>
                </c:pt>
                <c:pt idx="5">
                  <c:v>143.52099999999999</c:v>
                </c:pt>
                <c:pt idx="6">
                  <c:v>144.19999999999999</c:v>
                </c:pt>
                <c:pt idx="7">
                  <c:v>144.86000000000001</c:v>
                </c:pt>
                <c:pt idx="8">
                  <c:v>145.46799999999999</c:v>
                </c:pt>
                <c:pt idx="9">
                  <c:v>146.03299999999999</c:v>
                </c:pt>
                <c:pt idx="10">
                  <c:v>146.59899999999999</c:v>
                </c:pt>
                <c:pt idx="11">
                  <c:v>147.19</c:v>
                </c:pt>
                <c:pt idx="12">
                  <c:v>147.774</c:v>
                </c:pt>
                <c:pt idx="13">
                  <c:v>148.303</c:v>
                </c:pt>
                <c:pt idx="14">
                  <c:v>148.839</c:v>
                </c:pt>
                <c:pt idx="15">
                  <c:v>149.33000000000001</c:v>
                </c:pt>
                <c:pt idx="16">
                  <c:v>149.83099999999999</c:v>
                </c:pt>
                <c:pt idx="17">
                  <c:v>150.31700000000001</c:v>
                </c:pt>
                <c:pt idx="18">
                  <c:v>150.715</c:v>
                </c:pt>
                <c:pt idx="19">
                  <c:v>151.107</c:v>
                </c:pt>
                <c:pt idx="20">
                  <c:v>151.441</c:v>
                </c:pt>
                <c:pt idx="21">
                  <c:v>151.76300000000001</c:v>
                </c:pt>
                <c:pt idx="22">
                  <c:v>152.048</c:v>
                </c:pt>
                <c:pt idx="23">
                  <c:v>152.297</c:v>
                </c:pt>
                <c:pt idx="24">
                  <c:v>152.50700000000001</c:v>
                </c:pt>
                <c:pt idx="25">
                  <c:v>152.67500000000001</c:v>
                </c:pt>
              </c:numCache>
            </c:numRef>
          </c:val>
          <c:smooth val="0"/>
        </c:ser>
        <c:dLbls>
          <c:showLegendKey val="0"/>
          <c:showVal val="0"/>
          <c:showCatName val="0"/>
          <c:showSerName val="0"/>
          <c:showPercent val="0"/>
          <c:showBubbleSize val="0"/>
        </c:dLbls>
        <c:marker val="1"/>
        <c:smooth val="0"/>
        <c:axId val="159579520"/>
        <c:axId val="165106816"/>
      </c:lineChart>
      <c:lineChart>
        <c:grouping val="standard"/>
        <c:varyColors val="0"/>
        <c:ser>
          <c:idx val="1"/>
          <c:order val="0"/>
          <c:tx>
            <c:strRef>
              <c:f>'2014'!$A$94</c:f>
              <c:strCache>
                <c:ptCount val="1"/>
                <c:pt idx="0">
                  <c:v>ENGLAND</c:v>
                </c:pt>
              </c:strCache>
            </c:strRef>
          </c:tx>
          <c:marker>
            <c:symbol val="none"/>
          </c:marker>
          <c:cat>
            <c:numRef>
              <c:f>'2014'!$B$93:$AA$93</c:f>
              <c:numCache>
                <c:formatCode>General</c:formatCode>
                <c:ptCount val="26"/>
                <c:pt idx="0">
                  <c:v>2014</c:v>
                </c:pt>
                <c:pt idx="1">
                  <c:v>2015</c:v>
                </c:pt>
                <c:pt idx="2">
                  <c:v>2016</c:v>
                </c:pt>
                <c:pt idx="3">
                  <c:v>2017</c:v>
                </c:pt>
                <c:pt idx="4">
                  <c:v>2018</c:v>
                </c:pt>
                <c:pt idx="5">
                  <c:v>2019</c:v>
                </c:pt>
                <c:pt idx="6">
                  <c:v>2020</c:v>
                </c:pt>
                <c:pt idx="7">
                  <c:v>2021</c:v>
                </c:pt>
                <c:pt idx="8">
                  <c:v>2022</c:v>
                </c:pt>
                <c:pt idx="9">
                  <c:v>2023</c:v>
                </c:pt>
                <c:pt idx="10">
                  <c:v>2024</c:v>
                </c:pt>
                <c:pt idx="11">
                  <c:v>2025</c:v>
                </c:pt>
                <c:pt idx="12">
                  <c:v>2026</c:v>
                </c:pt>
                <c:pt idx="13">
                  <c:v>2027</c:v>
                </c:pt>
                <c:pt idx="14">
                  <c:v>2028</c:v>
                </c:pt>
                <c:pt idx="15">
                  <c:v>2029</c:v>
                </c:pt>
                <c:pt idx="16">
                  <c:v>2030</c:v>
                </c:pt>
                <c:pt idx="17">
                  <c:v>2031</c:v>
                </c:pt>
                <c:pt idx="18">
                  <c:v>2032</c:v>
                </c:pt>
                <c:pt idx="19">
                  <c:v>2033</c:v>
                </c:pt>
                <c:pt idx="20">
                  <c:v>2034</c:v>
                </c:pt>
                <c:pt idx="21">
                  <c:v>2035</c:v>
                </c:pt>
                <c:pt idx="22">
                  <c:v>2036</c:v>
                </c:pt>
                <c:pt idx="23">
                  <c:v>2037</c:v>
                </c:pt>
                <c:pt idx="24">
                  <c:v>2038</c:v>
                </c:pt>
                <c:pt idx="25">
                  <c:v>2039</c:v>
                </c:pt>
              </c:numCache>
            </c:numRef>
          </c:cat>
          <c:val>
            <c:numRef>
              <c:f>'2014'!$B$94:$AA$94</c:f>
              <c:numCache>
                <c:formatCode>#,##0</c:formatCode>
                <c:ptCount val="26"/>
                <c:pt idx="0">
                  <c:v>22746.487000000001</c:v>
                </c:pt>
                <c:pt idx="1">
                  <c:v>22984.491000000002</c:v>
                </c:pt>
                <c:pt idx="2">
                  <c:v>23228.920999999998</c:v>
                </c:pt>
                <c:pt idx="3">
                  <c:v>23464.256000000001</c:v>
                </c:pt>
                <c:pt idx="4">
                  <c:v>23696.83</c:v>
                </c:pt>
                <c:pt idx="5">
                  <c:v>23926.54</c:v>
                </c:pt>
                <c:pt idx="6">
                  <c:v>24150.074000000001</c:v>
                </c:pt>
                <c:pt idx="7">
                  <c:v>24371.273000000001</c:v>
                </c:pt>
                <c:pt idx="8">
                  <c:v>24586.023000000001</c:v>
                </c:pt>
                <c:pt idx="9">
                  <c:v>24799.503000000001</c:v>
                </c:pt>
                <c:pt idx="10">
                  <c:v>25014.659</c:v>
                </c:pt>
                <c:pt idx="11">
                  <c:v>25227.877</c:v>
                </c:pt>
                <c:pt idx="12">
                  <c:v>25446.168000000001</c:v>
                </c:pt>
                <c:pt idx="13">
                  <c:v>25661.288</c:v>
                </c:pt>
                <c:pt idx="14">
                  <c:v>25873.726999999999</c:v>
                </c:pt>
                <c:pt idx="15">
                  <c:v>26083.312999999998</c:v>
                </c:pt>
                <c:pt idx="16">
                  <c:v>26290.546999999999</c:v>
                </c:pt>
                <c:pt idx="17">
                  <c:v>26498.666000000001</c:v>
                </c:pt>
                <c:pt idx="18">
                  <c:v>26701.004000000001</c:v>
                </c:pt>
                <c:pt idx="19">
                  <c:v>26897.561000000002</c:v>
                </c:pt>
                <c:pt idx="20">
                  <c:v>27088.385999999999</c:v>
                </c:pt>
                <c:pt idx="21">
                  <c:v>27274.946</c:v>
                </c:pt>
                <c:pt idx="22">
                  <c:v>27462.793000000001</c:v>
                </c:pt>
                <c:pt idx="23">
                  <c:v>27649.596000000001</c:v>
                </c:pt>
                <c:pt idx="24">
                  <c:v>27830.121999999999</c:v>
                </c:pt>
                <c:pt idx="25">
                  <c:v>28003.598000000002</c:v>
                </c:pt>
              </c:numCache>
            </c:numRef>
          </c:val>
          <c:smooth val="0"/>
        </c:ser>
        <c:dLbls>
          <c:showLegendKey val="0"/>
          <c:showVal val="0"/>
          <c:showCatName val="0"/>
          <c:showSerName val="0"/>
          <c:showPercent val="0"/>
          <c:showBubbleSize val="0"/>
        </c:dLbls>
        <c:marker val="1"/>
        <c:smooth val="0"/>
        <c:axId val="165121408"/>
        <c:axId val="165119488"/>
      </c:lineChart>
      <c:catAx>
        <c:axId val="159579520"/>
        <c:scaling>
          <c:orientation val="minMax"/>
        </c:scaling>
        <c:delete val="0"/>
        <c:axPos val="b"/>
        <c:numFmt formatCode="General" sourceLinked="1"/>
        <c:majorTickMark val="out"/>
        <c:minorTickMark val="none"/>
        <c:tickLblPos val="nextTo"/>
        <c:crossAx val="165106816"/>
        <c:crosses val="autoZero"/>
        <c:auto val="1"/>
        <c:lblAlgn val="ctr"/>
        <c:lblOffset val="100"/>
        <c:noMultiLvlLbl val="0"/>
      </c:catAx>
      <c:valAx>
        <c:axId val="165106816"/>
        <c:scaling>
          <c:orientation val="minMax"/>
          <c:min val="140"/>
        </c:scaling>
        <c:delete val="0"/>
        <c:axPos val="l"/>
        <c:majorGridlines/>
        <c:title>
          <c:tx>
            <c:rich>
              <a:bodyPr rot="-5400000" vert="horz"/>
              <a:lstStyle/>
              <a:p>
                <a:pPr>
                  <a:defRPr/>
                </a:pPr>
                <a:r>
                  <a:rPr lang="en-US"/>
                  <a:t>Northumberland households (000s)</a:t>
                </a:r>
              </a:p>
            </c:rich>
          </c:tx>
          <c:layout/>
          <c:overlay val="0"/>
        </c:title>
        <c:numFmt formatCode="#,##0" sourceLinked="1"/>
        <c:majorTickMark val="out"/>
        <c:minorTickMark val="none"/>
        <c:tickLblPos val="nextTo"/>
        <c:txPr>
          <a:bodyPr/>
          <a:lstStyle/>
          <a:p>
            <a:pPr>
              <a:defRPr sz="800"/>
            </a:pPr>
            <a:endParaRPr lang="en-US"/>
          </a:p>
        </c:txPr>
        <c:crossAx val="159579520"/>
        <c:crosses val="autoZero"/>
        <c:crossBetween val="between"/>
      </c:valAx>
      <c:valAx>
        <c:axId val="165119488"/>
        <c:scaling>
          <c:orientation val="minMax"/>
          <c:min val="22000"/>
        </c:scaling>
        <c:delete val="0"/>
        <c:axPos val="r"/>
        <c:title>
          <c:tx>
            <c:rich>
              <a:bodyPr rot="-5400000" vert="horz"/>
              <a:lstStyle/>
              <a:p>
                <a:pPr>
                  <a:defRPr/>
                </a:pPr>
                <a:r>
                  <a:rPr lang="en-US"/>
                  <a:t>England Households (000s)</a:t>
                </a:r>
              </a:p>
            </c:rich>
          </c:tx>
          <c:layout>
            <c:manualLayout>
              <c:xMode val="edge"/>
              <c:yMode val="edge"/>
              <c:x val="0.93440101971587752"/>
              <c:y val="0.13725906162556126"/>
            </c:manualLayout>
          </c:layout>
          <c:overlay val="0"/>
        </c:title>
        <c:numFmt formatCode="#,##0" sourceLinked="1"/>
        <c:majorTickMark val="out"/>
        <c:minorTickMark val="none"/>
        <c:tickLblPos val="nextTo"/>
        <c:txPr>
          <a:bodyPr/>
          <a:lstStyle/>
          <a:p>
            <a:pPr>
              <a:defRPr sz="800"/>
            </a:pPr>
            <a:endParaRPr lang="en-US"/>
          </a:p>
        </c:txPr>
        <c:crossAx val="165121408"/>
        <c:crosses val="max"/>
        <c:crossBetween val="between"/>
      </c:valAx>
      <c:catAx>
        <c:axId val="165121408"/>
        <c:scaling>
          <c:orientation val="minMax"/>
        </c:scaling>
        <c:delete val="1"/>
        <c:axPos val="b"/>
        <c:numFmt formatCode="General" sourceLinked="1"/>
        <c:majorTickMark val="out"/>
        <c:minorTickMark val="none"/>
        <c:tickLblPos val="nextTo"/>
        <c:crossAx val="165119488"/>
        <c:crosses val="autoZero"/>
        <c:auto val="1"/>
        <c:lblAlgn val="ctr"/>
        <c:lblOffset val="100"/>
        <c:noMultiLvlLbl val="0"/>
      </c:catAx>
    </c:plotArea>
    <c:legend>
      <c:legendPos val="r"/>
      <c:layout>
        <c:manualLayout>
          <c:xMode val="edge"/>
          <c:yMode val="edge"/>
          <c:x val="0.18003494993935157"/>
          <c:y val="0.89776447365566914"/>
          <c:w val="0.63407166793445857"/>
          <c:h val="9.7989938757655298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085739282589675E-2"/>
          <c:y val="5.1400554097404488E-2"/>
          <c:w val="0.72785599780210397"/>
          <c:h val="0.74793099788334683"/>
        </c:manualLayout>
      </c:layout>
      <c:lineChart>
        <c:grouping val="standard"/>
        <c:varyColors val="0"/>
        <c:ser>
          <c:idx val="0"/>
          <c:order val="0"/>
          <c:tx>
            <c:strRef>
              <c:f>'2014'!$A$46</c:f>
              <c:strCache>
                <c:ptCount val="1"/>
                <c:pt idx="0">
                  <c:v>ENGLAND</c:v>
                </c:pt>
              </c:strCache>
            </c:strRef>
          </c:tx>
          <c:marker>
            <c:symbol val="none"/>
          </c:marker>
          <c:cat>
            <c:numRef>
              <c:f>'2014'!$B$45:$G$45</c:f>
              <c:numCache>
                <c:formatCode>General</c:formatCode>
                <c:ptCount val="6"/>
                <c:pt idx="0">
                  <c:v>2014</c:v>
                </c:pt>
                <c:pt idx="1">
                  <c:v>2019</c:v>
                </c:pt>
                <c:pt idx="2">
                  <c:v>2024</c:v>
                </c:pt>
                <c:pt idx="3">
                  <c:v>2029</c:v>
                </c:pt>
                <c:pt idx="4">
                  <c:v>2034</c:v>
                </c:pt>
                <c:pt idx="5">
                  <c:v>2039</c:v>
                </c:pt>
              </c:numCache>
            </c:numRef>
          </c:cat>
          <c:val>
            <c:numRef>
              <c:f>'2014'!$B$46:$G$46</c:f>
              <c:numCache>
                <c:formatCode>#,##0.00</c:formatCode>
                <c:ptCount val="6"/>
                <c:pt idx="0">
                  <c:v>2.35</c:v>
                </c:pt>
                <c:pt idx="1">
                  <c:v>2.3199999999999998</c:v>
                </c:pt>
                <c:pt idx="2">
                  <c:v>2.29</c:v>
                </c:pt>
                <c:pt idx="3">
                  <c:v>2.27</c:v>
                </c:pt>
                <c:pt idx="4">
                  <c:v>2.2400000000000002</c:v>
                </c:pt>
                <c:pt idx="5">
                  <c:v>2.21</c:v>
                </c:pt>
              </c:numCache>
            </c:numRef>
          </c:val>
          <c:smooth val="0"/>
        </c:ser>
        <c:ser>
          <c:idx val="1"/>
          <c:order val="1"/>
          <c:tx>
            <c:strRef>
              <c:f>'2014'!$A$47</c:f>
              <c:strCache>
                <c:ptCount val="1"/>
                <c:pt idx="0">
                  <c:v>Northumberland</c:v>
                </c:pt>
              </c:strCache>
            </c:strRef>
          </c:tx>
          <c:marker>
            <c:symbol val="none"/>
          </c:marker>
          <c:cat>
            <c:numRef>
              <c:f>'2014'!$B$45:$G$45</c:f>
              <c:numCache>
                <c:formatCode>General</c:formatCode>
                <c:ptCount val="6"/>
                <c:pt idx="0">
                  <c:v>2014</c:v>
                </c:pt>
                <c:pt idx="1">
                  <c:v>2019</c:v>
                </c:pt>
                <c:pt idx="2">
                  <c:v>2024</c:v>
                </c:pt>
                <c:pt idx="3">
                  <c:v>2029</c:v>
                </c:pt>
                <c:pt idx="4">
                  <c:v>2034</c:v>
                </c:pt>
                <c:pt idx="5">
                  <c:v>2039</c:v>
                </c:pt>
              </c:numCache>
            </c:numRef>
          </c:cat>
          <c:val>
            <c:numRef>
              <c:f>'2014'!$B$47:$G$47</c:f>
              <c:numCache>
                <c:formatCode>#,##0.00</c:formatCode>
                <c:ptCount val="6"/>
                <c:pt idx="0">
                  <c:v>2.21</c:v>
                </c:pt>
                <c:pt idx="1">
                  <c:v>2.17</c:v>
                </c:pt>
                <c:pt idx="2">
                  <c:v>2.14</c:v>
                </c:pt>
                <c:pt idx="3">
                  <c:v>2.1</c:v>
                </c:pt>
                <c:pt idx="4">
                  <c:v>2.0699999999999998</c:v>
                </c:pt>
                <c:pt idx="5">
                  <c:v>2.0499999999999998</c:v>
                </c:pt>
              </c:numCache>
            </c:numRef>
          </c:val>
          <c:smooth val="0"/>
        </c:ser>
        <c:dLbls>
          <c:showLegendKey val="0"/>
          <c:showVal val="0"/>
          <c:showCatName val="0"/>
          <c:showSerName val="0"/>
          <c:showPercent val="0"/>
          <c:showBubbleSize val="0"/>
        </c:dLbls>
        <c:marker val="1"/>
        <c:smooth val="0"/>
        <c:axId val="137375744"/>
        <c:axId val="180746112"/>
      </c:lineChart>
      <c:catAx>
        <c:axId val="137375744"/>
        <c:scaling>
          <c:orientation val="minMax"/>
        </c:scaling>
        <c:delete val="0"/>
        <c:axPos val="b"/>
        <c:numFmt formatCode="General" sourceLinked="1"/>
        <c:majorTickMark val="out"/>
        <c:minorTickMark val="none"/>
        <c:tickLblPos val="nextTo"/>
        <c:txPr>
          <a:bodyPr/>
          <a:lstStyle/>
          <a:p>
            <a:pPr>
              <a:defRPr sz="800"/>
            </a:pPr>
            <a:endParaRPr lang="en-US"/>
          </a:p>
        </c:txPr>
        <c:crossAx val="180746112"/>
        <c:crosses val="autoZero"/>
        <c:auto val="1"/>
        <c:lblAlgn val="ctr"/>
        <c:lblOffset val="100"/>
        <c:noMultiLvlLbl val="0"/>
      </c:catAx>
      <c:valAx>
        <c:axId val="180746112"/>
        <c:scaling>
          <c:orientation val="minMax"/>
        </c:scaling>
        <c:delete val="0"/>
        <c:axPos val="l"/>
        <c:majorGridlines/>
        <c:numFmt formatCode="#,##0.00" sourceLinked="1"/>
        <c:majorTickMark val="out"/>
        <c:minorTickMark val="none"/>
        <c:tickLblPos val="nextTo"/>
        <c:txPr>
          <a:bodyPr/>
          <a:lstStyle/>
          <a:p>
            <a:pPr>
              <a:defRPr sz="900"/>
            </a:pPr>
            <a:endParaRPr lang="en-US"/>
          </a:p>
        </c:txPr>
        <c:crossAx val="137375744"/>
        <c:crosses val="autoZero"/>
        <c:crossBetween val="between"/>
      </c:valAx>
    </c:plotArea>
    <c:legend>
      <c:legendPos val="r"/>
      <c:layout>
        <c:manualLayout>
          <c:xMode val="edge"/>
          <c:yMode val="edge"/>
          <c:x val="0.63101253921003775"/>
          <c:y val="4.3383995605200537E-2"/>
          <c:w val="0.36898746078996225"/>
          <c:h val="0.2803523569091862"/>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Household projections - comparison by year of publication</a:t>
            </a:r>
          </a:p>
        </c:rich>
      </c:tx>
      <c:layout/>
      <c:overlay val="1"/>
    </c:title>
    <c:autoTitleDeleted val="0"/>
    <c:plotArea>
      <c:layout>
        <c:manualLayout>
          <c:layoutTarget val="inner"/>
          <c:xMode val="edge"/>
          <c:yMode val="edge"/>
          <c:x val="0.14169910670801802"/>
          <c:y val="0.12547462817147856"/>
          <c:w val="0.68057565531151742"/>
          <c:h val="0.63950936860165697"/>
        </c:manualLayout>
      </c:layout>
      <c:lineChart>
        <c:grouping val="standard"/>
        <c:varyColors val="0"/>
        <c:ser>
          <c:idx val="0"/>
          <c:order val="0"/>
          <c:tx>
            <c:strRef>
              <c:f>Sheet4!$A$4</c:f>
              <c:strCache>
                <c:ptCount val="1"/>
                <c:pt idx="0">
                  <c:v>2014</c:v>
                </c:pt>
              </c:strCache>
            </c:strRef>
          </c:tx>
          <c:marker>
            <c:symbol val="none"/>
          </c:marker>
          <c:cat>
            <c:numRef>
              <c:f>Sheet4!$B$3:$AD$3</c:f>
              <c:numCache>
                <c:formatCode>@</c:formatCode>
                <c:ptCount val="29"/>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pt idx="25">
                  <c:v>2036</c:v>
                </c:pt>
                <c:pt idx="26">
                  <c:v>2037</c:v>
                </c:pt>
                <c:pt idx="27">
                  <c:v>2038</c:v>
                </c:pt>
                <c:pt idx="28">
                  <c:v>2039</c:v>
                </c:pt>
              </c:numCache>
            </c:numRef>
          </c:cat>
          <c:val>
            <c:numRef>
              <c:f>Sheet4!$B$4:$AD$4</c:f>
              <c:numCache>
                <c:formatCode>#,##0</c:formatCode>
                <c:ptCount val="29"/>
                <c:pt idx="0">
                  <c:v>138.68299999999999</c:v>
                </c:pt>
                <c:pt idx="1">
                  <c:v>139.142</c:v>
                </c:pt>
                <c:pt idx="2">
                  <c:v>139.53299999999999</c:v>
                </c:pt>
                <c:pt idx="3">
                  <c:v>140.23500000000001</c:v>
                </c:pt>
                <c:pt idx="4">
                  <c:v>140.82300000000001</c:v>
                </c:pt>
                <c:pt idx="5">
                  <c:v>141.52799999999999</c:v>
                </c:pt>
                <c:pt idx="6">
                  <c:v>142.21799999999999</c:v>
                </c:pt>
                <c:pt idx="7">
                  <c:v>142.869</c:v>
                </c:pt>
                <c:pt idx="8">
                  <c:v>143.52099999999999</c:v>
                </c:pt>
                <c:pt idx="9">
                  <c:v>144.19999999999999</c:v>
                </c:pt>
                <c:pt idx="10">
                  <c:v>144.86000000000001</c:v>
                </c:pt>
                <c:pt idx="11">
                  <c:v>145.46799999999999</c:v>
                </c:pt>
                <c:pt idx="12">
                  <c:v>146.03299999999999</c:v>
                </c:pt>
                <c:pt idx="13">
                  <c:v>146.59899999999999</c:v>
                </c:pt>
                <c:pt idx="14">
                  <c:v>147.19</c:v>
                </c:pt>
                <c:pt idx="15">
                  <c:v>147.774</c:v>
                </c:pt>
                <c:pt idx="16">
                  <c:v>148.303</c:v>
                </c:pt>
                <c:pt idx="17">
                  <c:v>148.839</c:v>
                </c:pt>
                <c:pt idx="18">
                  <c:v>149.33000000000001</c:v>
                </c:pt>
                <c:pt idx="19">
                  <c:v>149.83099999999999</c:v>
                </c:pt>
                <c:pt idx="20">
                  <c:v>150.31700000000001</c:v>
                </c:pt>
                <c:pt idx="21">
                  <c:v>150.715</c:v>
                </c:pt>
                <c:pt idx="22">
                  <c:v>151.107</c:v>
                </c:pt>
                <c:pt idx="23">
                  <c:v>151.441</c:v>
                </c:pt>
                <c:pt idx="24">
                  <c:v>151.76300000000001</c:v>
                </c:pt>
                <c:pt idx="25">
                  <c:v>152.048</c:v>
                </c:pt>
                <c:pt idx="26">
                  <c:v>152.297</c:v>
                </c:pt>
                <c:pt idx="27">
                  <c:v>152.50700000000001</c:v>
                </c:pt>
                <c:pt idx="28">
                  <c:v>152.67500000000001</c:v>
                </c:pt>
              </c:numCache>
            </c:numRef>
          </c:val>
          <c:smooth val="0"/>
        </c:ser>
        <c:ser>
          <c:idx val="1"/>
          <c:order val="1"/>
          <c:tx>
            <c:strRef>
              <c:f>Sheet4!$A$5</c:f>
              <c:strCache>
                <c:ptCount val="1"/>
                <c:pt idx="0">
                  <c:v>2012</c:v>
                </c:pt>
              </c:strCache>
            </c:strRef>
          </c:tx>
          <c:marker>
            <c:symbol val="none"/>
          </c:marker>
          <c:cat>
            <c:numRef>
              <c:f>Sheet4!$B$3:$AD$3</c:f>
              <c:numCache>
                <c:formatCode>@</c:formatCode>
                <c:ptCount val="29"/>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pt idx="25">
                  <c:v>2036</c:v>
                </c:pt>
                <c:pt idx="26">
                  <c:v>2037</c:v>
                </c:pt>
                <c:pt idx="27">
                  <c:v>2038</c:v>
                </c:pt>
                <c:pt idx="28">
                  <c:v>2039</c:v>
                </c:pt>
              </c:numCache>
            </c:numRef>
          </c:cat>
          <c:val>
            <c:numRef>
              <c:f>Sheet4!$B$5:$AD$5</c:f>
              <c:numCache>
                <c:formatCode>#,##0</c:formatCode>
                <c:ptCount val="29"/>
                <c:pt idx="0">
                  <c:v>138.70400000000001</c:v>
                </c:pt>
                <c:pt idx="1">
                  <c:v>139.13800000000001</c:v>
                </c:pt>
                <c:pt idx="2">
                  <c:v>139.72800000000001</c:v>
                </c:pt>
                <c:pt idx="3">
                  <c:v>140.45099999999999</c:v>
                </c:pt>
                <c:pt idx="4">
                  <c:v>141.197</c:v>
                </c:pt>
                <c:pt idx="5">
                  <c:v>141.995</c:v>
                </c:pt>
                <c:pt idx="6">
                  <c:v>142.751</c:v>
                </c:pt>
                <c:pt idx="7">
                  <c:v>143.47399999999999</c:v>
                </c:pt>
                <c:pt idx="8">
                  <c:v>144.19200000000001</c:v>
                </c:pt>
                <c:pt idx="9">
                  <c:v>144.911</c:v>
                </c:pt>
                <c:pt idx="10">
                  <c:v>145.63800000000001</c:v>
                </c:pt>
                <c:pt idx="11">
                  <c:v>146.29599999999999</c:v>
                </c:pt>
                <c:pt idx="12">
                  <c:v>146.91200000000001</c:v>
                </c:pt>
                <c:pt idx="13">
                  <c:v>147.52799999999999</c:v>
                </c:pt>
                <c:pt idx="14">
                  <c:v>148.148</c:v>
                </c:pt>
                <c:pt idx="15">
                  <c:v>148.773</c:v>
                </c:pt>
                <c:pt idx="16">
                  <c:v>149.339</c:v>
                </c:pt>
                <c:pt idx="17">
                  <c:v>149.91200000000001</c:v>
                </c:pt>
                <c:pt idx="18">
                  <c:v>150.43700000000001</c:v>
                </c:pt>
                <c:pt idx="19">
                  <c:v>150.96199999999999</c:v>
                </c:pt>
                <c:pt idx="20">
                  <c:v>151.47300000000001</c:v>
                </c:pt>
                <c:pt idx="21">
                  <c:v>151.88999999999999</c:v>
                </c:pt>
                <c:pt idx="22">
                  <c:v>152.30500000000001</c:v>
                </c:pt>
                <c:pt idx="23">
                  <c:v>152.67500000000001</c:v>
                </c:pt>
                <c:pt idx="24">
                  <c:v>153.029</c:v>
                </c:pt>
                <c:pt idx="25">
                  <c:v>153.34700000000001</c:v>
                </c:pt>
                <c:pt idx="26">
                  <c:v>153.62700000000001</c:v>
                </c:pt>
              </c:numCache>
            </c:numRef>
          </c:val>
          <c:smooth val="0"/>
        </c:ser>
        <c:ser>
          <c:idx val="3"/>
          <c:order val="2"/>
          <c:tx>
            <c:strRef>
              <c:f>Sheet4!$A$6</c:f>
              <c:strCache>
                <c:ptCount val="1"/>
                <c:pt idx="0">
                  <c:v>2011</c:v>
                </c:pt>
              </c:strCache>
            </c:strRef>
          </c:tx>
          <c:spPr>
            <a:ln>
              <a:solidFill>
                <a:srgbClr val="92D050"/>
              </a:solidFill>
            </a:ln>
          </c:spPr>
          <c:marker>
            <c:symbol val="none"/>
          </c:marker>
          <c:trendline>
            <c:spPr>
              <a:ln>
                <a:solidFill>
                  <a:srgbClr val="00B050"/>
                </a:solidFill>
              </a:ln>
            </c:spPr>
            <c:trendlineType val="linear"/>
            <c:dispRSqr val="0"/>
            <c:dispEq val="0"/>
          </c:trendline>
          <c:cat>
            <c:numRef>
              <c:f>Sheet4!$B$3:$AD$3</c:f>
              <c:numCache>
                <c:formatCode>@</c:formatCode>
                <c:ptCount val="29"/>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pt idx="13">
                  <c:v>2024</c:v>
                </c:pt>
                <c:pt idx="14">
                  <c:v>2025</c:v>
                </c:pt>
                <c:pt idx="15">
                  <c:v>2026</c:v>
                </c:pt>
                <c:pt idx="16">
                  <c:v>2027</c:v>
                </c:pt>
                <c:pt idx="17">
                  <c:v>2028</c:v>
                </c:pt>
                <c:pt idx="18">
                  <c:v>2029</c:v>
                </c:pt>
                <c:pt idx="19">
                  <c:v>2030</c:v>
                </c:pt>
                <c:pt idx="20">
                  <c:v>2031</c:v>
                </c:pt>
                <c:pt idx="21">
                  <c:v>2032</c:v>
                </c:pt>
                <c:pt idx="22">
                  <c:v>2033</c:v>
                </c:pt>
                <c:pt idx="23">
                  <c:v>2034</c:v>
                </c:pt>
                <c:pt idx="24">
                  <c:v>2035</c:v>
                </c:pt>
                <c:pt idx="25">
                  <c:v>2036</c:v>
                </c:pt>
                <c:pt idx="26">
                  <c:v>2037</c:v>
                </c:pt>
                <c:pt idx="27">
                  <c:v>2038</c:v>
                </c:pt>
                <c:pt idx="28">
                  <c:v>2039</c:v>
                </c:pt>
              </c:numCache>
            </c:numRef>
          </c:cat>
          <c:val>
            <c:numRef>
              <c:f>Sheet4!$B$6:$AD$6</c:f>
              <c:numCache>
                <c:formatCode>General</c:formatCode>
                <c:ptCount val="29"/>
                <c:pt idx="0">
                  <c:v>137.30000000000001</c:v>
                </c:pt>
                <c:pt idx="1">
                  <c:v>138.1</c:v>
                </c:pt>
                <c:pt idx="2">
                  <c:v>138.9</c:v>
                </c:pt>
                <c:pt idx="3">
                  <c:v>139.69999999999999</c:v>
                </c:pt>
                <c:pt idx="4">
                  <c:v>140.5</c:v>
                </c:pt>
                <c:pt idx="5">
                  <c:v>141.19999999999999</c:v>
                </c:pt>
                <c:pt idx="6">
                  <c:v>141.9</c:v>
                </c:pt>
                <c:pt idx="7">
                  <c:v>142.69999999999999</c:v>
                </c:pt>
                <c:pt idx="8">
                  <c:v>143.4</c:v>
                </c:pt>
                <c:pt idx="9">
                  <c:v>144.19999999999999</c:v>
                </c:pt>
                <c:pt idx="10">
                  <c:v>144.9</c:v>
                </c:pt>
              </c:numCache>
            </c:numRef>
          </c:val>
          <c:smooth val="0"/>
        </c:ser>
        <c:dLbls>
          <c:showLegendKey val="0"/>
          <c:showVal val="0"/>
          <c:showCatName val="0"/>
          <c:showSerName val="0"/>
          <c:showPercent val="0"/>
          <c:showBubbleSize val="0"/>
        </c:dLbls>
        <c:marker val="1"/>
        <c:smooth val="0"/>
        <c:axId val="42580992"/>
        <c:axId val="42587264"/>
      </c:lineChart>
      <c:catAx>
        <c:axId val="42580992"/>
        <c:scaling>
          <c:orientation val="minMax"/>
        </c:scaling>
        <c:delete val="0"/>
        <c:axPos val="b"/>
        <c:title>
          <c:tx>
            <c:rich>
              <a:bodyPr/>
              <a:lstStyle/>
              <a:p>
                <a:pPr>
                  <a:defRPr/>
                </a:pPr>
                <a:r>
                  <a:rPr lang="en-US"/>
                  <a:t>Year</a:t>
                </a:r>
              </a:p>
            </c:rich>
          </c:tx>
          <c:layout>
            <c:manualLayout>
              <c:xMode val="edge"/>
              <c:yMode val="edge"/>
              <c:x val="0.52945873727348636"/>
              <c:y val="0.90428988043161274"/>
            </c:manualLayout>
          </c:layout>
          <c:overlay val="0"/>
        </c:title>
        <c:numFmt formatCode="@" sourceLinked="1"/>
        <c:majorTickMark val="out"/>
        <c:minorTickMark val="none"/>
        <c:tickLblPos val="nextTo"/>
        <c:txPr>
          <a:bodyPr rot="-5400000" vert="horz"/>
          <a:lstStyle/>
          <a:p>
            <a:pPr>
              <a:defRPr sz="900"/>
            </a:pPr>
            <a:endParaRPr lang="en-US"/>
          </a:p>
        </c:txPr>
        <c:crossAx val="42587264"/>
        <c:crosses val="autoZero"/>
        <c:auto val="1"/>
        <c:lblAlgn val="ctr"/>
        <c:lblOffset val="100"/>
        <c:noMultiLvlLbl val="0"/>
      </c:catAx>
      <c:valAx>
        <c:axId val="42587264"/>
        <c:scaling>
          <c:orientation val="minMax"/>
          <c:min val="135"/>
        </c:scaling>
        <c:delete val="0"/>
        <c:axPos val="l"/>
        <c:majorGridlines/>
        <c:title>
          <c:tx>
            <c:rich>
              <a:bodyPr rot="-5400000" vert="horz"/>
              <a:lstStyle/>
              <a:p>
                <a:pPr>
                  <a:defRPr/>
                </a:pPr>
                <a:r>
                  <a:rPr lang="en-US"/>
                  <a:t>Number of Households</a:t>
                </a:r>
              </a:p>
            </c:rich>
          </c:tx>
          <c:layout>
            <c:manualLayout>
              <c:xMode val="edge"/>
              <c:yMode val="edge"/>
              <c:x val="2.5305467999220475E-2"/>
              <c:y val="0.16956219014289883"/>
            </c:manualLayout>
          </c:layout>
          <c:overlay val="0"/>
        </c:title>
        <c:numFmt formatCode="#,##0" sourceLinked="1"/>
        <c:majorTickMark val="out"/>
        <c:minorTickMark val="none"/>
        <c:tickLblPos val="nextTo"/>
        <c:txPr>
          <a:bodyPr/>
          <a:lstStyle/>
          <a:p>
            <a:pPr>
              <a:defRPr sz="900" baseline="0"/>
            </a:pPr>
            <a:endParaRPr lang="en-US"/>
          </a:p>
        </c:txPr>
        <c:crossAx val="42580992"/>
        <c:crosses val="autoZero"/>
        <c:crossBetween val="between"/>
      </c:valAx>
    </c:plotArea>
    <c:legend>
      <c:legendPos val="r"/>
      <c:layout>
        <c:manualLayout>
          <c:xMode val="edge"/>
          <c:yMode val="edge"/>
          <c:x val="0.75726153485133529"/>
          <c:y val="0.41641914307231376"/>
          <c:w val="0.16922432684100785"/>
          <c:h val="0.27907158441233743"/>
        </c:manualLayout>
      </c:layou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CC170-39F0-4A49-99C3-58256647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Jamieson, Myra</dc:creator>
  <cp:lastModifiedBy>Jamieson, Myra</cp:lastModifiedBy>
  <cp:revision>2</cp:revision>
  <cp:lastPrinted>2015-03-04T10:21:00Z</cp:lastPrinted>
  <dcterms:created xsi:type="dcterms:W3CDTF">2016-09-21T12:43:00Z</dcterms:created>
  <dcterms:modified xsi:type="dcterms:W3CDTF">2016-09-21T12:43:00Z</dcterms:modified>
</cp:coreProperties>
</file>