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given the estimated figures in red but these may change.</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Northumberland Fire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2025"/>
        <w:gridCol w:w="1860"/>
        <w:gridCol w:w="2145"/>
        <w:gridCol w:w="1140"/>
        <w:gridCol w:w="270"/>
        <w:tblGridChange w:id="0">
          <w:tblGrid>
            <w:gridCol w:w="1425"/>
            <w:gridCol w:w="2025"/>
            <w:gridCol w:w="1860"/>
            <w:gridCol w:w="2145"/>
            <w:gridCol w:w="1140"/>
            <w:gridCol w:w="270"/>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Pension Savings Statements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Scheme Pays election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Scheme Pays tax charges</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LTA charges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2014/15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£37850.00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2015/16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2016/17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2017/18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£61526.25</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2018/19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jc w:val="cente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jc w:val="cente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jc w:val="cente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£16578.40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tc>
      </w:tr>
    </w:tbl>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Firefighters' Pension Scheme (FPS) is a single scheme, which applies to all F&amp;R Services and Authorities in England.  It is locally administered, however.</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Northumberland County Council (NCC) administers the FPS (i.e. it has the statutory function of FPS "Scheme Manager") for NCC's current and former FPS members. NCC has a shared service arrangement in place with West Yorkshire Pension Fund (WYPF), under which WYPF provides FPS administration services to NCC, including FPS pensioner payroll services and maintenance of NCC's FPS member records.  Responses to Q1, Q2 and Q3 have been provided to NCC by WYPF.</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sectPr>
      <w:pgSz w:h="16838" w:w="11906"/>
      <w:pgMar w:bottom="538.5826771653544" w:top="538.5826771653544"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