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14" w:rsidRDefault="005B4214" w:rsidP="005B4214">
      <w:pPr>
        <w:jc w:val="center"/>
        <w:rPr>
          <w:rFonts w:ascii="Arial" w:hAnsi="Arial" w:cs="Arial"/>
          <w:b/>
          <w:sz w:val="24"/>
          <w:szCs w:val="24"/>
        </w:rPr>
      </w:pPr>
      <w:r>
        <w:rPr>
          <w:noProof/>
        </w:rPr>
        <w:drawing>
          <wp:inline distT="114300" distB="114300" distL="114300" distR="114300" wp14:anchorId="7710FE82" wp14:editId="6200BEA8">
            <wp:extent cx="2114550" cy="8949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14550" cy="894955"/>
                    </a:xfrm>
                    <a:prstGeom prst="rect">
                      <a:avLst/>
                    </a:prstGeom>
                    <a:ln/>
                  </pic:spPr>
                </pic:pic>
              </a:graphicData>
            </a:graphic>
          </wp:inline>
        </w:drawing>
      </w:r>
    </w:p>
    <w:p w:rsidR="005B4214" w:rsidRDefault="005B4214" w:rsidP="005B4214">
      <w:pPr>
        <w:jc w:val="center"/>
        <w:rPr>
          <w:rFonts w:ascii="Arial" w:eastAsia="Arial" w:hAnsi="Arial" w:cs="Arial"/>
          <w:b/>
        </w:rPr>
      </w:pPr>
      <w:r>
        <w:rPr>
          <w:rFonts w:ascii="Arial" w:eastAsia="Arial" w:hAnsi="Arial" w:cs="Arial"/>
          <w:b/>
        </w:rPr>
        <w:t>SCHOOLS’ FORUM</w:t>
      </w:r>
      <w:bookmarkStart w:id="0" w:name="_GoBack"/>
      <w:bookmarkEnd w:id="0"/>
    </w:p>
    <w:p w:rsidR="005B4214" w:rsidRDefault="005B4214" w:rsidP="005B4214">
      <w:pPr>
        <w:jc w:val="center"/>
        <w:rPr>
          <w:rFonts w:ascii="Arial" w:eastAsia="Arial" w:hAnsi="Arial" w:cs="Arial"/>
          <w:b/>
        </w:rPr>
      </w:pPr>
      <w:r>
        <w:rPr>
          <w:rFonts w:ascii="Arial" w:eastAsia="Arial" w:hAnsi="Arial" w:cs="Arial"/>
          <w:b/>
        </w:rPr>
        <w:t>21st November 2018</w:t>
      </w:r>
    </w:p>
    <w:p w:rsidR="004E05EF" w:rsidRPr="005B4214" w:rsidRDefault="005B4214" w:rsidP="005B4214">
      <w:pPr>
        <w:jc w:val="center"/>
        <w:rPr>
          <w:rFonts w:ascii="Arial" w:eastAsia="Arial" w:hAnsi="Arial" w:cs="Arial"/>
          <w:b/>
        </w:rPr>
      </w:pPr>
      <w:r w:rsidRPr="00C31538">
        <w:rPr>
          <w:rFonts w:ascii="Arial" w:hAnsi="Arial" w:cs="Arial"/>
          <w:b/>
          <w:sz w:val="24"/>
          <w:szCs w:val="24"/>
        </w:rPr>
        <w:t>DSG Budget update – October 2018</w:t>
      </w:r>
    </w:p>
    <w:tbl>
      <w:tblPr>
        <w:tblW w:w="8866" w:type="dxa"/>
        <w:tblInd w:w="93" w:type="dxa"/>
        <w:tblLook w:val="04A0" w:firstRow="1" w:lastRow="0" w:firstColumn="1" w:lastColumn="0" w:noHBand="0" w:noVBand="1"/>
      </w:tblPr>
      <w:tblGrid>
        <w:gridCol w:w="2404"/>
        <w:gridCol w:w="1655"/>
        <w:gridCol w:w="1769"/>
        <w:gridCol w:w="1655"/>
        <w:gridCol w:w="1383"/>
      </w:tblGrid>
      <w:tr w:rsidR="00655142" w:rsidRPr="00655142" w:rsidTr="00655142">
        <w:trPr>
          <w:trHeight w:val="867"/>
        </w:trPr>
        <w:tc>
          <w:tcPr>
            <w:tcW w:w="2404" w:type="dxa"/>
            <w:tcBorders>
              <w:top w:val="single" w:sz="4" w:space="0" w:color="95B3D7"/>
              <w:left w:val="single" w:sz="4" w:space="0" w:color="95B3D7"/>
              <w:bottom w:val="single" w:sz="4" w:space="0" w:color="95B3D7"/>
              <w:right w:val="nil"/>
            </w:tcBorders>
            <w:shd w:val="clear" w:color="4F81BD" w:fill="4F81BD"/>
            <w:vAlign w:val="bottom"/>
            <w:hideMark/>
          </w:tcPr>
          <w:p w:rsidR="00655142" w:rsidRPr="00655142" w:rsidRDefault="00655142" w:rsidP="00655142">
            <w:pPr>
              <w:spacing w:after="0" w:line="240" w:lineRule="auto"/>
              <w:rPr>
                <w:rFonts w:ascii="Calibri" w:eastAsia="Times New Roman" w:hAnsi="Calibri" w:cs="Times New Roman"/>
                <w:b/>
                <w:bCs/>
                <w:color w:val="FFFFFF"/>
                <w:lang w:eastAsia="en-GB"/>
              </w:rPr>
            </w:pPr>
          </w:p>
        </w:tc>
        <w:tc>
          <w:tcPr>
            <w:tcW w:w="1655" w:type="dxa"/>
            <w:tcBorders>
              <w:top w:val="single" w:sz="4" w:space="0" w:color="95B3D7"/>
              <w:left w:val="nil"/>
              <w:bottom w:val="single" w:sz="4" w:space="0" w:color="95B3D7"/>
              <w:right w:val="nil"/>
            </w:tcBorders>
            <w:shd w:val="clear" w:color="4F81BD" w:fill="4F81BD"/>
            <w:vAlign w:val="bottom"/>
            <w:hideMark/>
          </w:tcPr>
          <w:p w:rsidR="00655142" w:rsidRPr="00655142" w:rsidRDefault="00655142" w:rsidP="00655142">
            <w:pPr>
              <w:spacing w:after="0" w:line="240" w:lineRule="auto"/>
              <w:rPr>
                <w:rFonts w:ascii="Calibri" w:eastAsia="Times New Roman" w:hAnsi="Calibri" w:cs="Times New Roman"/>
                <w:b/>
                <w:bCs/>
                <w:color w:val="FFFFFF"/>
                <w:lang w:eastAsia="en-GB"/>
              </w:rPr>
            </w:pPr>
            <w:r w:rsidRPr="00655142">
              <w:rPr>
                <w:rFonts w:ascii="Calibri" w:eastAsia="Times New Roman" w:hAnsi="Calibri" w:cs="Times New Roman"/>
                <w:b/>
                <w:bCs/>
                <w:color w:val="FFFFFF"/>
                <w:lang w:eastAsia="en-GB"/>
              </w:rPr>
              <w:t>Annual budget before recoupment</w:t>
            </w:r>
          </w:p>
        </w:tc>
        <w:tc>
          <w:tcPr>
            <w:tcW w:w="1769" w:type="dxa"/>
            <w:tcBorders>
              <w:top w:val="single" w:sz="4" w:space="0" w:color="95B3D7"/>
              <w:left w:val="nil"/>
              <w:bottom w:val="single" w:sz="4" w:space="0" w:color="95B3D7"/>
              <w:right w:val="nil"/>
            </w:tcBorders>
            <w:shd w:val="clear" w:color="4F81BD" w:fill="4F81BD"/>
            <w:vAlign w:val="bottom"/>
            <w:hideMark/>
          </w:tcPr>
          <w:p w:rsidR="00655142" w:rsidRPr="00655142" w:rsidRDefault="00655142" w:rsidP="00655142">
            <w:pPr>
              <w:spacing w:after="0" w:line="240" w:lineRule="auto"/>
              <w:rPr>
                <w:rFonts w:ascii="Calibri" w:eastAsia="Times New Roman" w:hAnsi="Calibri" w:cs="Times New Roman"/>
                <w:b/>
                <w:bCs/>
                <w:color w:val="FFFFFF"/>
                <w:lang w:eastAsia="en-GB"/>
              </w:rPr>
            </w:pPr>
            <w:r w:rsidRPr="00655142">
              <w:rPr>
                <w:rFonts w:ascii="Calibri" w:eastAsia="Times New Roman" w:hAnsi="Calibri" w:cs="Times New Roman"/>
                <w:b/>
                <w:bCs/>
                <w:color w:val="FFFFFF"/>
                <w:lang w:eastAsia="en-GB"/>
              </w:rPr>
              <w:t xml:space="preserve">Recoupment for </w:t>
            </w:r>
            <w:proofErr w:type="spellStart"/>
            <w:r w:rsidRPr="00655142">
              <w:rPr>
                <w:rFonts w:ascii="Calibri" w:eastAsia="Times New Roman" w:hAnsi="Calibri" w:cs="Times New Roman"/>
                <w:b/>
                <w:bCs/>
                <w:color w:val="FFFFFF"/>
                <w:lang w:eastAsia="en-GB"/>
              </w:rPr>
              <w:t>acadmies</w:t>
            </w:r>
            <w:proofErr w:type="spellEnd"/>
          </w:p>
        </w:tc>
        <w:tc>
          <w:tcPr>
            <w:tcW w:w="1655" w:type="dxa"/>
            <w:tcBorders>
              <w:top w:val="single" w:sz="4" w:space="0" w:color="95B3D7"/>
              <w:left w:val="nil"/>
              <w:bottom w:val="single" w:sz="4" w:space="0" w:color="95B3D7"/>
              <w:right w:val="nil"/>
            </w:tcBorders>
            <w:shd w:val="clear" w:color="4F81BD" w:fill="4F81BD"/>
            <w:vAlign w:val="bottom"/>
            <w:hideMark/>
          </w:tcPr>
          <w:p w:rsidR="00655142" w:rsidRPr="00655142" w:rsidRDefault="00655142" w:rsidP="00655142">
            <w:pPr>
              <w:spacing w:after="0" w:line="240" w:lineRule="auto"/>
              <w:rPr>
                <w:rFonts w:ascii="Calibri" w:eastAsia="Times New Roman" w:hAnsi="Calibri" w:cs="Times New Roman"/>
                <w:b/>
                <w:bCs/>
                <w:color w:val="FFFFFF"/>
                <w:lang w:eastAsia="en-GB"/>
              </w:rPr>
            </w:pPr>
            <w:r w:rsidRPr="00655142">
              <w:rPr>
                <w:rFonts w:ascii="Calibri" w:eastAsia="Times New Roman" w:hAnsi="Calibri" w:cs="Times New Roman"/>
                <w:b/>
                <w:bCs/>
                <w:color w:val="FFFFFF"/>
                <w:lang w:eastAsia="en-GB"/>
              </w:rPr>
              <w:t>Current budget after recoupment</w:t>
            </w:r>
          </w:p>
        </w:tc>
        <w:tc>
          <w:tcPr>
            <w:tcW w:w="1383" w:type="dxa"/>
            <w:tcBorders>
              <w:top w:val="single" w:sz="4" w:space="0" w:color="95B3D7"/>
              <w:left w:val="nil"/>
              <w:bottom w:val="single" w:sz="4" w:space="0" w:color="95B3D7"/>
              <w:right w:val="single" w:sz="4" w:space="0" w:color="95B3D7"/>
            </w:tcBorders>
            <w:shd w:val="clear" w:color="4F81BD" w:fill="4F81BD"/>
            <w:vAlign w:val="bottom"/>
            <w:hideMark/>
          </w:tcPr>
          <w:p w:rsidR="00655142" w:rsidRPr="00655142" w:rsidRDefault="00655142" w:rsidP="00655142">
            <w:pPr>
              <w:spacing w:after="0" w:line="240" w:lineRule="auto"/>
              <w:rPr>
                <w:rFonts w:ascii="Calibri" w:eastAsia="Times New Roman" w:hAnsi="Calibri" w:cs="Times New Roman"/>
                <w:b/>
                <w:bCs/>
                <w:color w:val="FFFFFF"/>
                <w:lang w:eastAsia="en-GB"/>
              </w:rPr>
            </w:pPr>
            <w:r w:rsidRPr="00655142">
              <w:rPr>
                <w:rFonts w:ascii="Calibri" w:eastAsia="Times New Roman" w:hAnsi="Calibri" w:cs="Times New Roman"/>
                <w:b/>
                <w:bCs/>
                <w:color w:val="FFFFFF"/>
                <w:lang w:eastAsia="en-GB"/>
              </w:rPr>
              <w:t>Year end forecast</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DCE6F1" w:fill="DCE6F1"/>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p>
        </w:tc>
        <w:tc>
          <w:tcPr>
            <w:tcW w:w="1655" w:type="dxa"/>
            <w:tcBorders>
              <w:top w:val="single" w:sz="4" w:space="0" w:color="95B3D7"/>
              <w:left w:val="nil"/>
              <w:bottom w:val="single" w:sz="4" w:space="0" w:color="95B3D7"/>
              <w:right w:val="nil"/>
            </w:tcBorders>
            <w:shd w:val="clear" w:color="DCE6F1" w:fill="DCE6F1"/>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£000</w:t>
            </w:r>
          </w:p>
        </w:tc>
        <w:tc>
          <w:tcPr>
            <w:tcW w:w="1769" w:type="dxa"/>
            <w:tcBorders>
              <w:top w:val="single" w:sz="4" w:space="0" w:color="95B3D7"/>
              <w:left w:val="nil"/>
              <w:bottom w:val="single" w:sz="4" w:space="0" w:color="95B3D7"/>
              <w:right w:val="nil"/>
            </w:tcBorders>
            <w:shd w:val="clear" w:color="DCE6F1" w:fill="DCE6F1"/>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£000</w:t>
            </w:r>
          </w:p>
        </w:tc>
        <w:tc>
          <w:tcPr>
            <w:tcW w:w="1655" w:type="dxa"/>
            <w:tcBorders>
              <w:top w:val="single" w:sz="4" w:space="0" w:color="95B3D7"/>
              <w:left w:val="nil"/>
              <w:bottom w:val="single" w:sz="4" w:space="0" w:color="95B3D7"/>
              <w:right w:val="nil"/>
            </w:tcBorders>
            <w:shd w:val="clear" w:color="DCE6F1" w:fill="DCE6F1"/>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£000</w:t>
            </w:r>
          </w:p>
        </w:tc>
        <w:tc>
          <w:tcPr>
            <w:tcW w:w="1383" w:type="dxa"/>
            <w:tcBorders>
              <w:top w:val="single" w:sz="4" w:space="0" w:color="95B3D7"/>
              <w:left w:val="nil"/>
              <w:bottom w:val="single" w:sz="4" w:space="0" w:color="95B3D7"/>
              <w:right w:val="single" w:sz="4" w:space="0" w:color="95B3D7"/>
            </w:tcBorders>
            <w:shd w:val="clear" w:color="DCE6F1" w:fill="DCE6F1"/>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£000</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auto" w:fill="auto"/>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Schools Block</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178,010</w:t>
            </w:r>
          </w:p>
        </w:tc>
        <w:tc>
          <w:tcPr>
            <w:tcW w:w="1769"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(77,445)</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100,565</w:t>
            </w:r>
          </w:p>
        </w:tc>
        <w:tc>
          <w:tcPr>
            <w:tcW w:w="1383" w:type="dxa"/>
            <w:tcBorders>
              <w:top w:val="single" w:sz="4" w:space="0" w:color="95B3D7"/>
              <w:left w:val="nil"/>
              <w:bottom w:val="single" w:sz="4" w:space="0" w:color="95B3D7"/>
              <w:right w:val="single" w:sz="4" w:space="0" w:color="95B3D7"/>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(345)</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DCE6F1" w:fill="DCE6F1"/>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Central Schools </w:t>
            </w:r>
            <w:r w:rsidRPr="00655142">
              <w:rPr>
                <w:rFonts w:ascii="Calibri" w:eastAsia="Times New Roman" w:hAnsi="Calibri" w:cs="Times New Roman"/>
                <w:color w:val="000000"/>
                <w:lang w:eastAsia="en-GB"/>
              </w:rPr>
              <w:t>Block</w:t>
            </w: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3,289</w:t>
            </w:r>
          </w:p>
        </w:tc>
        <w:tc>
          <w:tcPr>
            <w:tcW w:w="1769"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3,289</w:t>
            </w:r>
          </w:p>
        </w:tc>
        <w:tc>
          <w:tcPr>
            <w:tcW w:w="1383" w:type="dxa"/>
            <w:tcBorders>
              <w:top w:val="single" w:sz="4" w:space="0" w:color="95B3D7"/>
              <w:left w:val="nil"/>
              <w:bottom w:val="single" w:sz="4" w:space="0" w:color="95B3D7"/>
              <w:right w:val="single" w:sz="4" w:space="0" w:color="95B3D7"/>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(56)</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auto" w:fill="auto"/>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High Needs Block</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31,723</w:t>
            </w:r>
          </w:p>
        </w:tc>
        <w:tc>
          <w:tcPr>
            <w:tcW w:w="1769"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(2,764)</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28,959</w:t>
            </w:r>
          </w:p>
        </w:tc>
        <w:tc>
          <w:tcPr>
            <w:tcW w:w="1383" w:type="dxa"/>
            <w:tcBorders>
              <w:top w:val="single" w:sz="4" w:space="0" w:color="95B3D7"/>
              <w:left w:val="nil"/>
              <w:bottom w:val="single" w:sz="4" w:space="0" w:color="95B3D7"/>
              <w:right w:val="single" w:sz="4" w:space="0" w:color="95B3D7"/>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 xml:space="preserve">2,419 </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DCE6F1" w:fill="DCE6F1"/>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Early Years Block</w:t>
            </w: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16,455</w:t>
            </w:r>
          </w:p>
        </w:tc>
        <w:tc>
          <w:tcPr>
            <w:tcW w:w="1769"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16,455</w:t>
            </w:r>
          </w:p>
        </w:tc>
        <w:tc>
          <w:tcPr>
            <w:tcW w:w="1383" w:type="dxa"/>
            <w:tcBorders>
              <w:top w:val="single" w:sz="4" w:space="0" w:color="95B3D7"/>
              <w:left w:val="nil"/>
              <w:bottom w:val="single" w:sz="4" w:space="0" w:color="95B3D7"/>
              <w:right w:val="single" w:sz="4" w:space="0" w:color="95B3D7"/>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(73)</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auto" w:fill="auto"/>
            <w:noWrap/>
            <w:vAlign w:val="bottom"/>
            <w:hideMark/>
          </w:tcPr>
          <w:p w:rsidR="00655142" w:rsidRPr="00655142" w:rsidRDefault="00655142" w:rsidP="00655142">
            <w:pPr>
              <w:spacing w:after="0" w:line="240" w:lineRule="auto"/>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Grant</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(229,477)</w:t>
            </w:r>
          </w:p>
        </w:tc>
        <w:tc>
          <w:tcPr>
            <w:tcW w:w="1769"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 xml:space="preserve">80,209 </w:t>
            </w:r>
          </w:p>
        </w:tc>
        <w:tc>
          <w:tcPr>
            <w:tcW w:w="1655" w:type="dxa"/>
            <w:tcBorders>
              <w:top w:val="single" w:sz="4" w:space="0" w:color="95B3D7"/>
              <w:left w:val="nil"/>
              <w:bottom w:val="single" w:sz="4" w:space="0" w:color="95B3D7"/>
              <w:right w:val="nil"/>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(149,268)</w:t>
            </w:r>
          </w:p>
        </w:tc>
        <w:tc>
          <w:tcPr>
            <w:tcW w:w="1383" w:type="dxa"/>
            <w:tcBorders>
              <w:top w:val="single" w:sz="4" w:space="0" w:color="95B3D7"/>
              <w:left w:val="nil"/>
              <w:bottom w:val="single" w:sz="4" w:space="0" w:color="95B3D7"/>
              <w:right w:val="single" w:sz="4" w:space="0" w:color="95B3D7"/>
            </w:tcBorders>
            <w:shd w:val="clear" w:color="auto" w:fill="auto"/>
            <w:noWrap/>
            <w:vAlign w:val="bottom"/>
            <w:hideMark/>
          </w:tcPr>
          <w:p w:rsidR="00655142" w:rsidRPr="00655142" w:rsidRDefault="00655142" w:rsidP="00655142">
            <w:pPr>
              <w:spacing w:after="0" w:line="240" w:lineRule="auto"/>
              <w:jc w:val="right"/>
              <w:rPr>
                <w:rFonts w:ascii="Calibri" w:eastAsia="Times New Roman" w:hAnsi="Calibri" w:cs="Times New Roman"/>
                <w:color w:val="000000"/>
                <w:lang w:eastAsia="en-GB"/>
              </w:rPr>
            </w:pPr>
            <w:r w:rsidRPr="00655142">
              <w:rPr>
                <w:rFonts w:ascii="Calibri" w:eastAsia="Times New Roman" w:hAnsi="Calibri" w:cs="Times New Roman"/>
                <w:color w:val="000000"/>
                <w:lang w:eastAsia="en-GB"/>
              </w:rPr>
              <w:t>(37)</w:t>
            </w:r>
          </w:p>
        </w:tc>
      </w:tr>
      <w:tr w:rsidR="00655142" w:rsidRPr="00655142" w:rsidTr="00655142">
        <w:trPr>
          <w:trHeight w:val="289"/>
        </w:trPr>
        <w:tc>
          <w:tcPr>
            <w:tcW w:w="2404" w:type="dxa"/>
            <w:tcBorders>
              <w:top w:val="single" w:sz="4" w:space="0" w:color="95B3D7"/>
              <w:left w:val="single" w:sz="4" w:space="0" w:color="95B3D7"/>
              <w:bottom w:val="single" w:sz="4" w:space="0" w:color="95B3D7"/>
              <w:right w:val="nil"/>
            </w:tcBorders>
            <w:shd w:val="clear" w:color="DCE6F1" w:fill="DCE6F1"/>
            <w:noWrap/>
            <w:vAlign w:val="bottom"/>
            <w:hideMark/>
          </w:tcPr>
          <w:p w:rsidR="00655142" w:rsidRPr="00655142" w:rsidRDefault="00655142" w:rsidP="00655142">
            <w:pPr>
              <w:spacing w:after="0" w:line="240" w:lineRule="auto"/>
              <w:rPr>
                <w:rFonts w:ascii="Calibri" w:eastAsia="Times New Roman" w:hAnsi="Calibri" w:cs="Times New Roman"/>
                <w:b/>
                <w:color w:val="000000"/>
                <w:lang w:eastAsia="en-GB"/>
              </w:rPr>
            </w:pPr>
            <w:r w:rsidRPr="00655142">
              <w:rPr>
                <w:rFonts w:ascii="Calibri" w:eastAsia="Times New Roman" w:hAnsi="Calibri" w:cs="Times New Roman"/>
                <w:b/>
                <w:color w:val="000000"/>
                <w:lang w:eastAsia="en-GB"/>
              </w:rPr>
              <w:t>Total</w:t>
            </w: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b/>
                <w:color w:val="000000"/>
                <w:lang w:eastAsia="en-GB"/>
              </w:rPr>
            </w:pPr>
            <w:r w:rsidRPr="00655142">
              <w:rPr>
                <w:rFonts w:ascii="Calibri" w:eastAsia="Times New Roman" w:hAnsi="Calibri" w:cs="Times New Roman"/>
                <w:b/>
                <w:color w:val="000000"/>
                <w:lang w:eastAsia="en-GB"/>
              </w:rPr>
              <w:t>0</w:t>
            </w:r>
          </w:p>
        </w:tc>
        <w:tc>
          <w:tcPr>
            <w:tcW w:w="1769"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b/>
                <w:color w:val="000000"/>
                <w:lang w:eastAsia="en-GB"/>
              </w:rPr>
            </w:pPr>
            <w:r w:rsidRPr="00655142">
              <w:rPr>
                <w:rFonts w:ascii="Calibri" w:eastAsia="Times New Roman" w:hAnsi="Calibri" w:cs="Times New Roman"/>
                <w:b/>
                <w:color w:val="000000"/>
                <w:lang w:eastAsia="en-GB"/>
              </w:rPr>
              <w:t>0</w:t>
            </w:r>
          </w:p>
        </w:tc>
        <w:tc>
          <w:tcPr>
            <w:tcW w:w="1655" w:type="dxa"/>
            <w:tcBorders>
              <w:top w:val="single" w:sz="4" w:space="0" w:color="95B3D7"/>
              <w:left w:val="nil"/>
              <w:bottom w:val="single" w:sz="4" w:space="0" w:color="95B3D7"/>
              <w:right w:val="nil"/>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b/>
                <w:color w:val="000000"/>
                <w:lang w:eastAsia="en-GB"/>
              </w:rPr>
            </w:pPr>
            <w:r w:rsidRPr="00655142">
              <w:rPr>
                <w:rFonts w:ascii="Calibri" w:eastAsia="Times New Roman" w:hAnsi="Calibri" w:cs="Times New Roman"/>
                <w:b/>
                <w:color w:val="000000"/>
                <w:lang w:eastAsia="en-GB"/>
              </w:rPr>
              <w:t>0</w:t>
            </w:r>
          </w:p>
        </w:tc>
        <w:tc>
          <w:tcPr>
            <w:tcW w:w="1383" w:type="dxa"/>
            <w:tcBorders>
              <w:top w:val="single" w:sz="4" w:space="0" w:color="95B3D7"/>
              <w:left w:val="nil"/>
              <w:bottom w:val="single" w:sz="4" w:space="0" w:color="95B3D7"/>
              <w:right w:val="single" w:sz="4" w:space="0" w:color="95B3D7"/>
            </w:tcBorders>
            <w:shd w:val="clear" w:color="DCE6F1" w:fill="DCE6F1"/>
            <w:noWrap/>
            <w:vAlign w:val="bottom"/>
            <w:hideMark/>
          </w:tcPr>
          <w:p w:rsidR="00655142" w:rsidRPr="00655142" w:rsidRDefault="00655142" w:rsidP="00655142">
            <w:pPr>
              <w:spacing w:after="0" w:line="240" w:lineRule="auto"/>
              <w:jc w:val="right"/>
              <w:rPr>
                <w:rFonts w:ascii="Calibri" w:eastAsia="Times New Roman" w:hAnsi="Calibri" w:cs="Times New Roman"/>
                <w:b/>
                <w:color w:val="000000"/>
                <w:lang w:eastAsia="en-GB"/>
              </w:rPr>
            </w:pPr>
            <w:r w:rsidRPr="00655142">
              <w:rPr>
                <w:rFonts w:ascii="Calibri" w:eastAsia="Times New Roman" w:hAnsi="Calibri" w:cs="Times New Roman"/>
                <w:b/>
                <w:color w:val="000000"/>
                <w:lang w:eastAsia="en-GB"/>
              </w:rPr>
              <w:t>1,908</w:t>
            </w:r>
          </w:p>
        </w:tc>
      </w:tr>
    </w:tbl>
    <w:p w:rsidR="00D32F89" w:rsidRPr="00D32F89" w:rsidRDefault="00D32F89">
      <w:pPr>
        <w:rPr>
          <w:rFonts w:ascii="Arial" w:hAnsi="Arial" w:cs="Arial"/>
          <w:sz w:val="20"/>
          <w:szCs w:val="20"/>
        </w:rPr>
      </w:pPr>
    </w:p>
    <w:p w:rsidR="00D32F89" w:rsidRPr="00D32F89" w:rsidRDefault="00D32F89" w:rsidP="00D32F89">
      <w:pPr>
        <w:tabs>
          <w:tab w:val="left" w:pos="142"/>
          <w:tab w:val="left" w:pos="567"/>
        </w:tabs>
        <w:spacing w:after="100" w:line="240" w:lineRule="auto"/>
        <w:jc w:val="both"/>
        <w:rPr>
          <w:rFonts w:ascii="Arial" w:eastAsia="Arial" w:hAnsi="Arial" w:cs="Arial"/>
          <w:sz w:val="20"/>
          <w:szCs w:val="20"/>
        </w:rPr>
      </w:pPr>
      <w:r w:rsidRPr="00D32F89">
        <w:rPr>
          <w:rFonts w:ascii="Arial" w:eastAsia="Arial" w:hAnsi="Arial" w:cs="Arial"/>
          <w:sz w:val="20"/>
          <w:szCs w:val="20"/>
        </w:rPr>
        <w:t xml:space="preserve">The allocation of DSG for 2018-19 is £231.6m, of this £80m is deducted at source and passed on to Academies and for the direct funding of High Needs places and a further £2 million is used to meet the deficit brought forward from 2017-18, leaving £149.3 million which is received direct by the council. </w:t>
      </w:r>
    </w:p>
    <w:p w:rsidR="00D32F89" w:rsidRDefault="00D32F89" w:rsidP="00D32F89">
      <w:pPr>
        <w:tabs>
          <w:tab w:val="left" w:pos="142"/>
          <w:tab w:val="left" w:pos="567"/>
        </w:tabs>
        <w:spacing w:after="100" w:line="240" w:lineRule="auto"/>
        <w:jc w:val="both"/>
        <w:rPr>
          <w:rFonts w:ascii="Arial" w:eastAsia="Arial" w:hAnsi="Arial" w:cs="Arial"/>
          <w:sz w:val="20"/>
          <w:szCs w:val="20"/>
        </w:rPr>
      </w:pPr>
      <w:r w:rsidRPr="00D32F89">
        <w:rPr>
          <w:rFonts w:ascii="Arial" w:eastAsia="Arial" w:hAnsi="Arial" w:cs="Arial"/>
          <w:sz w:val="20"/>
          <w:szCs w:val="20"/>
        </w:rPr>
        <w:t>Approval was given by the DfE and the Schools Forum to approve a 1% transfer of funding from the Schools block to the High Needs block which amounted to £1.8million and this transfer is included in the figures above.</w:t>
      </w:r>
    </w:p>
    <w:p w:rsidR="00D32F89" w:rsidRDefault="00D32F89" w:rsidP="00D32F89">
      <w:pPr>
        <w:tabs>
          <w:tab w:val="left" w:pos="142"/>
          <w:tab w:val="left" w:pos="567"/>
        </w:tabs>
        <w:spacing w:after="100" w:line="240" w:lineRule="auto"/>
        <w:jc w:val="both"/>
        <w:rPr>
          <w:rFonts w:ascii="Arial" w:eastAsia="Arial" w:hAnsi="Arial" w:cs="Arial"/>
          <w:sz w:val="20"/>
          <w:szCs w:val="20"/>
        </w:rPr>
      </w:pPr>
    </w:p>
    <w:p w:rsidR="00D32F89" w:rsidRDefault="00D32F89" w:rsidP="00D32F89">
      <w:pPr>
        <w:tabs>
          <w:tab w:val="left" w:pos="142"/>
          <w:tab w:val="left" w:pos="567"/>
        </w:tabs>
        <w:spacing w:after="100" w:line="240" w:lineRule="auto"/>
        <w:jc w:val="both"/>
        <w:rPr>
          <w:rFonts w:ascii="Arial" w:eastAsia="Arial" w:hAnsi="Arial" w:cs="Arial"/>
          <w:sz w:val="20"/>
        </w:rPr>
      </w:pPr>
      <w:r>
        <w:rPr>
          <w:rFonts w:ascii="Arial" w:eastAsia="Arial" w:hAnsi="Arial" w:cs="Arial"/>
          <w:sz w:val="20"/>
        </w:rPr>
        <w:t>As at October 2018, there is an overall forecast overspend of £</w:t>
      </w:r>
      <w:r w:rsidR="006F6550">
        <w:rPr>
          <w:rFonts w:ascii="Arial" w:eastAsia="Arial" w:hAnsi="Arial" w:cs="Arial"/>
          <w:sz w:val="20"/>
        </w:rPr>
        <w:t>1.9million and</w:t>
      </w:r>
      <w:r>
        <w:rPr>
          <w:rFonts w:ascii="Arial" w:eastAsia="Arial" w:hAnsi="Arial" w:cs="Arial"/>
          <w:sz w:val="20"/>
        </w:rPr>
        <w:t xml:space="preserve"> this is largely due to the following:</w:t>
      </w:r>
    </w:p>
    <w:p w:rsidR="00D32F89" w:rsidRDefault="00D32F89" w:rsidP="00D32F89">
      <w:pPr>
        <w:tabs>
          <w:tab w:val="left" w:pos="142"/>
          <w:tab w:val="left" w:pos="567"/>
        </w:tabs>
        <w:spacing w:after="100" w:line="240" w:lineRule="auto"/>
        <w:jc w:val="both"/>
        <w:rPr>
          <w:rFonts w:ascii="Arial" w:eastAsia="Arial" w:hAnsi="Arial" w:cs="Arial"/>
          <w:sz w:val="20"/>
        </w:rPr>
      </w:pPr>
    </w:p>
    <w:p w:rsidR="00D32F89" w:rsidRDefault="00D32F89" w:rsidP="00D32F89">
      <w:pPr>
        <w:tabs>
          <w:tab w:val="left" w:pos="142"/>
          <w:tab w:val="left" w:pos="567"/>
        </w:tabs>
        <w:spacing w:after="100" w:line="240" w:lineRule="auto"/>
        <w:jc w:val="both"/>
        <w:rPr>
          <w:rFonts w:ascii="Arial" w:eastAsia="Arial" w:hAnsi="Arial" w:cs="Arial"/>
          <w:b/>
          <w:sz w:val="20"/>
          <w:u w:val="single"/>
        </w:rPr>
      </w:pPr>
      <w:r>
        <w:rPr>
          <w:rFonts w:ascii="Arial" w:eastAsia="Arial" w:hAnsi="Arial" w:cs="Arial"/>
          <w:b/>
          <w:sz w:val="20"/>
          <w:u w:val="single"/>
        </w:rPr>
        <w:t>Schools Block</w:t>
      </w:r>
    </w:p>
    <w:p w:rsidR="00D32F89" w:rsidRDefault="00D32F89" w:rsidP="00D32F89">
      <w:pPr>
        <w:tabs>
          <w:tab w:val="left" w:pos="142"/>
          <w:tab w:val="left" w:pos="567"/>
        </w:tabs>
        <w:spacing w:after="100" w:line="240" w:lineRule="auto"/>
        <w:jc w:val="both"/>
        <w:rPr>
          <w:rFonts w:ascii="Arial" w:eastAsia="Arial" w:hAnsi="Arial" w:cs="Arial"/>
          <w:sz w:val="20"/>
        </w:rPr>
      </w:pPr>
      <w:r>
        <w:rPr>
          <w:rFonts w:ascii="Arial" w:eastAsia="Arial" w:hAnsi="Arial" w:cs="Arial"/>
          <w:sz w:val="20"/>
        </w:rPr>
        <w:t xml:space="preserve">There is a forecast underspend on the schools block </w:t>
      </w:r>
      <w:r w:rsidR="00C31538">
        <w:rPr>
          <w:rFonts w:ascii="Arial" w:eastAsia="Arial" w:hAnsi="Arial" w:cs="Arial"/>
          <w:sz w:val="20"/>
        </w:rPr>
        <w:t xml:space="preserve">of £345k </w:t>
      </w:r>
      <w:r>
        <w:rPr>
          <w:rFonts w:ascii="Arial" w:eastAsia="Arial" w:hAnsi="Arial" w:cs="Arial"/>
          <w:sz w:val="20"/>
        </w:rPr>
        <w:t>due to:</w:t>
      </w:r>
    </w:p>
    <w:p w:rsidR="00D32F89" w:rsidRDefault="00D32F89" w:rsidP="00D32F89">
      <w:pPr>
        <w:pStyle w:val="ListParagraph"/>
        <w:numPr>
          <w:ilvl w:val="0"/>
          <w:numId w:val="1"/>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 xml:space="preserve">Contingency Fund of </w:t>
      </w:r>
      <w:r w:rsidR="00C31538">
        <w:rPr>
          <w:rFonts w:ascii="Arial" w:eastAsia="Arial" w:hAnsi="Arial" w:cs="Arial"/>
          <w:sz w:val="20"/>
        </w:rPr>
        <w:t>£475k was created to fund the closing deficit budget across the schools that have closed during 2018-19 (Netherton Northside First School, Acklington First School and Belford St Mary’s Middle School). It is expected that the budget will underspend by around £361k. This is subject to change as the final costs are still coming in for those schools.</w:t>
      </w:r>
    </w:p>
    <w:p w:rsidR="00D32F89" w:rsidRPr="00C31538" w:rsidRDefault="00C31538" w:rsidP="00D32F89">
      <w:pPr>
        <w:pStyle w:val="ListParagraph"/>
        <w:numPr>
          <w:ilvl w:val="0"/>
          <w:numId w:val="1"/>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An overspend of £13k is expected on the Behaviour Support team as SLA income has under-achieved by £25k offset by an underspend of £12k on staffing costs.</w:t>
      </w:r>
    </w:p>
    <w:p w:rsidR="00D32F89" w:rsidRDefault="00D32F89" w:rsidP="00D32F89">
      <w:pPr>
        <w:tabs>
          <w:tab w:val="left" w:pos="142"/>
          <w:tab w:val="left" w:pos="567"/>
        </w:tabs>
        <w:spacing w:after="100" w:line="240" w:lineRule="auto"/>
        <w:jc w:val="both"/>
        <w:rPr>
          <w:rFonts w:ascii="Arial" w:eastAsia="Arial" w:hAnsi="Arial" w:cs="Arial"/>
          <w:b/>
          <w:sz w:val="20"/>
          <w:u w:val="single"/>
        </w:rPr>
      </w:pPr>
    </w:p>
    <w:p w:rsidR="00D32F89" w:rsidRDefault="00D32F89" w:rsidP="00D32F89">
      <w:pPr>
        <w:tabs>
          <w:tab w:val="left" w:pos="142"/>
          <w:tab w:val="left" w:pos="567"/>
        </w:tabs>
        <w:spacing w:after="100" w:line="240" w:lineRule="auto"/>
        <w:jc w:val="both"/>
        <w:rPr>
          <w:rFonts w:ascii="Arial" w:eastAsia="Arial" w:hAnsi="Arial" w:cs="Arial"/>
          <w:b/>
          <w:sz w:val="20"/>
          <w:u w:val="single"/>
        </w:rPr>
      </w:pPr>
      <w:r>
        <w:rPr>
          <w:rFonts w:ascii="Arial" w:eastAsia="Arial" w:hAnsi="Arial" w:cs="Arial"/>
          <w:b/>
          <w:sz w:val="20"/>
          <w:u w:val="single"/>
        </w:rPr>
        <w:t>Central Schools Block</w:t>
      </w:r>
    </w:p>
    <w:p w:rsidR="00C31538" w:rsidRDefault="00C31538" w:rsidP="00C31538">
      <w:pPr>
        <w:tabs>
          <w:tab w:val="left" w:pos="142"/>
          <w:tab w:val="left" w:pos="567"/>
        </w:tabs>
        <w:spacing w:after="100" w:line="240" w:lineRule="auto"/>
        <w:jc w:val="both"/>
        <w:rPr>
          <w:rFonts w:ascii="Arial" w:eastAsia="Arial" w:hAnsi="Arial" w:cs="Arial"/>
          <w:sz w:val="20"/>
        </w:rPr>
      </w:pPr>
      <w:r>
        <w:rPr>
          <w:rFonts w:ascii="Arial" w:eastAsia="Arial" w:hAnsi="Arial" w:cs="Arial"/>
          <w:sz w:val="20"/>
        </w:rPr>
        <w:t xml:space="preserve">There </w:t>
      </w:r>
      <w:r w:rsidR="00A20252">
        <w:rPr>
          <w:rFonts w:ascii="Arial" w:eastAsia="Arial" w:hAnsi="Arial" w:cs="Arial"/>
          <w:sz w:val="20"/>
        </w:rPr>
        <w:t xml:space="preserve">is a forecast underspend on the central </w:t>
      </w:r>
      <w:r>
        <w:rPr>
          <w:rFonts w:ascii="Arial" w:eastAsia="Arial" w:hAnsi="Arial" w:cs="Arial"/>
          <w:sz w:val="20"/>
        </w:rPr>
        <w:t>schools block of £56k due largely to:</w:t>
      </w:r>
    </w:p>
    <w:p w:rsidR="00C31538" w:rsidRDefault="00A20252" w:rsidP="00C31538">
      <w:pPr>
        <w:pStyle w:val="ListParagraph"/>
        <w:numPr>
          <w:ilvl w:val="0"/>
          <w:numId w:val="2"/>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A refund of</w:t>
      </w:r>
      <w:r w:rsidR="00C31538">
        <w:rPr>
          <w:rFonts w:ascii="Arial" w:eastAsia="Arial" w:hAnsi="Arial" w:cs="Arial"/>
          <w:sz w:val="20"/>
        </w:rPr>
        <w:t xml:space="preserve"> £</w:t>
      </w:r>
      <w:r>
        <w:rPr>
          <w:rFonts w:ascii="Arial" w:eastAsia="Arial" w:hAnsi="Arial" w:cs="Arial"/>
          <w:sz w:val="20"/>
        </w:rPr>
        <w:t>125k for business rates was received when four schools converted to academy on 1</w:t>
      </w:r>
      <w:r w:rsidRPr="00A20252">
        <w:rPr>
          <w:rFonts w:ascii="Arial" w:eastAsia="Arial" w:hAnsi="Arial" w:cs="Arial"/>
          <w:sz w:val="20"/>
          <w:vertAlign w:val="superscript"/>
        </w:rPr>
        <w:t>st</w:t>
      </w:r>
      <w:r>
        <w:rPr>
          <w:rFonts w:ascii="Arial" w:eastAsia="Arial" w:hAnsi="Arial" w:cs="Arial"/>
          <w:sz w:val="20"/>
        </w:rPr>
        <w:t xml:space="preserve"> April 2018 as the rates allocations reduced to 20% for the full year. </w:t>
      </w:r>
    </w:p>
    <w:p w:rsidR="00A20252" w:rsidRPr="00C31538" w:rsidRDefault="00A20252" w:rsidP="00C31538">
      <w:pPr>
        <w:pStyle w:val="ListParagraph"/>
        <w:numPr>
          <w:ilvl w:val="0"/>
          <w:numId w:val="2"/>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This is offset by an additional payment made to James Calvert Spence College for split site funding of £63k.</w:t>
      </w:r>
    </w:p>
    <w:p w:rsidR="00D32F89" w:rsidRDefault="00D32F89" w:rsidP="00D32F89">
      <w:pPr>
        <w:tabs>
          <w:tab w:val="left" w:pos="142"/>
          <w:tab w:val="left" w:pos="567"/>
        </w:tabs>
        <w:spacing w:after="100" w:line="240" w:lineRule="auto"/>
        <w:jc w:val="both"/>
        <w:rPr>
          <w:rFonts w:ascii="Arial" w:eastAsia="Arial" w:hAnsi="Arial" w:cs="Arial"/>
          <w:b/>
          <w:sz w:val="20"/>
          <w:u w:val="single"/>
        </w:rPr>
      </w:pPr>
    </w:p>
    <w:p w:rsidR="00D32F89" w:rsidRDefault="00D32F89" w:rsidP="00D32F89">
      <w:pPr>
        <w:tabs>
          <w:tab w:val="left" w:pos="142"/>
          <w:tab w:val="left" w:pos="567"/>
        </w:tabs>
        <w:spacing w:after="100" w:line="240" w:lineRule="auto"/>
        <w:jc w:val="both"/>
        <w:rPr>
          <w:rFonts w:ascii="Arial" w:eastAsia="Arial" w:hAnsi="Arial" w:cs="Arial"/>
          <w:b/>
          <w:sz w:val="20"/>
          <w:u w:val="single"/>
        </w:rPr>
      </w:pPr>
      <w:r>
        <w:rPr>
          <w:rFonts w:ascii="Arial" w:eastAsia="Arial" w:hAnsi="Arial" w:cs="Arial"/>
          <w:b/>
          <w:sz w:val="20"/>
          <w:u w:val="single"/>
        </w:rPr>
        <w:t>High Needs Block</w:t>
      </w:r>
    </w:p>
    <w:p w:rsidR="006D0808" w:rsidRDefault="006D0808" w:rsidP="006D0808">
      <w:pPr>
        <w:tabs>
          <w:tab w:val="left" w:pos="142"/>
          <w:tab w:val="left" w:pos="567"/>
        </w:tabs>
        <w:spacing w:after="100" w:line="240" w:lineRule="auto"/>
        <w:jc w:val="both"/>
        <w:rPr>
          <w:rFonts w:ascii="Arial" w:eastAsia="Arial" w:hAnsi="Arial" w:cs="Arial"/>
          <w:sz w:val="20"/>
        </w:rPr>
      </w:pPr>
      <w:r w:rsidRPr="006D0808">
        <w:rPr>
          <w:rFonts w:ascii="Arial" w:eastAsia="Arial" w:hAnsi="Arial" w:cs="Arial"/>
          <w:sz w:val="20"/>
        </w:rPr>
        <w:t>There is a forecast overspend on the high needs block of £2.4 million due largely to:</w:t>
      </w:r>
    </w:p>
    <w:p w:rsidR="006D0808" w:rsidRDefault="006D0808" w:rsidP="006D0808">
      <w:pPr>
        <w:pStyle w:val="ListParagraph"/>
        <w:numPr>
          <w:ilvl w:val="0"/>
          <w:numId w:val="9"/>
        </w:numPr>
        <w:spacing w:after="100" w:line="240" w:lineRule="auto"/>
        <w:jc w:val="both"/>
        <w:rPr>
          <w:rFonts w:ascii="Arial" w:eastAsia="Arial" w:hAnsi="Arial" w:cs="Arial"/>
          <w:sz w:val="20"/>
        </w:rPr>
      </w:pPr>
      <w:r w:rsidRPr="006D0808">
        <w:rPr>
          <w:rFonts w:ascii="Arial" w:eastAsia="Arial" w:hAnsi="Arial" w:cs="Arial"/>
          <w:sz w:val="20"/>
        </w:rPr>
        <w:t>Alternative provision for excluded pupils is now expected to overspend by £670k. At the start of the 2017-18 academic year there was 70 permanent exclusions and this has almost doubled to 131 at the beginning of the 18-19 academic year. It is estimated that a further 10 exclusions will take place on average each month and whilst the service can recover funds for any new exclusions, they are unable to do so for the longer term exclusions.</w:t>
      </w:r>
    </w:p>
    <w:p w:rsidR="006D0808" w:rsidRDefault="006D0808" w:rsidP="006D0808">
      <w:pPr>
        <w:pStyle w:val="ListParagraph"/>
        <w:numPr>
          <w:ilvl w:val="0"/>
          <w:numId w:val="9"/>
        </w:numPr>
        <w:spacing w:after="100" w:line="240" w:lineRule="auto"/>
        <w:jc w:val="both"/>
        <w:rPr>
          <w:rFonts w:ascii="Arial" w:eastAsia="Arial" w:hAnsi="Arial" w:cs="Arial"/>
          <w:sz w:val="20"/>
        </w:rPr>
      </w:pPr>
      <w:r w:rsidRPr="006D0808">
        <w:rPr>
          <w:rFonts w:ascii="Arial" w:eastAsia="Arial" w:hAnsi="Arial" w:cs="Arial"/>
          <w:sz w:val="20"/>
        </w:rPr>
        <w:t xml:space="preserve">A forecast overspend of £758k on Independent Special Schools. This is following </w:t>
      </w:r>
      <w:r>
        <w:rPr>
          <w:rFonts w:ascii="Arial" w:eastAsia="Arial" w:hAnsi="Arial" w:cs="Arial"/>
          <w:sz w:val="20"/>
        </w:rPr>
        <w:t>an increase in placements by 28 over the last academic year to 172 as at September 2018.</w:t>
      </w:r>
    </w:p>
    <w:p w:rsidR="00D32F89" w:rsidRPr="00133AE5" w:rsidRDefault="006D0808" w:rsidP="00133AE5">
      <w:pPr>
        <w:pStyle w:val="ListParagraph"/>
        <w:numPr>
          <w:ilvl w:val="0"/>
          <w:numId w:val="9"/>
        </w:numPr>
        <w:spacing w:after="100" w:line="240" w:lineRule="auto"/>
        <w:jc w:val="both"/>
        <w:rPr>
          <w:rFonts w:ascii="Arial" w:eastAsia="Arial" w:hAnsi="Arial" w:cs="Arial"/>
          <w:sz w:val="20"/>
        </w:rPr>
      </w:pPr>
      <w:r>
        <w:rPr>
          <w:rFonts w:ascii="Arial" w:eastAsia="Arial" w:hAnsi="Arial" w:cs="Arial"/>
          <w:sz w:val="20"/>
        </w:rPr>
        <w:t xml:space="preserve">SEN top-ups are currently predicted to overspend by around £930k. </w:t>
      </w:r>
      <w:r w:rsidR="00133AE5">
        <w:rPr>
          <w:rFonts w:ascii="Arial" w:eastAsia="Arial" w:hAnsi="Arial" w:cs="Arial"/>
          <w:sz w:val="20"/>
        </w:rPr>
        <w:t xml:space="preserve">The vast majority of top ups are paid to children and young people with Education Health and Care Plan and these numbers have risen by 13.6% from 1679 to 1907 in Northumberland over the last 12 months, compared to 11.3% nationally. Latest national data is for the  year to January 2018, but we have seen a continued increase in local Plan numbers since then, the figure currently stands at 2034. </w:t>
      </w:r>
      <w:r w:rsidR="006F6550" w:rsidRPr="00133AE5">
        <w:rPr>
          <w:rFonts w:ascii="Arial" w:eastAsia="Arial" w:hAnsi="Arial" w:cs="Arial"/>
          <w:sz w:val="20"/>
        </w:rPr>
        <w:t>The forecast is subject to change and will be revised once the autu</w:t>
      </w:r>
      <w:r w:rsidR="00133AE5">
        <w:rPr>
          <w:rFonts w:ascii="Arial" w:eastAsia="Arial" w:hAnsi="Arial" w:cs="Arial"/>
          <w:sz w:val="20"/>
        </w:rPr>
        <w:t xml:space="preserve">mn term payments have been made, and final October School Census numbers are available. </w:t>
      </w:r>
    </w:p>
    <w:p w:rsidR="00D32F89" w:rsidRDefault="00D32F89" w:rsidP="00D32F89">
      <w:pPr>
        <w:tabs>
          <w:tab w:val="left" w:pos="142"/>
          <w:tab w:val="left" w:pos="567"/>
        </w:tabs>
        <w:spacing w:after="100" w:line="240" w:lineRule="auto"/>
        <w:jc w:val="both"/>
        <w:rPr>
          <w:rFonts w:ascii="Arial" w:eastAsia="Arial" w:hAnsi="Arial" w:cs="Arial"/>
          <w:b/>
          <w:sz w:val="20"/>
          <w:u w:val="single"/>
        </w:rPr>
      </w:pPr>
      <w:r>
        <w:rPr>
          <w:rFonts w:ascii="Arial" w:eastAsia="Arial" w:hAnsi="Arial" w:cs="Arial"/>
          <w:b/>
          <w:sz w:val="20"/>
          <w:u w:val="single"/>
        </w:rPr>
        <w:t>Early Years Block</w:t>
      </w:r>
    </w:p>
    <w:p w:rsidR="00D32F89" w:rsidRDefault="00A20252" w:rsidP="00D32F89">
      <w:pPr>
        <w:tabs>
          <w:tab w:val="left" w:pos="142"/>
          <w:tab w:val="left" w:pos="567"/>
        </w:tabs>
        <w:spacing w:after="100" w:line="240" w:lineRule="auto"/>
        <w:jc w:val="both"/>
        <w:rPr>
          <w:rFonts w:ascii="Arial" w:eastAsia="Arial" w:hAnsi="Arial" w:cs="Arial"/>
          <w:sz w:val="20"/>
        </w:rPr>
      </w:pPr>
      <w:r>
        <w:rPr>
          <w:rFonts w:ascii="Arial" w:eastAsia="Arial" w:hAnsi="Arial" w:cs="Arial"/>
          <w:sz w:val="20"/>
        </w:rPr>
        <w:t>There is a forecast underspend on the early years block of £73k due largely to:</w:t>
      </w:r>
    </w:p>
    <w:p w:rsidR="00A20252" w:rsidRDefault="00A20252" w:rsidP="00A20252">
      <w:pPr>
        <w:pStyle w:val="ListParagraph"/>
        <w:numPr>
          <w:ilvl w:val="0"/>
          <w:numId w:val="3"/>
        </w:numPr>
        <w:tabs>
          <w:tab w:val="left" w:pos="142"/>
          <w:tab w:val="left" w:pos="567"/>
        </w:tabs>
        <w:spacing w:after="100" w:line="240" w:lineRule="auto"/>
        <w:jc w:val="both"/>
        <w:rPr>
          <w:rFonts w:ascii="Arial" w:eastAsia="Arial" w:hAnsi="Arial" w:cs="Arial"/>
          <w:sz w:val="20"/>
        </w:rPr>
      </w:pPr>
      <w:r w:rsidRPr="00A20252">
        <w:rPr>
          <w:rFonts w:ascii="Arial" w:eastAsia="Arial" w:hAnsi="Arial" w:cs="Arial"/>
          <w:sz w:val="20"/>
        </w:rPr>
        <w:t>An underspend on staffing of £18k due to vac</w:t>
      </w:r>
      <w:r>
        <w:rPr>
          <w:rFonts w:ascii="Arial" w:eastAsia="Arial" w:hAnsi="Arial" w:cs="Arial"/>
          <w:sz w:val="20"/>
        </w:rPr>
        <w:t>ant posts that have now been filled.</w:t>
      </w:r>
    </w:p>
    <w:p w:rsidR="00A20252" w:rsidRDefault="00A20252" w:rsidP="00A20252">
      <w:pPr>
        <w:pStyle w:val="ListParagraph"/>
        <w:numPr>
          <w:ilvl w:val="0"/>
          <w:numId w:val="3"/>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Additional income received of £53k.</w:t>
      </w:r>
    </w:p>
    <w:p w:rsidR="0043620D" w:rsidRPr="00A20252" w:rsidRDefault="0043620D" w:rsidP="0043620D">
      <w:pPr>
        <w:pStyle w:val="ListParagraph"/>
        <w:tabs>
          <w:tab w:val="left" w:pos="142"/>
          <w:tab w:val="left" w:pos="567"/>
        </w:tabs>
        <w:spacing w:after="100" w:line="240" w:lineRule="auto"/>
        <w:jc w:val="both"/>
        <w:rPr>
          <w:rFonts w:ascii="Arial" w:eastAsia="Arial" w:hAnsi="Arial" w:cs="Arial"/>
          <w:sz w:val="20"/>
        </w:rPr>
      </w:pPr>
    </w:p>
    <w:p w:rsidR="00D32F89" w:rsidRPr="00D32F89" w:rsidRDefault="00D32F89" w:rsidP="00D32F89">
      <w:pPr>
        <w:tabs>
          <w:tab w:val="left" w:pos="142"/>
          <w:tab w:val="left" w:pos="567"/>
        </w:tabs>
        <w:spacing w:after="100" w:line="240" w:lineRule="auto"/>
        <w:jc w:val="both"/>
        <w:rPr>
          <w:rFonts w:ascii="Arial" w:eastAsia="Arial" w:hAnsi="Arial" w:cs="Arial"/>
          <w:b/>
          <w:sz w:val="20"/>
          <w:szCs w:val="20"/>
          <w:u w:val="single"/>
        </w:rPr>
      </w:pPr>
      <w:r>
        <w:rPr>
          <w:rFonts w:ascii="Arial" w:eastAsia="Arial" w:hAnsi="Arial" w:cs="Arial"/>
          <w:b/>
          <w:sz w:val="20"/>
          <w:u w:val="single"/>
        </w:rPr>
        <w:t>Grant</w:t>
      </w:r>
    </w:p>
    <w:p w:rsidR="0043620D" w:rsidRDefault="0043620D" w:rsidP="0043620D">
      <w:pPr>
        <w:tabs>
          <w:tab w:val="left" w:pos="142"/>
          <w:tab w:val="left" w:pos="567"/>
        </w:tabs>
        <w:spacing w:after="100" w:line="240" w:lineRule="auto"/>
        <w:jc w:val="both"/>
        <w:rPr>
          <w:rFonts w:ascii="Arial" w:eastAsia="Arial" w:hAnsi="Arial" w:cs="Arial"/>
          <w:sz w:val="20"/>
        </w:rPr>
      </w:pPr>
      <w:r>
        <w:rPr>
          <w:rFonts w:ascii="Arial" w:eastAsia="Arial" w:hAnsi="Arial" w:cs="Arial"/>
          <w:sz w:val="20"/>
        </w:rPr>
        <w:t>There is a forecast underspend on the grant of £37k due to:</w:t>
      </w:r>
    </w:p>
    <w:p w:rsidR="0043620D" w:rsidRPr="0043620D" w:rsidRDefault="0043620D" w:rsidP="0043620D">
      <w:pPr>
        <w:pStyle w:val="ListParagraph"/>
        <w:numPr>
          <w:ilvl w:val="0"/>
          <w:numId w:val="6"/>
        </w:numPr>
        <w:tabs>
          <w:tab w:val="left" w:pos="142"/>
          <w:tab w:val="left" w:pos="567"/>
        </w:tabs>
        <w:spacing w:after="100" w:line="240" w:lineRule="auto"/>
        <w:jc w:val="both"/>
        <w:rPr>
          <w:rFonts w:ascii="Arial" w:eastAsia="Arial" w:hAnsi="Arial" w:cs="Arial"/>
          <w:sz w:val="20"/>
        </w:rPr>
      </w:pPr>
      <w:r>
        <w:rPr>
          <w:rFonts w:ascii="Arial" w:eastAsia="Arial" w:hAnsi="Arial" w:cs="Arial"/>
          <w:sz w:val="20"/>
        </w:rPr>
        <w:t>Early Years clawback for funded nursery hours in 2017-18 was less than expected. The additional grant received has not been allocated to a block so that it can be used to contribute to the overall pressures across the grant.</w:t>
      </w:r>
    </w:p>
    <w:p w:rsidR="00D32F89" w:rsidRPr="00D32F89" w:rsidRDefault="00D32F89">
      <w:pPr>
        <w:rPr>
          <w:rFonts w:ascii="Arial" w:hAnsi="Arial" w:cs="Arial"/>
          <w:sz w:val="20"/>
          <w:szCs w:val="20"/>
        </w:rPr>
      </w:pPr>
    </w:p>
    <w:sectPr w:rsidR="00D32F89" w:rsidRPr="00D32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508"/>
    <w:multiLevelType w:val="hybridMultilevel"/>
    <w:tmpl w:val="1422D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7A4705C"/>
    <w:multiLevelType w:val="hybridMultilevel"/>
    <w:tmpl w:val="9A66A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085CD9"/>
    <w:multiLevelType w:val="hybridMultilevel"/>
    <w:tmpl w:val="9C1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B7A44"/>
    <w:multiLevelType w:val="hybridMultilevel"/>
    <w:tmpl w:val="B1382D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47C9360C"/>
    <w:multiLevelType w:val="hybridMultilevel"/>
    <w:tmpl w:val="702CCE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4DD470C2"/>
    <w:multiLevelType w:val="hybridMultilevel"/>
    <w:tmpl w:val="111E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79025A"/>
    <w:multiLevelType w:val="hybridMultilevel"/>
    <w:tmpl w:val="EF4A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07137"/>
    <w:multiLevelType w:val="hybridMultilevel"/>
    <w:tmpl w:val="351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37707A"/>
    <w:multiLevelType w:val="hybridMultilevel"/>
    <w:tmpl w:val="7C1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89"/>
    <w:rsid w:val="00133AE5"/>
    <w:rsid w:val="0043620D"/>
    <w:rsid w:val="004E05EF"/>
    <w:rsid w:val="005B4214"/>
    <w:rsid w:val="00655142"/>
    <w:rsid w:val="006D0808"/>
    <w:rsid w:val="006F6550"/>
    <w:rsid w:val="00A20252"/>
    <w:rsid w:val="00C31538"/>
    <w:rsid w:val="00D3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89"/>
    <w:pPr>
      <w:ind w:left="720"/>
      <w:contextualSpacing/>
    </w:pPr>
  </w:style>
  <w:style w:type="paragraph" w:styleId="BalloonText">
    <w:name w:val="Balloon Text"/>
    <w:basedOn w:val="Normal"/>
    <w:link w:val="BalloonTextChar"/>
    <w:uiPriority w:val="99"/>
    <w:semiHidden/>
    <w:unhideWhenUsed/>
    <w:rsid w:val="005B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89"/>
    <w:pPr>
      <w:ind w:left="720"/>
      <w:contextualSpacing/>
    </w:pPr>
  </w:style>
  <w:style w:type="paragraph" w:styleId="BalloonText">
    <w:name w:val="Balloon Text"/>
    <w:basedOn w:val="Normal"/>
    <w:link w:val="BalloonTextChar"/>
    <w:uiPriority w:val="99"/>
    <w:semiHidden/>
    <w:unhideWhenUsed/>
    <w:rsid w:val="005B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1224">
      <w:bodyDiv w:val="1"/>
      <w:marLeft w:val="0"/>
      <w:marRight w:val="0"/>
      <w:marTop w:val="0"/>
      <w:marBottom w:val="0"/>
      <w:divBdr>
        <w:top w:val="none" w:sz="0" w:space="0" w:color="auto"/>
        <w:left w:val="none" w:sz="0" w:space="0" w:color="auto"/>
        <w:bottom w:val="none" w:sz="0" w:space="0" w:color="auto"/>
        <w:right w:val="none" w:sz="0" w:space="0" w:color="auto"/>
      </w:divBdr>
    </w:div>
    <w:div w:id="1130054164">
      <w:bodyDiv w:val="1"/>
      <w:marLeft w:val="0"/>
      <w:marRight w:val="0"/>
      <w:marTop w:val="0"/>
      <w:marBottom w:val="0"/>
      <w:divBdr>
        <w:top w:val="none" w:sz="0" w:space="0" w:color="auto"/>
        <w:left w:val="none" w:sz="0" w:space="0" w:color="auto"/>
        <w:bottom w:val="none" w:sz="0" w:space="0" w:color="auto"/>
        <w:right w:val="none" w:sz="0" w:space="0" w:color="auto"/>
      </w:divBdr>
    </w:div>
    <w:div w:id="1912621345">
      <w:bodyDiv w:val="1"/>
      <w:marLeft w:val="0"/>
      <w:marRight w:val="0"/>
      <w:marTop w:val="0"/>
      <w:marBottom w:val="0"/>
      <w:divBdr>
        <w:top w:val="none" w:sz="0" w:space="0" w:color="auto"/>
        <w:left w:val="none" w:sz="0" w:space="0" w:color="auto"/>
        <w:bottom w:val="none" w:sz="0" w:space="0" w:color="auto"/>
        <w:right w:val="none" w:sz="0" w:space="0" w:color="auto"/>
      </w:divBdr>
    </w:div>
    <w:div w:id="21305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Abigail</dc:creator>
  <cp:lastModifiedBy>Parvin, Bruce</cp:lastModifiedBy>
  <cp:revision>3</cp:revision>
  <dcterms:created xsi:type="dcterms:W3CDTF">2018-11-09T17:37:00Z</dcterms:created>
  <dcterms:modified xsi:type="dcterms:W3CDTF">2018-11-14T14:10:00Z</dcterms:modified>
</cp:coreProperties>
</file>