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8A" w:rsidRDefault="00D018C1" w:rsidP="00CD618A">
      <w:pPr>
        <w:jc w:val="center"/>
      </w:pPr>
      <w:r>
        <w:rPr>
          <w:noProof/>
        </w:rPr>
        <w:drawing>
          <wp:inline distT="0" distB="0" distL="0" distR="0">
            <wp:extent cx="2857500" cy="581025"/>
            <wp:effectExtent l="0" t="0" r="0" b="0"/>
            <wp:docPr id="1" name="Picture 1" descr="logo_n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or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18A" w:rsidRDefault="00CD618A" w:rsidP="00CD618A">
      <w:pPr>
        <w:jc w:val="center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265"/>
        <w:gridCol w:w="4772"/>
        <w:gridCol w:w="2208"/>
      </w:tblGrid>
      <w:tr w:rsidR="00CD618A">
        <w:tc>
          <w:tcPr>
            <w:tcW w:w="1225" w:type="pct"/>
          </w:tcPr>
          <w:p w:rsidR="00CD618A" w:rsidRDefault="00CD618A" w:rsidP="00CD618A">
            <w:pPr>
              <w:pStyle w:val="Header"/>
              <w:jc w:val="center"/>
            </w:pPr>
          </w:p>
        </w:tc>
        <w:tc>
          <w:tcPr>
            <w:tcW w:w="2581" w:type="pct"/>
            <w:tcBorders>
              <w:bottom w:val="single" w:sz="4" w:space="0" w:color="auto"/>
            </w:tcBorders>
          </w:tcPr>
          <w:p w:rsidR="00CD618A" w:rsidRPr="009D0A00" w:rsidRDefault="00F97085" w:rsidP="00CD618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Wellbeing and Community Health</w:t>
            </w:r>
          </w:p>
        </w:tc>
        <w:tc>
          <w:tcPr>
            <w:tcW w:w="1195" w:type="pct"/>
          </w:tcPr>
          <w:p w:rsidR="00CD618A" w:rsidRDefault="00CD618A" w:rsidP="00CD618A">
            <w:pPr>
              <w:rPr>
                <w:b/>
                <w:bCs/>
              </w:rPr>
            </w:pPr>
          </w:p>
        </w:tc>
      </w:tr>
      <w:tr w:rsidR="00CD618A">
        <w:tc>
          <w:tcPr>
            <w:tcW w:w="1225" w:type="pct"/>
          </w:tcPr>
          <w:p w:rsidR="00CD618A" w:rsidRDefault="00CD618A" w:rsidP="00CD618A">
            <w:pPr>
              <w:pStyle w:val="Heading2"/>
            </w:pPr>
          </w:p>
        </w:tc>
        <w:tc>
          <w:tcPr>
            <w:tcW w:w="2581" w:type="pct"/>
            <w:tcBorders>
              <w:top w:val="single" w:sz="4" w:space="0" w:color="auto"/>
            </w:tcBorders>
          </w:tcPr>
          <w:p w:rsidR="00CD618A" w:rsidRPr="00450580" w:rsidRDefault="00CD618A" w:rsidP="00CD618A">
            <w:pPr>
              <w:jc w:val="center"/>
              <w:rPr>
                <w:b/>
                <w:bCs/>
              </w:rPr>
            </w:pPr>
          </w:p>
        </w:tc>
        <w:tc>
          <w:tcPr>
            <w:tcW w:w="1195" w:type="pct"/>
          </w:tcPr>
          <w:p w:rsidR="00CD618A" w:rsidRDefault="00CD618A" w:rsidP="00CD618A">
            <w:pPr>
              <w:rPr>
                <w:b/>
                <w:bCs/>
              </w:rPr>
            </w:pPr>
          </w:p>
        </w:tc>
      </w:tr>
    </w:tbl>
    <w:p w:rsidR="00CD618A" w:rsidRDefault="00CD618A" w:rsidP="00CD618A">
      <w:pPr>
        <w:rPr>
          <w:b/>
          <w:bCs/>
        </w:rPr>
      </w:pPr>
    </w:p>
    <w:p w:rsidR="00CD618A" w:rsidRPr="006A4A6F" w:rsidRDefault="00CD618A" w:rsidP="00CD618A">
      <w:pPr>
        <w:jc w:val="center"/>
        <w:rPr>
          <w:b/>
          <w:sz w:val="28"/>
          <w:szCs w:val="28"/>
        </w:rPr>
      </w:pPr>
      <w:r w:rsidRPr="006A4A6F">
        <w:rPr>
          <w:b/>
          <w:sz w:val="28"/>
          <w:szCs w:val="28"/>
        </w:rPr>
        <w:t>SCHOOLS</w:t>
      </w:r>
      <w:r>
        <w:rPr>
          <w:b/>
          <w:sz w:val="28"/>
          <w:szCs w:val="28"/>
        </w:rPr>
        <w:t>’</w:t>
      </w:r>
      <w:r w:rsidRPr="006A4A6F">
        <w:rPr>
          <w:b/>
          <w:sz w:val="28"/>
          <w:szCs w:val="28"/>
        </w:rPr>
        <w:t xml:space="preserve"> FORUM</w:t>
      </w:r>
    </w:p>
    <w:p w:rsidR="00CD618A" w:rsidRPr="006A4A6F" w:rsidRDefault="00CD618A" w:rsidP="00CD618A">
      <w:pPr>
        <w:jc w:val="center"/>
        <w:rPr>
          <w:b/>
          <w:sz w:val="28"/>
          <w:szCs w:val="28"/>
        </w:rPr>
      </w:pPr>
    </w:p>
    <w:p w:rsidR="00CD618A" w:rsidRPr="006A4A6F" w:rsidRDefault="00F97085" w:rsidP="00CD6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39337B">
        <w:rPr>
          <w:b/>
          <w:sz w:val="28"/>
          <w:szCs w:val="28"/>
        </w:rPr>
        <w:t xml:space="preserve"> </w:t>
      </w:r>
      <w:r w:rsidR="002610EC">
        <w:rPr>
          <w:b/>
          <w:sz w:val="28"/>
          <w:szCs w:val="28"/>
        </w:rPr>
        <w:t>February</w:t>
      </w:r>
      <w:r w:rsidR="0039337B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</w:p>
    <w:p w:rsidR="00CD618A" w:rsidRPr="006A4A6F" w:rsidRDefault="00CD618A" w:rsidP="00CD618A">
      <w:pPr>
        <w:jc w:val="center"/>
        <w:rPr>
          <w:b/>
          <w:sz w:val="28"/>
          <w:szCs w:val="28"/>
        </w:rPr>
      </w:pPr>
    </w:p>
    <w:p w:rsidR="00CD618A" w:rsidRDefault="006A6247" w:rsidP="00CD618A">
      <w:pPr>
        <w:jc w:val="center"/>
        <w:rPr>
          <w:b/>
        </w:rPr>
      </w:pPr>
      <w:r>
        <w:rPr>
          <w:b/>
          <w:sz w:val="28"/>
          <w:szCs w:val="28"/>
        </w:rPr>
        <w:t>Revisions to</w:t>
      </w:r>
      <w:r w:rsidR="006C28DC">
        <w:rPr>
          <w:b/>
          <w:sz w:val="28"/>
          <w:szCs w:val="28"/>
        </w:rPr>
        <w:t xml:space="preserve"> the </w:t>
      </w:r>
      <w:r w:rsidR="0021253D">
        <w:rPr>
          <w:b/>
          <w:sz w:val="28"/>
          <w:szCs w:val="28"/>
        </w:rPr>
        <w:t>Dedicated 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7F236" wp14:editId="7B13B41E">
                <wp:simplePos x="0" y="0"/>
                <wp:positionH relativeFrom="column">
                  <wp:posOffset>5286375</wp:posOffset>
                </wp:positionH>
                <wp:positionV relativeFrom="paragraph">
                  <wp:posOffset>-2477135</wp:posOffset>
                </wp:positionV>
                <wp:extent cx="819150" cy="247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247" w:rsidRPr="0009434E" w:rsidRDefault="006A6247" w:rsidP="006A6247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09434E">
                              <w:rPr>
                                <w:i/>
                              </w:rPr>
                              <w:t xml:space="preserve">Item </w:t>
                            </w:r>
                            <w:r>
                              <w:rPr>
                                <w:i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25pt;margin-top:-195.05pt;width:64.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" fillcolor="white [3201]" stroked="f" strokeweight=".5pt">
                <v:textbox>
                  <w:txbxContent>
                    <w:p w:rsidR="006A6247" w:rsidRPr="0009434E" w:rsidRDefault="006A6247" w:rsidP="006A6247">
                      <w:pPr>
                        <w:jc w:val="right"/>
                        <w:rPr>
                          <w:i/>
                        </w:rPr>
                      </w:pPr>
                      <w:r w:rsidRPr="0009434E">
                        <w:rPr>
                          <w:i/>
                        </w:rPr>
                        <w:t xml:space="preserve">Item </w:t>
                      </w:r>
                      <w:r>
                        <w:rPr>
                          <w:i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1253D">
        <w:rPr>
          <w:b/>
          <w:sz w:val="28"/>
          <w:szCs w:val="28"/>
        </w:rPr>
        <w:t>chools Grant (DSG)</w:t>
      </w:r>
      <w:r w:rsidR="008934FC">
        <w:rPr>
          <w:b/>
          <w:sz w:val="28"/>
          <w:szCs w:val="28"/>
        </w:rPr>
        <w:t xml:space="preserve"> for </w:t>
      </w:r>
      <w:r w:rsidR="00F97085">
        <w:rPr>
          <w:b/>
          <w:sz w:val="28"/>
          <w:szCs w:val="28"/>
        </w:rPr>
        <w:t>2017-18</w:t>
      </w:r>
    </w:p>
    <w:p w:rsidR="00CD618A" w:rsidRDefault="00CD618A" w:rsidP="00CD618A">
      <w:pPr>
        <w:jc w:val="center"/>
        <w:rPr>
          <w:b/>
        </w:rPr>
      </w:pPr>
    </w:p>
    <w:p w:rsidR="00F67960" w:rsidRDefault="00F67960" w:rsidP="00CD618A">
      <w:pPr>
        <w:jc w:val="center"/>
        <w:rPr>
          <w:b/>
        </w:rPr>
      </w:pPr>
    </w:p>
    <w:p w:rsidR="00CD618A" w:rsidRPr="00754550" w:rsidRDefault="00CD618A" w:rsidP="003C5670">
      <w:pPr>
        <w:rPr>
          <w:b/>
        </w:rPr>
      </w:pPr>
      <w:r w:rsidRPr="00754550">
        <w:rPr>
          <w:b/>
        </w:rPr>
        <w:t>1.</w:t>
      </w:r>
      <w:r w:rsidRPr="00754550">
        <w:rPr>
          <w:b/>
        </w:rPr>
        <w:tab/>
        <w:t>Purpose of the Report</w:t>
      </w:r>
    </w:p>
    <w:p w:rsidR="00CD618A" w:rsidRDefault="00CD618A" w:rsidP="003C5670">
      <w:pPr>
        <w:ind w:left="720"/>
      </w:pPr>
    </w:p>
    <w:p w:rsidR="00B82ABA" w:rsidRPr="00793397" w:rsidRDefault="00B82ABA" w:rsidP="003C5670">
      <w:pPr>
        <w:ind w:left="720"/>
      </w:pPr>
      <w:r>
        <w:t xml:space="preserve">To </w:t>
      </w:r>
      <w:r w:rsidR="0021253D">
        <w:t>agree</w:t>
      </w:r>
      <w:r w:rsidR="00B60FA2">
        <w:t xml:space="preserve"> revisions to</w:t>
      </w:r>
      <w:r w:rsidR="0021253D">
        <w:t xml:space="preserve"> the expendi</w:t>
      </w:r>
      <w:r w:rsidR="00786914">
        <w:t>ture within the DSG for 2017/18 and, following consultation, the Early Years formula values for 2017/18.</w:t>
      </w:r>
    </w:p>
    <w:p w:rsidR="00CD618A" w:rsidRDefault="00CD618A" w:rsidP="003C5670">
      <w:pPr>
        <w:ind w:left="720"/>
      </w:pPr>
    </w:p>
    <w:p w:rsidR="00CD618A" w:rsidRPr="00161899" w:rsidRDefault="00CD618A" w:rsidP="003C5670">
      <w:pPr>
        <w:rPr>
          <w:b/>
        </w:rPr>
      </w:pPr>
      <w:r w:rsidRPr="00161899">
        <w:rPr>
          <w:b/>
        </w:rPr>
        <w:t>2.</w:t>
      </w:r>
      <w:r w:rsidRPr="00161899">
        <w:rPr>
          <w:b/>
        </w:rPr>
        <w:tab/>
        <w:t>Recommendation</w:t>
      </w:r>
      <w:r w:rsidR="00153E75">
        <w:rPr>
          <w:b/>
        </w:rPr>
        <w:t>s</w:t>
      </w:r>
    </w:p>
    <w:p w:rsidR="00CD618A" w:rsidRDefault="00CD618A" w:rsidP="003C5670"/>
    <w:p w:rsidR="004140F5" w:rsidRDefault="004140F5" w:rsidP="004140F5">
      <w:pPr>
        <w:ind w:left="720" w:hanging="720"/>
      </w:pPr>
      <w:r>
        <w:tab/>
      </w:r>
      <w:r w:rsidRPr="00071EF5">
        <w:t xml:space="preserve">It is recommended that the Schools Forum agree to the specific recommendations set out </w:t>
      </w:r>
      <w:r w:rsidR="00071EF5" w:rsidRPr="00071EF5">
        <w:t>below.</w:t>
      </w:r>
    </w:p>
    <w:p w:rsidR="00CD618A" w:rsidRDefault="00CD618A" w:rsidP="003C5670"/>
    <w:p w:rsidR="00E83B6A" w:rsidRPr="0020284E" w:rsidRDefault="00CD618A" w:rsidP="00F97085">
      <w:pPr>
        <w:keepNext/>
        <w:rPr>
          <w:b/>
          <w:u w:val="single"/>
        </w:rPr>
      </w:pPr>
      <w:r w:rsidRPr="00B82ABA">
        <w:rPr>
          <w:b/>
        </w:rPr>
        <w:t>3.</w:t>
      </w:r>
      <w:r w:rsidRPr="00B82ABA">
        <w:rPr>
          <w:b/>
        </w:rPr>
        <w:tab/>
      </w:r>
      <w:r w:rsidR="00E83B6A" w:rsidRPr="0020284E">
        <w:rPr>
          <w:b/>
          <w:u w:val="single"/>
        </w:rPr>
        <w:t>Schools</w:t>
      </w:r>
      <w:r w:rsidR="008934FC" w:rsidRPr="0020284E">
        <w:rPr>
          <w:b/>
          <w:u w:val="single"/>
        </w:rPr>
        <w:t xml:space="preserve"> and Early Years</w:t>
      </w:r>
      <w:r w:rsidR="00E83B6A" w:rsidRPr="0020284E">
        <w:rPr>
          <w:b/>
          <w:u w:val="single"/>
        </w:rPr>
        <w:t xml:space="preserve"> Block</w:t>
      </w:r>
    </w:p>
    <w:p w:rsidR="00E83B6A" w:rsidRDefault="00E83B6A" w:rsidP="00C81054">
      <w:pPr>
        <w:keepNext/>
        <w:ind w:left="720"/>
      </w:pPr>
    </w:p>
    <w:p w:rsidR="00CF5906" w:rsidRDefault="008F0A0A" w:rsidP="00392CC3">
      <w:pPr>
        <w:ind w:left="720"/>
      </w:pPr>
      <w:r>
        <w:t xml:space="preserve">At its meeting on </w:t>
      </w:r>
      <w:r w:rsidR="00F97085">
        <w:t>18</w:t>
      </w:r>
      <w:r>
        <w:t> Janu</w:t>
      </w:r>
      <w:r w:rsidR="000F4D02">
        <w:t>ary 201</w:t>
      </w:r>
      <w:r w:rsidR="00F97085">
        <w:t>7</w:t>
      </w:r>
      <w:r w:rsidR="000F4D02">
        <w:t>, the Schools Forum was</w:t>
      </w:r>
      <w:r>
        <w:t xml:space="preserve"> informed of the final allocation from the DfE of the </w:t>
      </w:r>
      <w:r w:rsidR="008934FC">
        <w:t>Schools and Early Years Blocks</w:t>
      </w:r>
      <w:r>
        <w:t xml:space="preserve"> for </w:t>
      </w:r>
      <w:r w:rsidR="008934FC">
        <w:t>201</w:t>
      </w:r>
      <w:r w:rsidR="00F97085">
        <w:t>7</w:t>
      </w:r>
      <w:r w:rsidR="008934FC">
        <w:t>/1</w:t>
      </w:r>
      <w:r w:rsidR="00F97085">
        <w:t>8</w:t>
      </w:r>
      <w:r>
        <w:t xml:space="preserve"> and </w:t>
      </w:r>
      <w:r w:rsidR="00CF5906">
        <w:t xml:space="preserve">it </w:t>
      </w:r>
      <w:r>
        <w:t>ag</w:t>
      </w:r>
      <w:r w:rsidR="00CF5906">
        <w:t>reed:</w:t>
      </w:r>
    </w:p>
    <w:p w:rsidR="00CF5906" w:rsidRDefault="00CF5906" w:rsidP="00392CC3">
      <w:pPr>
        <w:ind w:left="720"/>
      </w:pPr>
    </w:p>
    <w:p w:rsidR="00CF5906" w:rsidRDefault="00CF5906" w:rsidP="00CF5906">
      <w:pPr>
        <w:pStyle w:val="ListParagraph"/>
        <w:numPr>
          <w:ilvl w:val="0"/>
          <w:numId w:val="11"/>
        </w:numPr>
      </w:pPr>
      <w:r>
        <w:t xml:space="preserve">The centrally retained budgets within the Schools Block; </w:t>
      </w:r>
    </w:p>
    <w:p w:rsidR="00F97085" w:rsidRDefault="00CF5906" w:rsidP="00CF5906">
      <w:pPr>
        <w:pStyle w:val="ListParagraph"/>
        <w:numPr>
          <w:ilvl w:val="0"/>
          <w:numId w:val="11"/>
        </w:numPr>
      </w:pPr>
      <w:r>
        <w:t>The formula values and the capping</w:t>
      </w:r>
      <w:r w:rsidR="008934FC">
        <w:t xml:space="preserve"> limit for school budget shares;</w:t>
      </w:r>
    </w:p>
    <w:p w:rsidR="00F97085" w:rsidRDefault="00F97085" w:rsidP="00F97085">
      <w:pPr>
        <w:ind w:left="720"/>
      </w:pPr>
    </w:p>
    <w:p w:rsidR="00E83B6A" w:rsidRDefault="00E83B6A" w:rsidP="000F4D02">
      <w:pPr>
        <w:ind w:left="720"/>
      </w:pPr>
      <w:r>
        <w:t>The D</w:t>
      </w:r>
      <w:r w:rsidR="00CD17A3">
        <w:t>epartment for Education (D</w:t>
      </w:r>
      <w:r>
        <w:t>fE</w:t>
      </w:r>
      <w:r w:rsidR="00CD17A3">
        <w:t xml:space="preserve"> </w:t>
      </w:r>
      <w:r>
        <w:t>approved the proposals, and</w:t>
      </w:r>
      <w:r w:rsidR="008934FC">
        <w:t xml:space="preserve"> school</w:t>
      </w:r>
      <w:r>
        <w:t xml:space="preserve"> budget shares </w:t>
      </w:r>
      <w:r w:rsidR="0021253D">
        <w:t xml:space="preserve">will be </w:t>
      </w:r>
      <w:r>
        <w:t>p</w:t>
      </w:r>
      <w:r w:rsidR="009D5DE6">
        <w:t>ublished</w:t>
      </w:r>
      <w:r w:rsidR="00B77DCD">
        <w:t>, in line with statutory requirements</w:t>
      </w:r>
      <w:r>
        <w:t xml:space="preserve"> </w:t>
      </w:r>
      <w:r w:rsidR="00B77DCD">
        <w:t>to</w:t>
      </w:r>
      <w:r>
        <w:t xml:space="preserve"> all schools </w:t>
      </w:r>
      <w:r w:rsidR="0021253D">
        <w:t>prior to 28 February 2017.</w:t>
      </w:r>
      <w:r w:rsidR="004F2E87">
        <w:t xml:space="preserve">  There was an ad</w:t>
      </w:r>
      <w:r w:rsidR="00F34B44">
        <w:t>justment required in respect of the Prudhoe Adderlane</w:t>
      </w:r>
      <w:r w:rsidR="004F2E87">
        <w:t xml:space="preserve"> academy conversion.  This resulted in IDACI formula values being increased.  A revised Annex 3 and Annex 4 are attached</w:t>
      </w:r>
      <w:r w:rsidR="00CD17A3">
        <w:t>.</w:t>
      </w:r>
    </w:p>
    <w:p w:rsidR="00CD17A3" w:rsidRDefault="00CD17A3" w:rsidP="000F4D02">
      <w:pPr>
        <w:ind w:left="720"/>
      </w:pPr>
    </w:p>
    <w:p w:rsidR="00CD17A3" w:rsidRPr="00CD17A3" w:rsidRDefault="00CD17A3" w:rsidP="00A8326F">
      <w:pPr>
        <w:tabs>
          <w:tab w:val="left" w:pos="2977"/>
        </w:tabs>
        <w:ind w:left="2977" w:hanging="2257"/>
        <w:rPr>
          <w:b/>
        </w:rPr>
      </w:pPr>
      <w:proofErr w:type="gramStart"/>
      <w:r w:rsidRPr="00CD17A3">
        <w:rPr>
          <w:b/>
        </w:rPr>
        <w:t>Recommendation 1</w:t>
      </w:r>
      <w:r w:rsidR="00A8326F">
        <w:rPr>
          <w:b/>
        </w:rPr>
        <w:tab/>
      </w:r>
      <w:r>
        <w:rPr>
          <w:b/>
        </w:rPr>
        <w:t xml:space="preserve">To note the approval of the school funding formula for 2017/18 by the </w:t>
      </w:r>
      <w:r w:rsidR="00D41680">
        <w:rPr>
          <w:b/>
        </w:rPr>
        <w:t xml:space="preserve">DfE </w:t>
      </w:r>
      <w:r>
        <w:rPr>
          <w:b/>
        </w:rPr>
        <w:t>and to approve the revised annex 3 and 4.</w:t>
      </w:r>
      <w:proofErr w:type="gramEnd"/>
    </w:p>
    <w:p w:rsidR="00F678BA" w:rsidRDefault="00F678BA" w:rsidP="000F4D02">
      <w:pPr>
        <w:ind w:left="720"/>
      </w:pPr>
    </w:p>
    <w:p w:rsidR="00F678BA" w:rsidRDefault="00F34B44" w:rsidP="000F4D02">
      <w:pPr>
        <w:ind w:left="720"/>
      </w:pPr>
      <w:r>
        <w:t xml:space="preserve">The adjustment required in respect of the academy conversion of Prudhoe Adderlane resulted in the Schools Block being </w:t>
      </w:r>
      <w:r w:rsidR="001D0DF9">
        <w:t>over</w:t>
      </w:r>
      <w:r>
        <w:t xml:space="preserve"> allocated by £3,603.</w:t>
      </w:r>
      <w:r w:rsidR="00F678BA">
        <w:t xml:space="preserve">  It is proposed that this </w:t>
      </w:r>
      <w:r>
        <w:t xml:space="preserve">£3,603 is </w:t>
      </w:r>
      <w:proofErr w:type="spellStart"/>
      <w:r>
        <w:t>vired</w:t>
      </w:r>
      <w:proofErr w:type="spellEnd"/>
      <w:r>
        <w:t xml:space="preserve"> into</w:t>
      </w:r>
      <w:r w:rsidR="00F678BA">
        <w:t xml:space="preserve"> the High Needs block.</w:t>
      </w:r>
    </w:p>
    <w:p w:rsidR="008934FC" w:rsidRDefault="008934FC" w:rsidP="000F4D02">
      <w:pPr>
        <w:ind w:left="720"/>
      </w:pPr>
    </w:p>
    <w:p w:rsidR="00073766" w:rsidRDefault="0021253D" w:rsidP="00073766">
      <w:pPr>
        <w:pStyle w:val="NormalWeb"/>
        <w:spacing w:before="0" w:beforeAutospacing="0" w:after="0" w:afterAutospacing="0"/>
        <w:ind w:left="712"/>
        <w:rPr>
          <w:rFonts w:ascii="Arial" w:hAnsi="Arial" w:cs="Arial"/>
          <w:color w:val="000000"/>
          <w:sz w:val="22"/>
          <w:szCs w:val="22"/>
        </w:rPr>
      </w:pPr>
      <w:r w:rsidRPr="00073766">
        <w:rPr>
          <w:rFonts w:ascii="Arial" w:hAnsi="Arial" w:cs="Arial"/>
          <w:sz w:val="22"/>
          <w:szCs w:val="22"/>
        </w:rPr>
        <w:t>At the Schools</w:t>
      </w:r>
      <w:r w:rsidR="00B60FA2">
        <w:rPr>
          <w:rFonts w:ascii="Arial" w:hAnsi="Arial" w:cs="Arial"/>
          <w:sz w:val="22"/>
          <w:szCs w:val="22"/>
        </w:rPr>
        <w:t>’</w:t>
      </w:r>
      <w:r w:rsidRPr="00073766">
        <w:rPr>
          <w:rFonts w:ascii="Arial" w:hAnsi="Arial" w:cs="Arial"/>
          <w:sz w:val="22"/>
          <w:szCs w:val="22"/>
        </w:rPr>
        <w:t xml:space="preserve"> Forum Meeting on 18 January 2017 </w:t>
      </w:r>
      <w:r w:rsidR="00073766" w:rsidRPr="00073766">
        <w:rPr>
          <w:rFonts w:ascii="Arial" w:hAnsi="Arial" w:cs="Arial"/>
          <w:sz w:val="22"/>
          <w:szCs w:val="22"/>
        </w:rPr>
        <w:t>the</w:t>
      </w:r>
      <w:r w:rsidR="00073766">
        <w:rPr>
          <w:rFonts w:ascii="Arial" w:hAnsi="Arial" w:cs="Arial"/>
          <w:sz w:val="22"/>
          <w:szCs w:val="22"/>
        </w:rPr>
        <w:t xml:space="preserve"> </w:t>
      </w:r>
      <w:r w:rsidR="00073766" w:rsidRPr="00073766">
        <w:rPr>
          <w:rFonts w:ascii="Arial" w:hAnsi="Arial" w:cs="Arial"/>
          <w:color w:val="000000"/>
          <w:sz w:val="22"/>
          <w:szCs w:val="22"/>
        </w:rPr>
        <w:t xml:space="preserve">funding rates for the Early Years formula for 2017/18 were considered and Option B for 2017/18 </w:t>
      </w:r>
      <w:r w:rsidR="00073766">
        <w:rPr>
          <w:rFonts w:ascii="Arial" w:hAnsi="Arial" w:cs="Arial"/>
          <w:color w:val="000000"/>
          <w:sz w:val="22"/>
          <w:szCs w:val="22"/>
        </w:rPr>
        <w:t>was</w:t>
      </w:r>
      <w:r w:rsidR="00073766" w:rsidRPr="00073766">
        <w:rPr>
          <w:rFonts w:ascii="Arial" w:hAnsi="Arial" w:cs="Arial"/>
          <w:color w:val="000000"/>
          <w:sz w:val="22"/>
          <w:szCs w:val="22"/>
        </w:rPr>
        <w:t xml:space="preserve"> recommended to schools in the consultation with Schools and Early Years Providers;</w:t>
      </w:r>
    </w:p>
    <w:p w:rsidR="00073766" w:rsidRDefault="00073766" w:rsidP="00073766">
      <w:pPr>
        <w:pStyle w:val="NormalWeb"/>
        <w:spacing w:before="0" w:beforeAutospacing="0" w:after="0" w:afterAutospacing="0"/>
        <w:ind w:left="712"/>
        <w:rPr>
          <w:rFonts w:ascii="Arial" w:hAnsi="Arial" w:cs="Arial"/>
          <w:color w:val="000000"/>
          <w:sz w:val="22"/>
          <w:szCs w:val="22"/>
        </w:rPr>
      </w:pPr>
    </w:p>
    <w:p w:rsidR="00073766" w:rsidRDefault="00073766" w:rsidP="00073766">
      <w:pPr>
        <w:pStyle w:val="NormalWeb"/>
        <w:spacing w:before="0" w:beforeAutospacing="0" w:after="0" w:afterAutospacing="0"/>
        <w:ind w:left="71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short consultation with Schools and Early Years Providers (PVI’s) was carried out from 24 January to 3 February 2017</w:t>
      </w:r>
      <w:r w:rsidR="00B77DCD">
        <w:rPr>
          <w:rFonts w:ascii="Arial" w:hAnsi="Arial" w:cs="Arial"/>
          <w:color w:val="000000"/>
          <w:sz w:val="22"/>
          <w:szCs w:val="22"/>
        </w:rPr>
        <w:t xml:space="preserve">.  </w:t>
      </w:r>
      <w:r w:rsidR="00F34B44">
        <w:rPr>
          <w:rFonts w:ascii="Arial" w:hAnsi="Arial" w:cs="Arial"/>
          <w:color w:val="000000"/>
          <w:sz w:val="22"/>
          <w:szCs w:val="22"/>
        </w:rPr>
        <w:t>15</w:t>
      </w:r>
      <w:r w:rsidR="00B77DCD">
        <w:rPr>
          <w:rFonts w:ascii="Arial" w:hAnsi="Arial" w:cs="Arial"/>
          <w:color w:val="000000"/>
          <w:sz w:val="22"/>
          <w:szCs w:val="22"/>
        </w:rPr>
        <w:t xml:space="preserve"> responses to the consultation were received.  </w:t>
      </w:r>
      <w:r w:rsidR="004F061F">
        <w:rPr>
          <w:rFonts w:ascii="Arial" w:hAnsi="Arial" w:cs="Arial"/>
          <w:color w:val="000000"/>
          <w:sz w:val="22"/>
          <w:szCs w:val="22"/>
        </w:rPr>
        <w:t>16</w:t>
      </w:r>
      <w:r w:rsidR="00F34B44">
        <w:rPr>
          <w:rFonts w:ascii="Arial" w:hAnsi="Arial" w:cs="Arial"/>
          <w:color w:val="000000"/>
          <w:sz w:val="22"/>
          <w:szCs w:val="22"/>
        </w:rPr>
        <w:t xml:space="preserve"> responses were </w:t>
      </w:r>
      <w:r w:rsidR="004F061F">
        <w:rPr>
          <w:rFonts w:ascii="Arial" w:hAnsi="Arial" w:cs="Arial"/>
          <w:color w:val="000000"/>
          <w:sz w:val="22"/>
          <w:szCs w:val="22"/>
        </w:rPr>
        <w:t xml:space="preserve">received, 14 </w:t>
      </w:r>
      <w:r w:rsidR="00F34B44">
        <w:rPr>
          <w:rFonts w:ascii="Arial" w:hAnsi="Arial" w:cs="Arial"/>
          <w:color w:val="000000"/>
          <w:sz w:val="22"/>
          <w:szCs w:val="22"/>
        </w:rPr>
        <w:t>in favour of</w:t>
      </w:r>
      <w:r w:rsidR="00B77DCD">
        <w:rPr>
          <w:rFonts w:ascii="Arial" w:hAnsi="Arial" w:cs="Arial"/>
          <w:color w:val="000000"/>
          <w:sz w:val="22"/>
          <w:szCs w:val="22"/>
        </w:rPr>
        <w:t xml:space="preserve"> </w:t>
      </w:r>
      <w:r w:rsidR="00F34B44">
        <w:rPr>
          <w:rFonts w:ascii="Arial" w:hAnsi="Arial" w:cs="Arial"/>
          <w:color w:val="000000"/>
          <w:sz w:val="22"/>
          <w:szCs w:val="22"/>
        </w:rPr>
        <w:t>Option B and 1 in favour of Option A.</w:t>
      </w:r>
    </w:p>
    <w:p w:rsidR="00CD17A3" w:rsidRDefault="00CD17A3" w:rsidP="00073766">
      <w:pPr>
        <w:pStyle w:val="NormalWeb"/>
        <w:spacing w:before="0" w:beforeAutospacing="0" w:after="0" w:afterAutospacing="0"/>
        <w:ind w:left="712"/>
        <w:rPr>
          <w:rFonts w:ascii="Arial" w:hAnsi="Arial" w:cs="Arial"/>
          <w:color w:val="000000"/>
          <w:sz w:val="22"/>
          <w:szCs w:val="22"/>
        </w:rPr>
      </w:pPr>
    </w:p>
    <w:p w:rsidR="00CD17A3" w:rsidRDefault="00CD17A3" w:rsidP="00073766">
      <w:pPr>
        <w:pStyle w:val="NormalWeb"/>
        <w:spacing w:before="0" w:beforeAutospacing="0" w:after="0" w:afterAutospacing="0"/>
        <w:ind w:left="7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Early Years formula funding values for 2017/18 will be therefore be set</w:t>
      </w:r>
      <w:r w:rsidR="00F34B44">
        <w:rPr>
          <w:rFonts w:ascii="Arial" w:hAnsi="Arial" w:cs="Arial"/>
          <w:sz w:val="22"/>
          <w:szCs w:val="22"/>
        </w:rPr>
        <w:t xml:space="preserve"> using Option B</w:t>
      </w:r>
      <w:proofErr w:type="gramStart"/>
      <w:r w:rsidR="00F34B4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CD17A3" w:rsidRDefault="00CD17A3" w:rsidP="00073766">
      <w:pPr>
        <w:pStyle w:val="NormalWeb"/>
        <w:spacing w:before="0" w:beforeAutospacing="0" w:after="0" w:afterAutospacing="0"/>
        <w:ind w:left="712"/>
        <w:rPr>
          <w:rFonts w:ascii="Arial" w:hAnsi="Arial" w:cs="Arial"/>
          <w:sz w:val="22"/>
          <w:szCs w:val="22"/>
        </w:rPr>
      </w:pPr>
    </w:p>
    <w:p w:rsidR="00CD17A3" w:rsidRDefault="00CD17A3" w:rsidP="00CD17A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B07587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Year olds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£5.20 per hour</w:t>
      </w:r>
    </w:p>
    <w:p w:rsidR="00CD17A3" w:rsidRDefault="00CD17A3" w:rsidP="00CD17A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3-4  Year olds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£4.00 per hour plus </w:t>
      </w:r>
      <w:r w:rsidR="00D41680">
        <w:rPr>
          <w:rFonts w:ascii="Arial" w:hAnsi="Arial" w:cs="Arial"/>
          <w:sz w:val="22"/>
          <w:szCs w:val="22"/>
        </w:rPr>
        <w:t xml:space="preserve"> 2% </w:t>
      </w:r>
      <w:r>
        <w:rPr>
          <w:rFonts w:ascii="Arial" w:hAnsi="Arial" w:cs="Arial"/>
          <w:sz w:val="22"/>
          <w:szCs w:val="22"/>
        </w:rPr>
        <w:t xml:space="preserve">IDACI </w:t>
      </w:r>
    </w:p>
    <w:p w:rsidR="00D41680" w:rsidRDefault="00D41680" w:rsidP="00D4168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41680" w:rsidRDefault="00D41680" w:rsidP="00D41680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IDACI formula values for </w:t>
      </w:r>
      <w:proofErr w:type="gramStart"/>
      <w:r>
        <w:rPr>
          <w:rFonts w:ascii="Arial" w:hAnsi="Arial" w:cs="Arial"/>
          <w:sz w:val="22"/>
          <w:szCs w:val="22"/>
        </w:rPr>
        <w:t>Early</w:t>
      </w:r>
      <w:proofErr w:type="gramEnd"/>
      <w:r>
        <w:rPr>
          <w:rFonts w:ascii="Arial" w:hAnsi="Arial" w:cs="Arial"/>
          <w:sz w:val="22"/>
          <w:szCs w:val="22"/>
        </w:rPr>
        <w:t xml:space="preserve"> years will be</w:t>
      </w:r>
    </w:p>
    <w:p w:rsidR="00CD17A3" w:rsidRDefault="00CD17A3" w:rsidP="00CD17A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4601" w:type="pct"/>
        <w:tblInd w:w="738" w:type="dxa"/>
        <w:tblLook w:val="04A0" w:firstRow="1" w:lastRow="0" w:firstColumn="1" w:lastColumn="0" w:noHBand="0" w:noVBand="1"/>
      </w:tblPr>
      <w:tblGrid>
        <w:gridCol w:w="3884"/>
        <w:gridCol w:w="4623"/>
      </w:tblGrid>
      <w:tr w:rsidR="004F061F" w:rsidTr="00B07587">
        <w:tc>
          <w:tcPr>
            <w:tcW w:w="2283" w:type="pct"/>
          </w:tcPr>
          <w:p w:rsidR="004F061F" w:rsidRPr="004F061F" w:rsidRDefault="004F061F" w:rsidP="004F06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061F">
              <w:rPr>
                <w:rFonts w:ascii="Arial" w:hAnsi="Arial" w:cs="Arial"/>
                <w:b/>
                <w:sz w:val="22"/>
                <w:szCs w:val="22"/>
              </w:rPr>
              <w:t>IDACI BAND</w:t>
            </w:r>
          </w:p>
        </w:tc>
        <w:tc>
          <w:tcPr>
            <w:tcW w:w="2717" w:type="pct"/>
          </w:tcPr>
          <w:p w:rsidR="004F061F" w:rsidRPr="004F061F" w:rsidRDefault="004F061F" w:rsidP="004F06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Formula Value </w:t>
            </w:r>
            <w:r w:rsidRPr="004F061F">
              <w:rPr>
                <w:rFonts w:ascii="Arial" w:hAnsi="Arial" w:cs="Arial"/>
                <w:b/>
                <w:sz w:val="22"/>
                <w:szCs w:val="22"/>
              </w:rPr>
              <w:t>2017/18</w:t>
            </w:r>
          </w:p>
        </w:tc>
      </w:tr>
      <w:tr w:rsidR="004F061F" w:rsidTr="00B07587">
        <w:tc>
          <w:tcPr>
            <w:tcW w:w="2283" w:type="pct"/>
          </w:tcPr>
          <w:p w:rsidR="004F061F" w:rsidRDefault="004F061F" w:rsidP="00CD17A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Band 0</w:t>
            </w:r>
          </w:p>
        </w:tc>
        <w:tc>
          <w:tcPr>
            <w:tcW w:w="2717" w:type="pct"/>
          </w:tcPr>
          <w:p w:rsidR="004F061F" w:rsidRDefault="004F061F" w:rsidP="004F06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£0</w:t>
            </w:r>
          </w:p>
        </w:tc>
      </w:tr>
      <w:tr w:rsidR="004F061F" w:rsidTr="00B07587">
        <w:tc>
          <w:tcPr>
            <w:tcW w:w="2283" w:type="pct"/>
          </w:tcPr>
          <w:p w:rsidR="004F061F" w:rsidRDefault="004F061F" w:rsidP="00CD17A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Band 1</w:t>
            </w:r>
          </w:p>
        </w:tc>
        <w:tc>
          <w:tcPr>
            <w:tcW w:w="2717" w:type="pct"/>
          </w:tcPr>
          <w:p w:rsidR="004F061F" w:rsidRDefault="004F061F" w:rsidP="004F06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£0</w:t>
            </w:r>
          </w:p>
        </w:tc>
      </w:tr>
      <w:tr w:rsidR="004F061F" w:rsidTr="00B07587">
        <w:tc>
          <w:tcPr>
            <w:tcW w:w="2283" w:type="pct"/>
          </w:tcPr>
          <w:p w:rsidR="004F061F" w:rsidRDefault="004F061F" w:rsidP="00CD17A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Band 2</w:t>
            </w:r>
          </w:p>
        </w:tc>
        <w:tc>
          <w:tcPr>
            <w:tcW w:w="2717" w:type="pct"/>
          </w:tcPr>
          <w:p w:rsidR="004F061F" w:rsidRDefault="004F061F" w:rsidP="004F06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£0</w:t>
            </w:r>
          </w:p>
        </w:tc>
      </w:tr>
      <w:tr w:rsidR="004F061F" w:rsidTr="00B07587">
        <w:tc>
          <w:tcPr>
            <w:tcW w:w="2283" w:type="pct"/>
          </w:tcPr>
          <w:p w:rsidR="004F061F" w:rsidRDefault="004F061F" w:rsidP="00CD17A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Band 3</w:t>
            </w:r>
          </w:p>
        </w:tc>
        <w:tc>
          <w:tcPr>
            <w:tcW w:w="2717" w:type="pct"/>
          </w:tcPr>
          <w:p w:rsidR="004F061F" w:rsidRDefault="004F061F" w:rsidP="004F06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£0</w:t>
            </w:r>
          </w:p>
        </w:tc>
      </w:tr>
      <w:tr w:rsidR="004F061F" w:rsidTr="00B07587">
        <w:tc>
          <w:tcPr>
            <w:tcW w:w="2283" w:type="pct"/>
          </w:tcPr>
          <w:p w:rsidR="004F061F" w:rsidRDefault="004F061F" w:rsidP="00CD17A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Band 4</w:t>
            </w:r>
          </w:p>
        </w:tc>
        <w:tc>
          <w:tcPr>
            <w:tcW w:w="2717" w:type="pct"/>
          </w:tcPr>
          <w:p w:rsidR="004F061F" w:rsidRDefault="004F061F" w:rsidP="004F06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£0.69</w:t>
            </w:r>
          </w:p>
        </w:tc>
      </w:tr>
      <w:tr w:rsidR="004F061F" w:rsidTr="00B07587">
        <w:tc>
          <w:tcPr>
            <w:tcW w:w="2283" w:type="pct"/>
          </w:tcPr>
          <w:p w:rsidR="004F061F" w:rsidRDefault="004F061F" w:rsidP="00CD17A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Band 5</w:t>
            </w:r>
          </w:p>
        </w:tc>
        <w:tc>
          <w:tcPr>
            <w:tcW w:w="2717" w:type="pct"/>
          </w:tcPr>
          <w:p w:rsidR="004F061F" w:rsidRDefault="004F061F" w:rsidP="004F06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£0.86</w:t>
            </w:r>
          </w:p>
        </w:tc>
      </w:tr>
      <w:tr w:rsidR="004F061F" w:rsidTr="00B07587">
        <w:tc>
          <w:tcPr>
            <w:tcW w:w="2283" w:type="pct"/>
          </w:tcPr>
          <w:p w:rsidR="004F061F" w:rsidRDefault="004F061F" w:rsidP="004F06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Band 6</w:t>
            </w:r>
          </w:p>
        </w:tc>
        <w:tc>
          <w:tcPr>
            <w:tcW w:w="2717" w:type="pct"/>
          </w:tcPr>
          <w:p w:rsidR="004F061F" w:rsidRDefault="004F061F" w:rsidP="004F06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£1.03</w:t>
            </w:r>
          </w:p>
        </w:tc>
      </w:tr>
    </w:tbl>
    <w:p w:rsidR="00CD17A3" w:rsidRDefault="00CD17A3" w:rsidP="00CD17A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934FC" w:rsidRDefault="008934FC" w:rsidP="000F4D02">
      <w:pPr>
        <w:ind w:left="720"/>
      </w:pPr>
      <w:r>
        <w:t>Early Years budget shares for schools and PVI’s will be calculated once the January 201</w:t>
      </w:r>
      <w:r w:rsidR="0021253D">
        <w:t>7</w:t>
      </w:r>
      <w:r>
        <w:t xml:space="preserve"> census data has been finalised. </w:t>
      </w:r>
      <w:r w:rsidR="00B07587">
        <w:t xml:space="preserve"> </w:t>
      </w:r>
      <w:r>
        <w:t>Budget shares will be issued prior to 31 March 201</w:t>
      </w:r>
      <w:r w:rsidR="00CD17A3">
        <w:t>7</w:t>
      </w:r>
      <w:r>
        <w:t>.</w:t>
      </w:r>
    </w:p>
    <w:p w:rsidR="00D41680" w:rsidRDefault="00D41680" w:rsidP="000F4D02">
      <w:pPr>
        <w:ind w:left="720"/>
      </w:pPr>
    </w:p>
    <w:p w:rsidR="00CB71DA" w:rsidRPr="001B3C67" w:rsidRDefault="00D41680" w:rsidP="00CB71DA">
      <w:pPr>
        <w:pStyle w:val="DeptOutNumbered"/>
        <w:keepNext/>
        <w:numPr>
          <w:ilvl w:val="0"/>
          <w:numId w:val="0"/>
        </w:numPr>
        <w:spacing w:after="0"/>
        <w:ind w:left="3168" w:hanging="2448"/>
        <w:rPr>
          <w:b/>
          <w:sz w:val="22"/>
          <w:szCs w:val="22"/>
        </w:rPr>
      </w:pPr>
      <w:r w:rsidRPr="001B3C67">
        <w:rPr>
          <w:b/>
          <w:sz w:val="22"/>
          <w:szCs w:val="22"/>
        </w:rPr>
        <w:t xml:space="preserve">Recommendation 2 - </w:t>
      </w:r>
      <w:r w:rsidR="00CB71DA" w:rsidRPr="001B3C67">
        <w:rPr>
          <w:b/>
          <w:sz w:val="22"/>
          <w:szCs w:val="22"/>
        </w:rPr>
        <w:t>The funding rates for the Early Years formula be set</w:t>
      </w:r>
      <w:r w:rsidR="00F34B44" w:rsidRPr="001B3C67">
        <w:rPr>
          <w:b/>
          <w:sz w:val="22"/>
          <w:szCs w:val="22"/>
        </w:rPr>
        <w:t>, using Option B,</w:t>
      </w:r>
      <w:r w:rsidR="00CB71DA" w:rsidRPr="001B3C67">
        <w:rPr>
          <w:b/>
          <w:sz w:val="22"/>
          <w:szCs w:val="22"/>
        </w:rPr>
        <w:t xml:space="preserve"> at the values shown above.</w:t>
      </w:r>
    </w:p>
    <w:p w:rsidR="001B3C67" w:rsidRDefault="001B3C67" w:rsidP="00CB71DA">
      <w:pPr>
        <w:pStyle w:val="DeptOutNumbered"/>
        <w:keepNext/>
        <w:numPr>
          <w:ilvl w:val="0"/>
          <w:numId w:val="0"/>
        </w:numPr>
        <w:spacing w:after="0"/>
        <w:ind w:left="3168" w:hanging="2448"/>
      </w:pPr>
    </w:p>
    <w:p w:rsidR="001B3C67" w:rsidRPr="0020284E" w:rsidRDefault="001B3C67" w:rsidP="001B3C67">
      <w:pPr>
        <w:keepNext/>
        <w:rPr>
          <w:b/>
          <w:u w:val="single"/>
        </w:rPr>
      </w:pPr>
      <w:r>
        <w:rPr>
          <w:b/>
        </w:rPr>
        <w:t>4</w:t>
      </w:r>
      <w:r w:rsidRPr="00B82ABA">
        <w:rPr>
          <w:b/>
        </w:rPr>
        <w:t>.</w:t>
      </w:r>
      <w:r w:rsidRPr="00B82ABA">
        <w:rPr>
          <w:b/>
        </w:rPr>
        <w:tab/>
      </w:r>
      <w:r>
        <w:rPr>
          <w:b/>
          <w:u w:val="single"/>
        </w:rPr>
        <w:t>Looking Ahead to 2018/19</w:t>
      </w:r>
    </w:p>
    <w:p w:rsidR="001B3C67" w:rsidRDefault="001B3C67" w:rsidP="00CB71DA">
      <w:pPr>
        <w:pStyle w:val="DeptOutNumbered"/>
        <w:keepNext/>
        <w:numPr>
          <w:ilvl w:val="0"/>
          <w:numId w:val="0"/>
        </w:numPr>
        <w:spacing w:after="0"/>
        <w:ind w:left="3168" w:hanging="2448"/>
      </w:pPr>
    </w:p>
    <w:p w:rsidR="001B3C67" w:rsidRDefault="001B3C67" w:rsidP="001B3C67">
      <w:pPr>
        <w:pStyle w:val="DeptOutNumbered"/>
        <w:keepNext/>
        <w:numPr>
          <w:ilvl w:val="0"/>
          <w:numId w:val="0"/>
        </w:numPr>
        <w:spacing w:after="0"/>
        <w:ind w:left="709"/>
        <w:rPr>
          <w:sz w:val="22"/>
          <w:szCs w:val="22"/>
        </w:rPr>
      </w:pPr>
      <w:r w:rsidRPr="001B3C67">
        <w:rPr>
          <w:sz w:val="22"/>
          <w:szCs w:val="22"/>
        </w:rPr>
        <w:t>For 2018/19 the intention is to review the Comb</w:t>
      </w:r>
      <w:r>
        <w:rPr>
          <w:sz w:val="22"/>
          <w:szCs w:val="22"/>
        </w:rPr>
        <w:t>ined Services budget of £504,830 within the Schools Block.  This is a Historic Commitment budget made up of :</w:t>
      </w:r>
    </w:p>
    <w:p w:rsidR="001B3C67" w:rsidRDefault="001B3C67" w:rsidP="001B3C67">
      <w:pPr>
        <w:pStyle w:val="DeptOutNumbered"/>
        <w:keepNext/>
        <w:numPr>
          <w:ilvl w:val="0"/>
          <w:numId w:val="0"/>
        </w:numPr>
        <w:spacing w:after="0"/>
        <w:ind w:left="709"/>
        <w:rPr>
          <w:sz w:val="22"/>
          <w:szCs w:val="22"/>
        </w:rPr>
      </w:pPr>
    </w:p>
    <w:p w:rsidR="001B3C67" w:rsidRPr="001B3C67" w:rsidRDefault="001B3C67" w:rsidP="001B3C67">
      <w:pPr>
        <w:pStyle w:val="DeptOutNumbered"/>
        <w:keepNext/>
        <w:numPr>
          <w:ilvl w:val="0"/>
          <w:numId w:val="13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£246,830 -</w:t>
      </w:r>
      <w:r>
        <w:rPr>
          <w:rStyle w:val="apple-converted-space"/>
          <w:rFonts w:cs="Arial"/>
          <w:color w:val="222222"/>
          <w:sz w:val="19"/>
          <w:szCs w:val="19"/>
          <w:shd w:val="clear" w:color="auto" w:fill="FFFFFF"/>
        </w:rPr>
        <w:t xml:space="preserve">  </w:t>
      </w:r>
      <w:r w:rsidRPr="001B3C67">
        <w:rPr>
          <w:rStyle w:val="apple-converted-space"/>
          <w:rFonts w:cs="Arial"/>
          <w:color w:val="222222"/>
          <w:sz w:val="22"/>
          <w:szCs w:val="22"/>
          <w:shd w:val="clear" w:color="auto" w:fill="FFFFFF"/>
        </w:rPr>
        <w:t xml:space="preserve">This budget has </w:t>
      </w:r>
      <w:r w:rsidRPr="001B3C67">
        <w:rPr>
          <w:rFonts w:cs="Arial"/>
          <w:color w:val="222222"/>
          <w:sz w:val="22"/>
          <w:szCs w:val="22"/>
          <w:shd w:val="clear" w:color="auto" w:fill="FFFFFF"/>
        </w:rPr>
        <w:t xml:space="preserve"> been in place since April 2008 to cover SEN packages with residential places.</w:t>
      </w:r>
      <w:r>
        <w:rPr>
          <w:rFonts w:cs="Arial"/>
          <w:color w:val="222222"/>
          <w:sz w:val="22"/>
          <w:szCs w:val="22"/>
          <w:shd w:val="clear" w:color="auto" w:fill="FFFFFF"/>
        </w:rPr>
        <w:t xml:space="preserve"> An annual transfer is made to Children’s’ Services</w:t>
      </w:r>
    </w:p>
    <w:p w:rsidR="00B61F3E" w:rsidRDefault="001B3C67" w:rsidP="00786914">
      <w:pPr>
        <w:pStyle w:val="DeptOutNumbered"/>
        <w:keepNext/>
        <w:numPr>
          <w:ilvl w:val="0"/>
          <w:numId w:val="13"/>
        </w:numPr>
        <w:spacing w:after="0"/>
        <w:rPr>
          <w:sz w:val="22"/>
          <w:szCs w:val="22"/>
        </w:rPr>
      </w:pPr>
      <w:r w:rsidRPr="001B3C67">
        <w:rPr>
          <w:rFonts w:cs="Arial"/>
          <w:color w:val="222222"/>
          <w:sz w:val="22"/>
          <w:szCs w:val="22"/>
          <w:shd w:val="clear" w:color="auto" w:fill="FFFFFF"/>
        </w:rPr>
        <w:t>£258,000 -  This budget was approved by schools forum</w:t>
      </w:r>
      <w:r w:rsidR="00B828B9">
        <w:rPr>
          <w:rFonts w:cs="Arial"/>
          <w:color w:val="222222"/>
          <w:sz w:val="22"/>
          <w:szCs w:val="22"/>
          <w:shd w:val="clear" w:color="auto" w:fill="FFFFFF"/>
        </w:rPr>
        <w:t xml:space="preserve"> in March 2011</w:t>
      </w:r>
      <w:r w:rsidRPr="001B3C67">
        <w:rPr>
          <w:rFonts w:cs="Arial"/>
          <w:color w:val="222222"/>
          <w:sz w:val="22"/>
          <w:szCs w:val="22"/>
          <w:shd w:val="clear" w:color="auto" w:fill="FFFFFF"/>
        </w:rPr>
        <w:t xml:space="preserve"> as a contribution towards Short Break respite care provided at Barndale Special School  for children and young people resident in Northumberland</w:t>
      </w:r>
      <w:r w:rsidR="00B828B9">
        <w:rPr>
          <w:rFonts w:cs="Arial"/>
          <w:color w:val="222222"/>
          <w:sz w:val="22"/>
          <w:szCs w:val="22"/>
          <w:shd w:val="clear" w:color="auto" w:fill="FFFFFF"/>
        </w:rPr>
        <w:t>.</w:t>
      </w:r>
      <w:r w:rsidRPr="001B3C67">
        <w:rPr>
          <w:rFonts w:cs="Arial"/>
          <w:color w:val="222222"/>
          <w:sz w:val="22"/>
          <w:szCs w:val="22"/>
          <w:shd w:val="clear" w:color="auto" w:fill="FFFFFF"/>
        </w:rPr>
        <w:t xml:space="preserve">  </w:t>
      </w:r>
      <w:r>
        <w:rPr>
          <w:rFonts w:cs="Arial"/>
          <w:color w:val="222222"/>
          <w:sz w:val="22"/>
          <w:szCs w:val="22"/>
          <w:shd w:val="clear" w:color="auto" w:fill="FFFFFF"/>
        </w:rPr>
        <w:t>An annual transfer is made to Children’s’ Services</w:t>
      </w:r>
      <w:r w:rsidR="00B61F3E">
        <w:rPr>
          <w:rFonts w:cs="Arial"/>
          <w:color w:val="222222"/>
          <w:sz w:val="22"/>
          <w:szCs w:val="22"/>
          <w:shd w:val="clear" w:color="auto" w:fill="FFFFFF"/>
        </w:rPr>
        <w:t>.</w:t>
      </w:r>
    </w:p>
    <w:p w:rsidR="00786914" w:rsidRDefault="00786914" w:rsidP="00786914">
      <w:pPr>
        <w:pStyle w:val="DeptOutNumbered"/>
        <w:keepNext/>
        <w:numPr>
          <w:ilvl w:val="0"/>
          <w:numId w:val="0"/>
        </w:numPr>
        <w:spacing w:after="0"/>
        <w:rPr>
          <w:sz w:val="22"/>
          <w:szCs w:val="22"/>
        </w:rPr>
      </w:pPr>
    </w:p>
    <w:p w:rsidR="00786914" w:rsidRPr="00786914" w:rsidRDefault="00786914" w:rsidP="00786914">
      <w:pPr>
        <w:pStyle w:val="DeptOutNumbered"/>
        <w:keepNext/>
        <w:numPr>
          <w:ilvl w:val="0"/>
          <w:numId w:val="0"/>
        </w:numPr>
        <w:spacing w:after="0"/>
        <w:rPr>
          <w:sz w:val="22"/>
          <w:szCs w:val="22"/>
        </w:rPr>
      </w:pPr>
    </w:p>
    <w:p w:rsidR="00390BFB" w:rsidRDefault="00390BFB">
      <w:pPr>
        <w:rPr>
          <w:b/>
        </w:rPr>
      </w:pPr>
      <w:r>
        <w:rPr>
          <w:b/>
        </w:rPr>
        <w:br w:type="page"/>
      </w:r>
    </w:p>
    <w:p w:rsidR="00390BFB" w:rsidRPr="00390BFB" w:rsidRDefault="00390BFB" w:rsidP="00390BFB">
      <w:pPr>
        <w:jc w:val="right"/>
        <w:rPr>
          <w:b/>
          <w:i/>
        </w:rPr>
      </w:pPr>
      <w:r w:rsidRPr="00390BFB">
        <w:rPr>
          <w:b/>
          <w:i/>
        </w:rPr>
        <w:lastRenderedPageBreak/>
        <w:t>Annex 3</w:t>
      </w:r>
    </w:p>
    <w:p w:rsidR="00390BFB" w:rsidRDefault="00390BFB" w:rsidP="00390BFB">
      <w:pPr>
        <w:jc w:val="right"/>
        <w:rPr>
          <w:b/>
          <w:sz w:val="24"/>
          <w:szCs w:val="24"/>
        </w:rPr>
      </w:pPr>
    </w:p>
    <w:p w:rsidR="00390BFB" w:rsidRPr="00390BFB" w:rsidRDefault="00390BFB" w:rsidP="00390BFB">
      <w:pPr>
        <w:jc w:val="center"/>
        <w:rPr>
          <w:b/>
          <w:sz w:val="24"/>
          <w:szCs w:val="24"/>
          <w:u w:val="single"/>
        </w:rPr>
      </w:pPr>
      <w:r w:rsidRPr="00390BFB">
        <w:rPr>
          <w:b/>
          <w:sz w:val="24"/>
          <w:szCs w:val="24"/>
          <w:u w:val="single"/>
        </w:rPr>
        <w:t>REVISED</w:t>
      </w:r>
    </w:p>
    <w:p w:rsidR="00390BFB" w:rsidRPr="00390BFB" w:rsidRDefault="00390BFB" w:rsidP="00390BFB">
      <w:pPr>
        <w:jc w:val="center"/>
        <w:rPr>
          <w:b/>
          <w:sz w:val="24"/>
          <w:szCs w:val="24"/>
          <w:u w:val="single"/>
        </w:rPr>
      </w:pPr>
      <w:r w:rsidRPr="00390BFB">
        <w:rPr>
          <w:b/>
          <w:sz w:val="24"/>
          <w:szCs w:val="24"/>
          <w:u w:val="single"/>
        </w:rPr>
        <w:t>SCHOOLS BLOCK 2017/18</w:t>
      </w:r>
    </w:p>
    <w:p w:rsidR="00390BFB" w:rsidRDefault="00390BFB" w:rsidP="00390BFB">
      <w:pPr>
        <w:jc w:val="center"/>
        <w:rPr>
          <w:b/>
        </w:rPr>
      </w:pPr>
    </w:p>
    <w:p w:rsidR="00390BFB" w:rsidRDefault="00390BFB">
      <w:pPr>
        <w:rPr>
          <w:b/>
          <w:sz w:val="24"/>
          <w:szCs w:val="20"/>
          <w:lang w:eastAsia="en-US"/>
        </w:rPr>
      </w:pPr>
    </w:p>
    <w:tbl>
      <w:tblPr>
        <w:tblW w:w="9285" w:type="dxa"/>
        <w:tblInd w:w="93" w:type="dxa"/>
        <w:tblLook w:val="04A0" w:firstRow="1" w:lastRow="0" w:firstColumn="1" w:lastColumn="0" w:noHBand="0" w:noVBand="1"/>
      </w:tblPr>
      <w:tblGrid>
        <w:gridCol w:w="3744"/>
        <w:gridCol w:w="1423"/>
        <w:gridCol w:w="1307"/>
        <w:gridCol w:w="1258"/>
        <w:gridCol w:w="1553"/>
      </w:tblGrid>
      <w:tr w:rsidR="00390BFB" w:rsidRPr="00390BFB" w:rsidTr="00390BFB">
        <w:trPr>
          <w:trHeight w:val="615"/>
        </w:trPr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1D0DF9" w:rsidP="00390BFB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Centrally Retained </w:t>
            </w:r>
            <w:r w:rsidR="00390BFB" w:rsidRPr="00390BFB">
              <w:rPr>
                <w:rFonts w:cs="Arial"/>
                <w:b/>
                <w:bCs/>
                <w:color w:val="000000"/>
              </w:rPr>
              <w:t>Expenditure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90BFB">
              <w:rPr>
                <w:rFonts w:cs="Arial"/>
                <w:b/>
                <w:bCs/>
                <w:color w:val="000000"/>
              </w:rPr>
              <w:t>Budget Set 2016/17</w:t>
            </w:r>
          </w:p>
        </w:tc>
        <w:tc>
          <w:tcPr>
            <w:tcW w:w="4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90BFB">
              <w:rPr>
                <w:rFonts w:cs="Arial"/>
                <w:b/>
                <w:bCs/>
                <w:color w:val="000000"/>
              </w:rPr>
              <w:t>Proposed Budget 2017/18</w:t>
            </w:r>
          </w:p>
        </w:tc>
      </w:tr>
      <w:tr w:rsidR="00390BFB" w:rsidRPr="00390BFB" w:rsidTr="00390BFB">
        <w:trPr>
          <w:trHeight w:val="615"/>
        </w:trPr>
        <w:tc>
          <w:tcPr>
            <w:tcW w:w="3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90BFB">
              <w:rPr>
                <w:rFonts w:cs="Arial"/>
                <w:b/>
                <w:bCs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90BFB">
              <w:rPr>
                <w:rFonts w:cs="Arial"/>
                <w:b/>
                <w:bCs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90BFB">
              <w:rPr>
                <w:rFonts w:cs="Arial"/>
                <w:b/>
                <w:bCs/>
                <w:color w:val="000000"/>
              </w:rPr>
              <w:t>Cash Limited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90BFB">
              <w:rPr>
                <w:rFonts w:cs="Arial"/>
                <w:b/>
                <w:bCs/>
                <w:color w:val="000000"/>
              </w:rPr>
              <w:t>Non Cash Limited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90BFB">
              <w:rPr>
                <w:rFonts w:cs="Arial"/>
                <w:b/>
                <w:bCs/>
                <w:color w:val="000000"/>
              </w:rPr>
              <w:t>Total</w:t>
            </w:r>
          </w:p>
        </w:tc>
      </w:tr>
      <w:tr w:rsidR="00390BFB" w:rsidRPr="00390BFB" w:rsidTr="00390BFB">
        <w:trPr>
          <w:trHeight w:val="499"/>
        </w:trPr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BFB" w:rsidRPr="00390BFB" w:rsidRDefault="00390BFB" w:rsidP="00390BFB">
            <w:pPr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Admissions and Supply of School places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208,430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208,430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208,430</w:t>
            </w:r>
          </w:p>
        </w:tc>
      </w:tr>
      <w:tr w:rsidR="00390BFB" w:rsidRPr="00390BFB" w:rsidTr="00390BFB">
        <w:trPr>
          <w:trHeight w:val="499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BFB" w:rsidRPr="00390BFB" w:rsidRDefault="00390BFB" w:rsidP="00390BFB">
            <w:pPr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Schools Forum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9,430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9,430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9,430</w:t>
            </w:r>
          </w:p>
        </w:tc>
      </w:tr>
      <w:tr w:rsidR="00390BFB" w:rsidRPr="00390BFB" w:rsidTr="00390BFB">
        <w:trPr>
          <w:trHeight w:val="499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BFB" w:rsidRPr="00390BFB" w:rsidRDefault="00390BFB" w:rsidP="00390BFB">
            <w:pPr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Prudential Borrowing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755,000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755,000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755,000</w:t>
            </w:r>
          </w:p>
        </w:tc>
      </w:tr>
      <w:tr w:rsidR="00390BFB" w:rsidRPr="00390BFB" w:rsidTr="00390BFB">
        <w:trPr>
          <w:trHeight w:val="499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BFB" w:rsidRPr="00390BFB" w:rsidRDefault="00390BFB" w:rsidP="00390BFB">
            <w:pPr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Termination of Employment Costs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550,000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550,000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550,000</w:t>
            </w:r>
          </w:p>
        </w:tc>
      </w:tr>
      <w:tr w:rsidR="00390BFB" w:rsidRPr="00390BFB" w:rsidTr="00390BFB">
        <w:trPr>
          <w:trHeight w:val="499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BFB" w:rsidRPr="00390BFB" w:rsidRDefault="00390BFB" w:rsidP="00390BFB">
            <w:pPr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Contribution to Combined Services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504,830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504,830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504,830</w:t>
            </w:r>
          </w:p>
        </w:tc>
      </w:tr>
      <w:tr w:rsidR="00390BFB" w:rsidRPr="00390BFB" w:rsidTr="00390BFB">
        <w:trPr>
          <w:trHeight w:val="499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BFB" w:rsidRPr="00390BFB" w:rsidRDefault="00390BFB" w:rsidP="00390BFB">
            <w:pPr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SEN Home to School Transport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1,174,920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1,174,920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1,174,920</w:t>
            </w:r>
          </w:p>
        </w:tc>
      </w:tr>
      <w:tr w:rsidR="00390BFB" w:rsidRPr="00390BFB" w:rsidTr="00390BFB">
        <w:trPr>
          <w:trHeight w:val="499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BFB" w:rsidRPr="00390BFB" w:rsidRDefault="00390BFB" w:rsidP="00390BFB">
            <w:pPr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Miscellaneous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69,000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69,000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69,000</w:t>
            </w:r>
          </w:p>
        </w:tc>
      </w:tr>
      <w:tr w:rsidR="00390BFB" w:rsidRPr="00390BFB" w:rsidTr="00390BFB">
        <w:trPr>
          <w:trHeight w:val="499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BFB" w:rsidRPr="00390BFB" w:rsidRDefault="00390BFB" w:rsidP="00390BFB">
            <w:pPr>
              <w:rPr>
                <w:rFonts w:cs="Arial"/>
                <w:color w:val="000000"/>
              </w:rPr>
            </w:pPr>
            <w:proofErr w:type="spellStart"/>
            <w:r w:rsidRPr="00390BFB">
              <w:rPr>
                <w:rFonts w:cs="Arial"/>
                <w:color w:val="000000"/>
              </w:rPr>
              <w:t>Longridge</w:t>
            </w:r>
            <w:proofErr w:type="spellEnd"/>
            <w:r w:rsidRPr="00390BFB">
              <w:rPr>
                <w:rFonts w:cs="Arial"/>
                <w:color w:val="000000"/>
              </w:rPr>
              <w:t xml:space="preserve"> Towers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165,670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149,760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149,760</w:t>
            </w:r>
          </w:p>
        </w:tc>
      </w:tr>
      <w:tr w:rsidR="00390BFB" w:rsidRPr="00390BFB" w:rsidTr="00390BFB">
        <w:trPr>
          <w:trHeight w:val="499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BFB" w:rsidRPr="00390BFB" w:rsidRDefault="00390BFB" w:rsidP="00390BFB">
            <w:pPr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Copyright Licensing Agency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241,660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290,974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290,974</w:t>
            </w:r>
          </w:p>
        </w:tc>
      </w:tr>
      <w:tr w:rsidR="00390BFB" w:rsidRPr="00390BFB" w:rsidTr="00390BFB">
        <w:trPr>
          <w:trHeight w:val="499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BFB" w:rsidRPr="00390BFB" w:rsidRDefault="00390BFB" w:rsidP="00390BFB">
            <w:pPr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Boarding Fees - Haydon Bridge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26,820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19,370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19,370</w:t>
            </w:r>
          </w:p>
        </w:tc>
      </w:tr>
      <w:tr w:rsidR="00390BFB" w:rsidRPr="00390BFB" w:rsidTr="00390BFB">
        <w:trPr>
          <w:trHeight w:val="499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BFB" w:rsidRPr="00390BFB" w:rsidRDefault="00390BFB" w:rsidP="00390BFB">
            <w:pPr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ESG Statutory Retained Duties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636,105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636,105</w:t>
            </w:r>
          </w:p>
        </w:tc>
      </w:tr>
      <w:tr w:rsidR="00390BFB" w:rsidRPr="00390BFB" w:rsidTr="00390BFB">
        <w:trPr>
          <w:trHeight w:val="499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BFB" w:rsidRPr="00390BFB" w:rsidRDefault="00390BFB" w:rsidP="00390BFB">
            <w:pPr>
              <w:rPr>
                <w:rFonts w:cs="Arial"/>
                <w:b/>
                <w:bCs/>
                <w:color w:val="000000"/>
              </w:rPr>
            </w:pPr>
            <w:r w:rsidRPr="00390BFB">
              <w:rPr>
                <w:rFonts w:cs="Arial"/>
                <w:b/>
                <w:bCs/>
                <w:color w:val="000000"/>
              </w:rPr>
              <w:t>TOTAL CENTRALLY RETAINED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3,705,760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3,053,750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677,964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BFB" w:rsidRPr="00390BFB" w:rsidRDefault="00390BFB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4,367,819</w:t>
            </w:r>
          </w:p>
        </w:tc>
      </w:tr>
    </w:tbl>
    <w:p w:rsidR="001D0DF9" w:rsidRDefault="001D0DF9"/>
    <w:tbl>
      <w:tblPr>
        <w:tblW w:w="9285" w:type="dxa"/>
        <w:tblInd w:w="93" w:type="dxa"/>
        <w:tblLook w:val="04A0" w:firstRow="1" w:lastRow="0" w:firstColumn="1" w:lastColumn="0" w:noHBand="0" w:noVBand="1"/>
      </w:tblPr>
      <w:tblGrid>
        <w:gridCol w:w="5325"/>
        <w:gridCol w:w="3960"/>
      </w:tblGrid>
      <w:tr w:rsidR="00CE2344" w:rsidRPr="00390BFB" w:rsidTr="001D0DF9">
        <w:trPr>
          <w:trHeight w:val="285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44" w:rsidRPr="001D0DF9" w:rsidRDefault="00CE2344" w:rsidP="00390BFB">
            <w:pPr>
              <w:rPr>
                <w:rFonts w:cs="Arial"/>
                <w:b/>
                <w:color w:val="000000"/>
              </w:rPr>
            </w:pPr>
            <w:r w:rsidRPr="001D0DF9">
              <w:rPr>
                <w:rFonts w:cs="Arial"/>
                <w:b/>
                <w:color w:val="000000"/>
              </w:rPr>
              <w:t xml:space="preserve">Schools Block (from </w:t>
            </w:r>
            <w:proofErr w:type="spellStart"/>
            <w:r w:rsidRPr="001D0DF9">
              <w:rPr>
                <w:rFonts w:cs="Arial"/>
                <w:b/>
                <w:color w:val="000000"/>
              </w:rPr>
              <w:t>DfE</w:t>
            </w:r>
            <w:proofErr w:type="spellEnd"/>
            <w:r w:rsidRPr="001D0DF9">
              <w:rPr>
                <w:rFonts w:cs="Arial"/>
                <w:b/>
                <w:color w:val="000000"/>
              </w:rPr>
              <w:t>)</w:t>
            </w:r>
          </w:p>
          <w:p w:rsidR="00CE2344" w:rsidRPr="001D0DF9" w:rsidRDefault="00CE2344" w:rsidP="00390BFB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44" w:rsidRPr="00390BFB" w:rsidRDefault="00CE2344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177,157,038</w:t>
            </w:r>
          </w:p>
        </w:tc>
      </w:tr>
      <w:tr w:rsidR="00CE2344" w:rsidRPr="00390BFB" w:rsidTr="001D0DF9">
        <w:trPr>
          <w:trHeight w:val="285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44" w:rsidRPr="001D0DF9" w:rsidRDefault="00CE2344" w:rsidP="00390BFB">
            <w:pPr>
              <w:rPr>
                <w:rFonts w:cs="Arial"/>
                <w:b/>
                <w:color w:val="000000"/>
              </w:rPr>
            </w:pPr>
            <w:r w:rsidRPr="001D0DF9">
              <w:rPr>
                <w:rFonts w:cs="Arial"/>
                <w:b/>
                <w:color w:val="000000"/>
              </w:rPr>
              <w:t xml:space="preserve">plus SEN Home to School Transport </w:t>
            </w:r>
          </w:p>
          <w:p w:rsidR="00CE2344" w:rsidRPr="001D0DF9" w:rsidRDefault="00CE2344" w:rsidP="00390BFB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44" w:rsidRPr="00390BFB" w:rsidRDefault="00CE2344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1,174,920</w:t>
            </w:r>
          </w:p>
        </w:tc>
      </w:tr>
      <w:tr w:rsidR="00CE2344" w:rsidRPr="00390BFB" w:rsidTr="001D0DF9">
        <w:trPr>
          <w:trHeight w:val="285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44" w:rsidRPr="001D0DF9" w:rsidRDefault="00CE2344" w:rsidP="00390BFB">
            <w:pPr>
              <w:rPr>
                <w:rFonts w:cs="Arial"/>
                <w:b/>
                <w:color w:val="000000"/>
              </w:rPr>
            </w:pPr>
            <w:r w:rsidRPr="001D0DF9">
              <w:rPr>
                <w:rFonts w:cs="Arial"/>
                <w:b/>
                <w:color w:val="000000"/>
              </w:rPr>
              <w:t>Total Schools Block</w:t>
            </w:r>
          </w:p>
          <w:p w:rsidR="00CE2344" w:rsidRPr="001D0DF9" w:rsidRDefault="00CE2344" w:rsidP="00390BFB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44" w:rsidRPr="00390BFB" w:rsidRDefault="00CE2344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178,331,958</w:t>
            </w:r>
          </w:p>
        </w:tc>
      </w:tr>
      <w:tr w:rsidR="00CE2344" w:rsidRPr="00390BFB" w:rsidTr="001D0DF9">
        <w:trPr>
          <w:trHeight w:val="285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44" w:rsidRPr="001D0DF9" w:rsidRDefault="00CE2344" w:rsidP="00390BFB">
            <w:pPr>
              <w:rPr>
                <w:rFonts w:cs="Arial"/>
                <w:b/>
                <w:color w:val="000000"/>
              </w:rPr>
            </w:pPr>
            <w:r w:rsidRPr="001D0DF9">
              <w:rPr>
                <w:rFonts w:cs="Arial"/>
                <w:b/>
                <w:color w:val="000000"/>
              </w:rPr>
              <w:t>less Centrally retained Schools Block</w:t>
            </w:r>
          </w:p>
          <w:p w:rsidR="00CE2344" w:rsidRPr="001D0DF9" w:rsidRDefault="00CE2344" w:rsidP="00390BFB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44" w:rsidRPr="00390BFB" w:rsidRDefault="00CE2344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-4,367,819</w:t>
            </w:r>
          </w:p>
        </w:tc>
      </w:tr>
      <w:tr w:rsidR="00CE2344" w:rsidRPr="00390BFB" w:rsidTr="001D0DF9">
        <w:trPr>
          <w:trHeight w:val="285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44" w:rsidRPr="001D0DF9" w:rsidRDefault="00CE2344" w:rsidP="00390BFB">
            <w:pPr>
              <w:rPr>
                <w:rFonts w:cs="Arial"/>
                <w:b/>
                <w:color w:val="000000"/>
              </w:rPr>
            </w:pPr>
            <w:r w:rsidRPr="001D0DF9">
              <w:rPr>
                <w:rFonts w:cs="Arial"/>
                <w:b/>
                <w:color w:val="000000"/>
              </w:rPr>
              <w:t>Total for I</w:t>
            </w:r>
            <w:r w:rsidR="001D0DF9">
              <w:rPr>
                <w:rFonts w:cs="Arial"/>
                <w:b/>
                <w:color w:val="000000"/>
              </w:rPr>
              <w:t>ndividual School Budgets (ISB)</w:t>
            </w:r>
          </w:p>
          <w:p w:rsidR="00CE2344" w:rsidRPr="001D0DF9" w:rsidRDefault="00CE2344" w:rsidP="00390BFB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44" w:rsidRPr="00390BFB" w:rsidRDefault="00CE2344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173,964,139</w:t>
            </w:r>
          </w:p>
        </w:tc>
      </w:tr>
      <w:tr w:rsidR="00CE2344" w:rsidRPr="00390BFB" w:rsidTr="001D0DF9">
        <w:trPr>
          <w:trHeight w:val="285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44" w:rsidRDefault="001D0DF9" w:rsidP="001D0DF9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ISB Budget share using agreed formula values</w:t>
            </w:r>
          </w:p>
          <w:p w:rsidR="001D0DF9" w:rsidRPr="001D0DF9" w:rsidRDefault="001D0DF9" w:rsidP="001D0DF9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44" w:rsidRPr="00390BFB" w:rsidRDefault="00CE2344" w:rsidP="00390BFB">
            <w:pPr>
              <w:jc w:val="right"/>
              <w:rPr>
                <w:rFonts w:cs="Arial"/>
                <w:color w:val="000000"/>
              </w:rPr>
            </w:pPr>
            <w:r w:rsidRPr="00390BFB">
              <w:rPr>
                <w:rFonts w:cs="Arial"/>
                <w:color w:val="000000"/>
              </w:rPr>
              <w:t>173,960,536</w:t>
            </w:r>
          </w:p>
        </w:tc>
      </w:tr>
      <w:tr w:rsidR="00CE2344" w:rsidRPr="00390BFB" w:rsidTr="001D0DF9">
        <w:trPr>
          <w:trHeight w:val="285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44" w:rsidRPr="001D0DF9" w:rsidRDefault="001D0DF9" w:rsidP="00390BFB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Balance</w:t>
            </w:r>
          </w:p>
          <w:p w:rsidR="00CE2344" w:rsidRPr="001D0DF9" w:rsidRDefault="00CE2344" w:rsidP="00390BFB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44" w:rsidRDefault="00CE2344" w:rsidP="00390BFB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£</w:t>
            </w:r>
            <w:r w:rsidRPr="00390BFB">
              <w:rPr>
                <w:rFonts w:cs="Arial"/>
                <w:color w:val="000000"/>
              </w:rPr>
              <w:t>3,603</w:t>
            </w:r>
          </w:p>
          <w:p w:rsidR="001D0DF9" w:rsidRPr="00390BFB" w:rsidRDefault="001D0DF9" w:rsidP="00390BFB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(To be </w:t>
            </w:r>
            <w:proofErr w:type="spellStart"/>
            <w:r>
              <w:rPr>
                <w:rFonts w:cs="Arial"/>
                <w:color w:val="000000"/>
              </w:rPr>
              <w:t>vired</w:t>
            </w:r>
            <w:proofErr w:type="spellEnd"/>
            <w:r>
              <w:rPr>
                <w:rFonts w:cs="Arial"/>
                <w:color w:val="000000"/>
              </w:rPr>
              <w:t xml:space="preserve"> into High Needs Block)</w:t>
            </w:r>
          </w:p>
        </w:tc>
      </w:tr>
    </w:tbl>
    <w:p w:rsidR="0083229F" w:rsidRDefault="0083229F" w:rsidP="00390BFB">
      <w:pPr>
        <w:pStyle w:val="DeptOutNumbered"/>
        <w:keepNext/>
        <w:numPr>
          <w:ilvl w:val="0"/>
          <w:numId w:val="0"/>
        </w:numPr>
        <w:spacing w:after="0"/>
        <w:rPr>
          <w:b/>
        </w:rPr>
      </w:pPr>
    </w:p>
    <w:p w:rsidR="001D0DF9" w:rsidRDefault="001D0DF9">
      <w:pPr>
        <w:rPr>
          <w:b/>
        </w:rPr>
      </w:pPr>
      <w:r>
        <w:rPr>
          <w:b/>
        </w:rPr>
        <w:br w:type="page"/>
      </w:r>
    </w:p>
    <w:p w:rsidR="00CB71DA" w:rsidRPr="0083229F" w:rsidRDefault="0083229F" w:rsidP="0083229F">
      <w:pPr>
        <w:pStyle w:val="DeptOutNumbered"/>
        <w:keepNext/>
        <w:numPr>
          <w:ilvl w:val="0"/>
          <w:numId w:val="0"/>
        </w:numPr>
        <w:spacing w:after="0"/>
        <w:jc w:val="right"/>
        <w:rPr>
          <w:b/>
          <w:i/>
          <w:sz w:val="22"/>
          <w:szCs w:val="22"/>
        </w:rPr>
      </w:pPr>
      <w:bookmarkStart w:id="0" w:name="_GoBack"/>
      <w:bookmarkEnd w:id="0"/>
      <w:r w:rsidRPr="0083229F">
        <w:rPr>
          <w:b/>
          <w:i/>
          <w:sz w:val="22"/>
          <w:szCs w:val="22"/>
        </w:rPr>
        <w:lastRenderedPageBreak/>
        <w:t>Annex 4</w:t>
      </w:r>
    </w:p>
    <w:p w:rsidR="0083229F" w:rsidRDefault="0083229F" w:rsidP="0083229F">
      <w:pPr>
        <w:pStyle w:val="DeptOutNumbered"/>
        <w:keepNext/>
        <w:numPr>
          <w:ilvl w:val="0"/>
          <w:numId w:val="0"/>
        </w:numPr>
        <w:spacing w:after="0"/>
        <w:rPr>
          <w:b/>
        </w:rPr>
      </w:pPr>
    </w:p>
    <w:p w:rsidR="001E7884" w:rsidRDefault="001E7884" w:rsidP="001E7884">
      <w:pPr>
        <w:jc w:val="center"/>
        <w:rPr>
          <w:rFonts w:cs="Arial"/>
          <w:b/>
          <w:sz w:val="28"/>
          <w:szCs w:val="28"/>
          <w:u w:val="single"/>
        </w:rPr>
      </w:pPr>
      <w:r w:rsidRPr="001A1A4F">
        <w:rPr>
          <w:rFonts w:cs="Arial"/>
          <w:b/>
          <w:sz w:val="28"/>
          <w:szCs w:val="28"/>
          <w:u w:val="single"/>
        </w:rPr>
        <w:t xml:space="preserve">PROPOSED FORMULA FUNDING VALUES </w:t>
      </w:r>
      <w:r>
        <w:rPr>
          <w:rFonts w:cs="Arial"/>
          <w:b/>
          <w:sz w:val="28"/>
          <w:szCs w:val="28"/>
          <w:u w:val="single"/>
        </w:rPr>
        <w:t>FOR 2017/18</w:t>
      </w:r>
    </w:p>
    <w:p w:rsidR="001E7884" w:rsidRPr="008119ED" w:rsidRDefault="001E7884" w:rsidP="001E7884">
      <w:pPr>
        <w:jc w:val="center"/>
        <w:rPr>
          <w:rFonts w:cs="Arial"/>
          <w:b/>
          <w:sz w:val="24"/>
          <w:szCs w:val="24"/>
          <w:u w:val="single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8"/>
        <w:gridCol w:w="1424"/>
        <w:gridCol w:w="2138"/>
      </w:tblGrid>
      <w:tr w:rsidR="001E7884" w:rsidRPr="000555EE" w:rsidTr="001E7884">
        <w:tc>
          <w:tcPr>
            <w:tcW w:w="5708" w:type="dxa"/>
            <w:shd w:val="clear" w:color="auto" w:fill="auto"/>
          </w:tcPr>
          <w:p w:rsidR="001E7884" w:rsidRPr="000555EE" w:rsidRDefault="001E7884" w:rsidP="00347890">
            <w:pPr>
              <w:spacing w:before="60" w:after="60"/>
              <w:rPr>
                <w:rFonts w:cs="Arial"/>
              </w:rPr>
            </w:pPr>
          </w:p>
        </w:tc>
        <w:tc>
          <w:tcPr>
            <w:tcW w:w="1424" w:type="dxa"/>
            <w:shd w:val="clear" w:color="auto" w:fill="auto"/>
          </w:tcPr>
          <w:p w:rsidR="001E7884" w:rsidRDefault="001E7884" w:rsidP="00347890">
            <w:pPr>
              <w:spacing w:before="60" w:after="6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2016/17</w:t>
            </w:r>
          </w:p>
          <w:p w:rsidR="001E7884" w:rsidRPr="000555EE" w:rsidRDefault="001E7884" w:rsidP="00347890">
            <w:pPr>
              <w:spacing w:before="60" w:after="6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(Actual)</w:t>
            </w:r>
          </w:p>
        </w:tc>
        <w:tc>
          <w:tcPr>
            <w:tcW w:w="2138" w:type="dxa"/>
          </w:tcPr>
          <w:p w:rsidR="001E7884" w:rsidRDefault="001E7884" w:rsidP="00347890">
            <w:pPr>
              <w:spacing w:before="60" w:after="6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2017/18</w:t>
            </w:r>
          </w:p>
          <w:p w:rsidR="001E7884" w:rsidRPr="000555EE" w:rsidRDefault="001E7884" w:rsidP="00347890">
            <w:pPr>
              <w:spacing w:before="60" w:after="6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(Using October 16 Data)</w:t>
            </w:r>
          </w:p>
        </w:tc>
      </w:tr>
      <w:tr w:rsidR="001E7884" w:rsidRPr="000555EE" w:rsidTr="001E7884">
        <w:tc>
          <w:tcPr>
            <w:tcW w:w="5708" w:type="dxa"/>
            <w:shd w:val="clear" w:color="auto" w:fill="auto"/>
          </w:tcPr>
          <w:p w:rsidR="001E7884" w:rsidRDefault="001E7884" w:rsidP="001E7884">
            <w:pPr>
              <w:tabs>
                <w:tab w:val="right" w:pos="5397"/>
              </w:tabs>
              <w:spacing w:before="60" w:after="60"/>
              <w:rPr>
                <w:rFonts w:cs="Arial"/>
              </w:rPr>
            </w:pPr>
            <w:r w:rsidRPr="000555EE">
              <w:rPr>
                <w:rFonts w:cs="Arial"/>
              </w:rPr>
              <w:t>AWPU</w:t>
            </w:r>
            <w:r>
              <w:rPr>
                <w:rFonts w:cs="Arial"/>
              </w:rPr>
              <w:tab/>
              <w:t>Primary</w:t>
            </w:r>
          </w:p>
          <w:p w:rsidR="001E7884" w:rsidRDefault="001E7884" w:rsidP="001E7884">
            <w:pPr>
              <w:tabs>
                <w:tab w:val="right" w:pos="5397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ab/>
              <w:t>KS3</w:t>
            </w:r>
          </w:p>
          <w:p w:rsidR="001E7884" w:rsidRPr="000555EE" w:rsidRDefault="001E7884" w:rsidP="001E7884">
            <w:pPr>
              <w:tabs>
                <w:tab w:val="right" w:pos="5397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ab/>
              <w:t>KS4</w:t>
            </w:r>
          </w:p>
        </w:tc>
        <w:tc>
          <w:tcPr>
            <w:tcW w:w="1424" w:type="dxa"/>
            <w:shd w:val="clear" w:color="auto" w:fill="auto"/>
          </w:tcPr>
          <w:p w:rsidR="001E7884" w:rsidRPr="00743EEE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 w:rsidRPr="00743EEE">
              <w:rPr>
                <w:rFonts w:cs="Arial"/>
              </w:rPr>
              <w:t xml:space="preserve"> 2,807</w:t>
            </w:r>
          </w:p>
          <w:p w:rsidR="001E7884" w:rsidRPr="00743EEE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 w:rsidRPr="00743EEE">
              <w:rPr>
                <w:rFonts w:cs="Arial"/>
              </w:rPr>
              <w:t xml:space="preserve"> 3,7</w:t>
            </w:r>
            <w:r>
              <w:rPr>
                <w:rFonts w:cs="Arial"/>
              </w:rPr>
              <w:t>15</w:t>
            </w:r>
          </w:p>
          <w:p w:rsidR="001E7884" w:rsidRPr="00743EEE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 w:rsidRPr="00743EEE">
              <w:rPr>
                <w:rFonts w:cs="Arial"/>
              </w:rPr>
              <w:t xml:space="preserve"> 4,580</w:t>
            </w:r>
          </w:p>
        </w:tc>
        <w:tc>
          <w:tcPr>
            <w:tcW w:w="2138" w:type="dxa"/>
          </w:tcPr>
          <w:p w:rsidR="001E7884" w:rsidRPr="004A2987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 w:rsidRPr="004A2987">
              <w:rPr>
                <w:rFonts w:cs="Arial"/>
              </w:rPr>
              <w:t xml:space="preserve"> 2,807</w:t>
            </w:r>
          </w:p>
          <w:p w:rsidR="001E7884" w:rsidRPr="004A2987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3,715</w:t>
            </w:r>
          </w:p>
          <w:p w:rsidR="001E7884" w:rsidRPr="004A2987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 w:rsidRPr="004A2987">
              <w:rPr>
                <w:rFonts w:cs="Arial"/>
              </w:rPr>
              <w:t xml:space="preserve"> 4,580</w:t>
            </w:r>
          </w:p>
        </w:tc>
      </w:tr>
      <w:tr w:rsidR="001E7884" w:rsidRPr="000555EE" w:rsidTr="001E7884">
        <w:tc>
          <w:tcPr>
            <w:tcW w:w="5708" w:type="dxa"/>
            <w:shd w:val="clear" w:color="auto" w:fill="auto"/>
          </w:tcPr>
          <w:p w:rsidR="001E7884" w:rsidRDefault="001E7884" w:rsidP="001E7884">
            <w:pPr>
              <w:tabs>
                <w:tab w:val="right" w:pos="5397"/>
              </w:tabs>
              <w:spacing w:before="60" w:after="60"/>
              <w:rPr>
                <w:rFonts w:cs="Arial"/>
              </w:rPr>
            </w:pPr>
            <w:r w:rsidRPr="000555EE">
              <w:rPr>
                <w:rFonts w:cs="Arial"/>
              </w:rPr>
              <w:t>Lump Sum</w:t>
            </w:r>
            <w:r>
              <w:rPr>
                <w:rFonts w:cs="Arial"/>
              </w:rPr>
              <w:tab/>
              <w:t>Primary</w:t>
            </w:r>
          </w:p>
          <w:p w:rsidR="001E7884" w:rsidRDefault="001E7884" w:rsidP="001E7884">
            <w:pPr>
              <w:tabs>
                <w:tab w:val="right" w:pos="5397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ab/>
              <w:t>Middle</w:t>
            </w:r>
          </w:p>
          <w:p w:rsidR="001E7884" w:rsidRPr="000555EE" w:rsidRDefault="001E7884" w:rsidP="001E7884">
            <w:pPr>
              <w:tabs>
                <w:tab w:val="right" w:pos="5397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ab/>
              <w:t>High/Secondary</w:t>
            </w:r>
          </w:p>
        </w:tc>
        <w:tc>
          <w:tcPr>
            <w:tcW w:w="1424" w:type="dxa"/>
            <w:shd w:val="clear" w:color="auto" w:fill="auto"/>
          </w:tcPr>
          <w:p w:rsidR="001E7884" w:rsidRPr="00743EEE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 w:rsidRPr="00743EEE">
              <w:rPr>
                <w:rFonts w:cs="Arial"/>
              </w:rPr>
              <w:t>110,000</w:t>
            </w:r>
          </w:p>
          <w:p w:rsidR="001E7884" w:rsidRPr="00743EEE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 w:rsidRPr="00743EEE">
              <w:rPr>
                <w:rFonts w:cs="Arial"/>
              </w:rPr>
              <w:t>140,000</w:t>
            </w:r>
          </w:p>
          <w:p w:rsidR="001E7884" w:rsidRPr="00743EEE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 w:rsidRPr="00743EEE">
              <w:rPr>
                <w:rFonts w:cs="Arial"/>
              </w:rPr>
              <w:t>170,000</w:t>
            </w:r>
          </w:p>
        </w:tc>
        <w:tc>
          <w:tcPr>
            <w:tcW w:w="2138" w:type="dxa"/>
          </w:tcPr>
          <w:p w:rsidR="001E7884" w:rsidRPr="004A2987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 w:rsidRPr="004A2987">
              <w:rPr>
                <w:rFonts w:cs="Arial"/>
              </w:rPr>
              <w:t>110,000</w:t>
            </w:r>
          </w:p>
          <w:p w:rsidR="001E7884" w:rsidRPr="004A2987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 w:rsidRPr="004A2987">
              <w:rPr>
                <w:rFonts w:cs="Arial"/>
              </w:rPr>
              <w:t>140,000</w:t>
            </w:r>
          </w:p>
          <w:p w:rsidR="001E7884" w:rsidRPr="004A2987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 w:rsidRPr="004A2987">
              <w:rPr>
                <w:rFonts w:cs="Arial"/>
              </w:rPr>
              <w:t>170,000</w:t>
            </w:r>
          </w:p>
        </w:tc>
      </w:tr>
      <w:tr w:rsidR="001E7884" w:rsidRPr="000555EE" w:rsidTr="001E7884">
        <w:tc>
          <w:tcPr>
            <w:tcW w:w="5708" w:type="dxa"/>
            <w:shd w:val="clear" w:color="auto" w:fill="auto"/>
          </w:tcPr>
          <w:p w:rsidR="001E7884" w:rsidRDefault="001E7884" w:rsidP="001E7884">
            <w:pPr>
              <w:tabs>
                <w:tab w:val="right" w:pos="5397"/>
              </w:tabs>
              <w:spacing w:before="60" w:after="60"/>
              <w:rPr>
                <w:rFonts w:cs="Arial"/>
              </w:rPr>
            </w:pPr>
            <w:r w:rsidRPr="000555EE">
              <w:rPr>
                <w:rFonts w:cs="Arial"/>
              </w:rPr>
              <w:t>Deprivation - Free School Meals</w:t>
            </w:r>
            <w:r>
              <w:rPr>
                <w:rFonts w:cs="Arial"/>
              </w:rPr>
              <w:tab/>
              <w:t>Primary</w:t>
            </w:r>
          </w:p>
          <w:p w:rsidR="001E7884" w:rsidRPr="000555EE" w:rsidRDefault="001E7884" w:rsidP="001E7884">
            <w:pPr>
              <w:tabs>
                <w:tab w:val="right" w:pos="5397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ab/>
              <w:t>Secondary</w:t>
            </w:r>
          </w:p>
        </w:tc>
        <w:tc>
          <w:tcPr>
            <w:tcW w:w="1424" w:type="dxa"/>
            <w:shd w:val="clear" w:color="auto" w:fill="auto"/>
          </w:tcPr>
          <w:p w:rsidR="001E7884" w:rsidRPr="00743EEE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 w:rsidRPr="00743EEE">
              <w:rPr>
                <w:rFonts w:cs="Arial"/>
              </w:rPr>
              <w:t xml:space="preserve"> 1,2</w:t>
            </w:r>
            <w:r>
              <w:rPr>
                <w:rFonts w:cs="Arial"/>
              </w:rPr>
              <w:t>97</w:t>
            </w:r>
          </w:p>
          <w:p w:rsidR="001E7884" w:rsidRPr="00743EEE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 w:rsidRPr="00743EEE">
              <w:rPr>
                <w:rFonts w:cs="Arial"/>
              </w:rPr>
              <w:t xml:space="preserve"> 1,5</w:t>
            </w:r>
            <w:r>
              <w:rPr>
                <w:rFonts w:cs="Arial"/>
              </w:rPr>
              <w:t>62</w:t>
            </w:r>
          </w:p>
        </w:tc>
        <w:tc>
          <w:tcPr>
            <w:tcW w:w="2138" w:type="dxa"/>
          </w:tcPr>
          <w:p w:rsidR="001E7884" w:rsidRPr="004A2987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 w:rsidRPr="004A2987">
              <w:rPr>
                <w:rFonts w:cs="Arial"/>
              </w:rPr>
              <w:t xml:space="preserve"> 1,2</w:t>
            </w:r>
            <w:r>
              <w:rPr>
                <w:rFonts w:cs="Arial"/>
              </w:rPr>
              <w:t>97</w:t>
            </w:r>
          </w:p>
          <w:p w:rsidR="001E7884" w:rsidRPr="004A2987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1,562</w:t>
            </w:r>
          </w:p>
        </w:tc>
      </w:tr>
      <w:tr w:rsidR="001E7884" w:rsidRPr="000555EE" w:rsidTr="001E7884">
        <w:trPr>
          <w:trHeight w:val="4816"/>
        </w:trPr>
        <w:tc>
          <w:tcPr>
            <w:tcW w:w="5708" w:type="dxa"/>
            <w:shd w:val="clear" w:color="auto" w:fill="auto"/>
          </w:tcPr>
          <w:p w:rsidR="001E7884" w:rsidRDefault="001E7884" w:rsidP="001E7884">
            <w:pPr>
              <w:tabs>
                <w:tab w:val="right" w:pos="5397"/>
              </w:tabs>
              <w:spacing w:before="60" w:after="60"/>
              <w:rPr>
                <w:rFonts w:cs="Arial"/>
              </w:rPr>
            </w:pPr>
            <w:r w:rsidRPr="000555EE">
              <w:rPr>
                <w:rFonts w:cs="Arial"/>
              </w:rPr>
              <w:t xml:space="preserve">Deprivation </w:t>
            </w:r>
            <w:r>
              <w:rPr>
                <w:rFonts w:cs="Arial"/>
              </w:rPr>
              <w:t>–</w:t>
            </w:r>
            <w:r w:rsidRPr="000555EE">
              <w:rPr>
                <w:rFonts w:cs="Arial"/>
              </w:rPr>
              <w:t xml:space="preserve"> IDACI</w:t>
            </w:r>
          </w:p>
          <w:p w:rsidR="001E7884" w:rsidRDefault="001E7884" w:rsidP="001E7884">
            <w:pPr>
              <w:tabs>
                <w:tab w:val="right" w:pos="5397"/>
              </w:tabs>
              <w:spacing w:before="60" w:after="60"/>
              <w:rPr>
                <w:rFonts w:cs="Arial"/>
              </w:rPr>
            </w:pPr>
          </w:p>
          <w:p w:rsidR="001E7884" w:rsidRPr="000555EE" w:rsidRDefault="001E7884" w:rsidP="001E7884">
            <w:pPr>
              <w:tabs>
                <w:tab w:val="right" w:pos="5397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Primary</w:t>
            </w:r>
            <w:r>
              <w:rPr>
                <w:rFonts w:cs="Arial"/>
              </w:rPr>
              <w:tab/>
            </w:r>
            <w:r w:rsidRPr="000555EE">
              <w:rPr>
                <w:rFonts w:cs="Arial"/>
              </w:rPr>
              <w:t>Band </w:t>
            </w:r>
            <w:r>
              <w:rPr>
                <w:rFonts w:cs="Arial"/>
              </w:rPr>
              <w:t>F</w:t>
            </w:r>
          </w:p>
          <w:p w:rsidR="001E7884" w:rsidRPr="000555EE" w:rsidRDefault="001E7884" w:rsidP="001E7884">
            <w:pPr>
              <w:tabs>
                <w:tab w:val="right" w:pos="5397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Pr="000555EE">
              <w:rPr>
                <w:rFonts w:cs="Arial"/>
              </w:rPr>
              <w:t xml:space="preserve">Band </w:t>
            </w:r>
            <w:r>
              <w:rPr>
                <w:rFonts w:cs="Arial"/>
              </w:rPr>
              <w:t>E</w:t>
            </w:r>
          </w:p>
          <w:p w:rsidR="001E7884" w:rsidRPr="000555EE" w:rsidRDefault="001E7884" w:rsidP="001E7884">
            <w:pPr>
              <w:tabs>
                <w:tab w:val="right" w:pos="5397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Pr="000555EE">
              <w:rPr>
                <w:rFonts w:cs="Arial"/>
              </w:rPr>
              <w:t xml:space="preserve">Band </w:t>
            </w:r>
            <w:r>
              <w:rPr>
                <w:rFonts w:cs="Arial"/>
              </w:rPr>
              <w:t>D</w:t>
            </w:r>
          </w:p>
          <w:p w:rsidR="001E7884" w:rsidRPr="000555EE" w:rsidRDefault="001E7884" w:rsidP="001E7884">
            <w:pPr>
              <w:tabs>
                <w:tab w:val="right" w:pos="5397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Pr="000555EE">
              <w:rPr>
                <w:rFonts w:cs="Arial"/>
              </w:rPr>
              <w:t xml:space="preserve">Band </w:t>
            </w:r>
            <w:r>
              <w:rPr>
                <w:rFonts w:cs="Arial"/>
              </w:rPr>
              <w:t>C</w:t>
            </w:r>
          </w:p>
          <w:p w:rsidR="001E7884" w:rsidRPr="000555EE" w:rsidRDefault="001E7884" w:rsidP="001E7884">
            <w:pPr>
              <w:tabs>
                <w:tab w:val="right" w:pos="5397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Pr="000555EE">
              <w:rPr>
                <w:rFonts w:cs="Arial"/>
              </w:rPr>
              <w:t xml:space="preserve">Band </w:t>
            </w:r>
            <w:r>
              <w:rPr>
                <w:rFonts w:cs="Arial"/>
              </w:rPr>
              <w:t>B</w:t>
            </w:r>
          </w:p>
          <w:p w:rsidR="001E7884" w:rsidRDefault="001E7884" w:rsidP="001E7884">
            <w:pPr>
              <w:tabs>
                <w:tab w:val="right" w:pos="5397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ab/>
              <w:t>Band A</w:t>
            </w:r>
          </w:p>
          <w:p w:rsidR="001E7884" w:rsidRDefault="001E7884" w:rsidP="001E7884">
            <w:pPr>
              <w:tabs>
                <w:tab w:val="right" w:pos="5397"/>
              </w:tabs>
              <w:spacing w:before="60" w:after="60"/>
              <w:rPr>
                <w:rFonts w:cs="Arial"/>
              </w:rPr>
            </w:pPr>
          </w:p>
          <w:p w:rsidR="001E7884" w:rsidRPr="000555EE" w:rsidRDefault="001E7884" w:rsidP="001E7884">
            <w:pPr>
              <w:tabs>
                <w:tab w:val="right" w:pos="5397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Secondary</w:t>
            </w:r>
            <w:r>
              <w:rPr>
                <w:rFonts w:cs="Arial"/>
              </w:rPr>
              <w:tab/>
              <w:t>Band F</w:t>
            </w:r>
          </w:p>
          <w:p w:rsidR="001E7884" w:rsidRPr="000555EE" w:rsidRDefault="00B07587" w:rsidP="00B07587">
            <w:pPr>
              <w:tabs>
                <w:tab w:val="right" w:pos="5397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1E7884">
              <w:rPr>
                <w:rFonts w:cs="Arial"/>
              </w:rPr>
              <w:t>Band E</w:t>
            </w:r>
          </w:p>
          <w:p w:rsidR="001E7884" w:rsidRPr="000555EE" w:rsidRDefault="00B07587" w:rsidP="00B07587">
            <w:pPr>
              <w:tabs>
                <w:tab w:val="right" w:pos="5397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1E7884">
              <w:rPr>
                <w:rFonts w:cs="Arial"/>
              </w:rPr>
              <w:t>Band D</w:t>
            </w:r>
          </w:p>
          <w:p w:rsidR="001E7884" w:rsidRPr="000555EE" w:rsidRDefault="00B07587" w:rsidP="00B07587">
            <w:pPr>
              <w:tabs>
                <w:tab w:val="right" w:pos="5397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1E7884">
              <w:rPr>
                <w:rFonts w:cs="Arial"/>
              </w:rPr>
              <w:t>Band C</w:t>
            </w:r>
          </w:p>
          <w:p w:rsidR="001E7884" w:rsidRPr="000555EE" w:rsidRDefault="00B07587" w:rsidP="00B07587">
            <w:pPr>
              <w:tabs>
                <w:tab w:val="right" w:pos="5397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1E7884">
              <w:rPr>
                <w:rFonts w:cs="Arial"/>
              </w:rPr>
              <w:t>Band B</w:t>
            </w:r>
          </w:p>
          <w:p w:rsidR="001E7884" w:rsidRPr="000555EE" w:rsidRDefault="00B07587" w:rsidP="00B07587">
            <w:pPr>
              <w:tabs>
                <w:tab w:val="right" w:pos="5397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1E7884">
              <w:rPr>
                <w:rFonts w:cs="Arial"/>
              </w:rPr>
              <w:t>Band A</w:t>
            </w:r>
          </w:p>
        </w:tc>
        <w:tc>
          <w:tcPr>
            <w:tcW w:w="1424" w:type="dxa"/>
            <w:shd w:val="clear" w:color="auto" w:fill="auto"/>
          </w:tcPr>
          <w:p w:rsidR="001E7884" w:rsidRDefault="001E7884" w:rsidP="00347890">
            <w:pPr>
              <w:spacing w:before="60" w:after="60"/>
              <w:jc w:val="center"/>
              <w:rPr>
                <w:rFonts w:cs="Arial"/>
              </w:rPr>
            </w:pPr>
          </w:p>
          <w:p w:rsidR="001E7884" w:rsidRDefault="001E7884" w:rsidP="00347890">
            <w:pPr>
              <w:spacing w:before="60" w:after="60"/>
              <w:jc w:val="center"/>
              <w:rPr>
                <w:rFonts w:cs="Arial"/>
              </w:rPr>
            </w:pPr>
          </w:p>
          <w:p w:rsidR="001E7884" w:rsidRPr="000555EE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150</w:t>
            </w:r>
          </w:p>
          <w:p w:rsidR="001E7884" w:rsidRPr="000555EE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175</w:t>
            </w:r>
          </w:p>
          <w:p w:rsidR="001E7884" w:rsidRPr="000555EE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400</w:t>
            </w:r>
          </w:p>
          <w:p w:rsidR="001E7884" w:rsidRPr="000555EE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575</w:t>
            </w:r>
          </w:p>
          <w:p w:rsidR="001E7884" w:rsidRPr="000555EE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900</w:t>
            </w:r>
          </w:p>
          <w:p w:rsidR="001E7884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1100</w:t>
            </w:r>
          </w:p>
          <w:p w:rsidR="001E7884" w:rsidRPr="000555EE" w:rsidRDefault="001E7884" w:rsidP="00347890">
            <w:pPr>
              <w:spacing w:before="60" w:after="60"/>
              <w:jc w:val="center"/>
              <w:rPr>
                <w:rFonts w:cs="Arial"/>
              </w:rPr>
            </w:pPr>
          </w:p>
          <w:p w:rsidR="001E7884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250</w:t>
            </w:r>
          </w:p>
          <w:p w:rsidR="001E7884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275</w:t>
            </w:r>
          </w:p>
          <w:p w:rsidR="001E7884" w:rsidRPr="000555EE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50</w:t>
            </w:r>
            <w:r w:rsidRPr="000555EE">
              <w:rPr>
                <w:rFonts w:cs="Arial"/>
              </w:rPr>
              <w:t>0</w:t>
            </w:r>
          </w:p>
          <w:p w:rsidR="001E7884" w:rsidRPr="000555EE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675</w:t>
            </w:r>
          </w:p>
          <w:p w:rsidR="001E7884" w:rsidRPr="000555EE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1000</w:t>
            </w:r>
          </w:p>
          <w:p w:rsidR="001E7884" w:rsidRPr="000555EE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1200    </w:t>
            </w:r>
          </w:p>
        </w:tc>
        <w:tc>
          <w:tcPr>
            <w:tcW w:w="2138" w:type="dxa"/>
          </w:tcPr>
          <w:p w:rsidR="001E7884" w:rsidRDefault="001E7884" w:rsidP="00347890">
            <w:pPr>
              <w:spacing w:before="60" w:after="60"/>
              <w:jc w:val="center"/>
              <w:rPr>
                <w:rFonts w:cs="Arial"/>
              </w:rPr>
            </w:pPr>
          </w:p>
          <w:p w:rsidR="001E7884" w:rsidRPr="004A2987" w:rsidRDefault="001E7884" w:rsidP="00347890">
            <w:pPr>
              <w:spacing w:before="60" w:after="60"/>
              <w:jc w:val="center"/>
              <w:rPr>
                <w:rFonts w:cs="Arial"/>
              </w:rPr>
            </w:pPr>
          </w:p>
          <w:p w:rsidR="001E7884" w:rsidRPr="004A2987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 w:rsidRPr="004A2987">
              <w:rPr>
                <w:rFonts w:cs="Arial"/>
              </w:rPr>
              <w:t xml:space="preserve">    </w:t>
            </w:r>
            <w:r>
              <w:rPr>
                <w:rFonts w:cs="Arial"/>
              </w:rPr>
              <w:t xml:space="preserve"> 150</w:t>
            </w:r>
          </w:p>
          <w:p w:rsidR="001E7884" w:rsidRPr="004A2987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 w:rsidRPr="004A2987">
              <w:rPr>
                <w:rFonts w:cs="Arial"/>
              </w:rPr>
              <w:t xml:space="preserve">    </w:t>
            </w:r>
            <w:r>
              <w:rPr>
                <w:rFonts w:cs="Arial"/>
              </w:rPr>
              <w:t xml:space="preserve"> 20</w:t>
            </w:r>
            <w:r w:rsidRPr="004A2987">
              <w:rPr>
                <w:rFonts w:cs="Arial"/>
              </w:rPr>
              <w:t>0</w:t>
            </w:r>
          </w:p>
          <w:p w:rsidR="001E7884" w:rsidRPr="004A2987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 w:rsidRPr="004A2987">
              <w:rPr>
                <w:rFonts w:cs="Arial"/>
              </w:rPr>
              <w:t xml:space="preserve">    </w:t>
            </w:r>
            <w:r>
              <w:rPr>
                <w:rFonts w:cs="Arial"/>
              </w:rPr>
              <w:t xml:space="preserve"> 350</w:t>
            </w:r>
          </w:p>
          <w:p w:rsidR="001E7884" w:rsidRPr="004A2987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 w:rsidRPr="004A2987">
              <w:rPr>
                <w:rFonts w:cs="Arial"/>
              </w:rPr>
              <w:t xml:space="preserve">    </w:t>
            </w:r>
            <w:r>
              <w:rPr>
                <w:rFonts w:cs="Arial"/>
              </w:rPr>
              <w:t xml:space="preserve"> 500</w:t>
            </w:r>
          </w:p>
          <w:p w:rsidR="001E7884" w:rsidRPr="004A2987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 600</w:t>
            </w:r>
          </w:p>
          <w:p w:rsidR="001E7884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 w:rsidRPr="004A2987">
              <w:rPr>
                <w:rFonts w:cs="Arial"/>
              </w:rPr>
              <w:t xml:space="preserve">    </w:t>
            </w:r>
            <w:r>
              <w:rPr>
                <w:rFonts w:cs="Arial"/>
              </w:rPr>
              <w:t xml:space="preserve"> 70</w:t>
            </w:r>
            <w:r w:rsidRPr="004A2987">
              <w:rPr>
                <w:rFonts w:cs="Arial"/>
              </w:rPr>
              <w:t>0</w:t>
            </w:r>
          </w:p>
          <w:p w:rsidR="001E7884" w:rsidRPr="004A2987" w:rsidRDefault="001E7884" w:rsidP="00347890">
            <w:pPr>
              <w:spacing w:before="60" w:after="60"/>
              <w:jc w:val="center"/>
              <w:rPr>
                <w:rFonts w:cs="Arial"/>
              </w:rPr>
            </w:pPr>
          </w:p>
          <w:p w:rsidR="001E7884" w:rsidRPr="004A2987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 w:rsidRPr="004A2987">
              <w:rPr>
                <w:rFonts w:cs="Arial"/>
              </w:rPr>
              <w:t xml:space="preserve">    </w:t>
            </w:r>
            <w:r>
              <w:rPr>
                <w:rFonts w:cs="Arial"/>
              </w:rPr>
              <w:t xml:space="preserve"> 250</w:t>
            </w:r>
          </w:p>
          <w:p w:rsidR="001E7884" w:rsidRPr="004A2987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 300</w:t>
            </w:r>
          </w:p>
          <w:p w:rsidR="001E7884" w:rsidRPr="004A2987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 w:rsidRPr="004A2987">
              <w:rPr>
                <w:rFonts w:cs="Arial"/>
              </w:rPr>
              <w:t xml:space="preserve">    </w:t>
            </w:r>
            <w:r>
              <w:rPr>
                <w:rFonts w:cs="Arial"/>
              </w:rPr>
              <w:t xml:space="preserve"> 450</w:t>
            </w:r>
          </w:p>
          <w:p w:rsidR="001E7884" w:rsidRPr="004A2987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725</w:t>
            </w:r>
          </w:p>
          <w:p w:rsidR="001E7884" w:rsidRPr="004A2987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 w:rsidRPr="004A2987">
              <w:rPr>
                <w:rFonts w:cs="Arial"/>
              </w:rPr>
              <w:t xml:space="preserve">     </w:t>
            </w:r>
            <w:r>
              <w:rPr>
                <w:rFonts w:cs="Arial"/>
              </w:rPr>
              <w:t>800</w:t>
            </w:r>
          </w:p>
          <w:p w:rsidR="001E7884" w:rsidRPr="004A2987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 w:rsidRPr="004A2987">
              <w:rPr>
                <w:rFonts w:cs="Arial"/>
              </w:rPr>
              <w:t xml:space="preserve">    </w:t>
            </w:r>
            <w:r>
              <w:rPr>
                <w:rFonts w:cs="Arial"/>
              </w:rPr>
              <w:t xml:space="preserve"> 800</w:t>
            </w:r>
          </w:p>
        </w:tc>
      </w:tr>
      <w:tr w:rsidR="001E7884" w:rsidRPr="000555EE" w:rsidTr="001E7884">
        <w:tc>
          <w:tcPr>
            <w:tcW w:w="5708" w:type="dxa"/>
            <w:shd w:val="clear" w:color="auto" w:fill="auto"/>
          </w:tcPr>
          <w:p w:rsidR="001E7884" w:rsidRDefault="001E7884" w:rsidP="001E7884">
            <w:pPr>
              <w:tabs>
                <w:tab w:val="right" w:pos="5397"/>
              </w:tabs>
              <w:spacing w:before="60" w:after="60"/>
              <w:rPr>
                <w:rFonts w:cs="Arial"/>
              </w:rPr>
            </w:pPr>
            <w:r w:rsidRPr="000555EE">
              <w:rPr>
                <w:rFonts w:cs="Arial"/>
              </w:rPr>
              <w:t>Low Attainment</w:t>
            </w:r>
            <w:r w:rsidR="00B07587">
              <w:rPr>
                <w:rFonts w:cs="Arial"/>
              </w:rPr>
              <w:tab/>
            </w:r>
            <w:r>
              <w:rPr>
                <w:rFonts w:cs="Arial"/>
              </w:rPr>
              <w:t>Primary</w:t>
            </w:r>
          </w:p>
          <w:p w:rsidR="001E7884" w:rsidRPr="000555EE" w:rsidRDefault="00B07587" w:rsidP="00B07587">
            <w:pPr>
              <w:tabs>
                <w:tab w:val="right" w:pos="5397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1E7884">
              <w:rPr>
                <w:rFonts w:cs="Arial"/>
              </w:rPr>
              <w:t>Secondary</w:t>
            </w:r>
          </w:p>
        </w:tc>
        <w:tc>
          <w:tcPr>
            <w:tcW w:w="1424" w:type="dxa"/>
            <w:shd w:val="clear" w:color="auto" w:fill="auto"/>
          </w:tcPr>
          <w:p w:rsidR="001E7884" w:rsidRPr="00F21FA9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 w:rsidRPr="00F21FA9">
              <w:rPr>
                <w:rFonts w:cs="Arial"/>
              </w:rPr>
              <w:t xml:space="preserve"> 1,</w:t>
            </w:r>
            <w:r>
              <w:rPr>
                <w:rFonts w:cs="Arial"/>
              </w:rPr>
              <w:t>109</w:t>
            </w:r>
          </w:p>
          <w:p w:rsidR="001E7884" w:rsidRPr="00F21FA9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 w:rsidRPr="00F21FA9">
              <w:rPr>
                <w:rFonts w:cs="Arial"/>
              </w:rPr>
              <w:t xml:space="preserve">    </w:t>
            </w:r>
            <w:r>
              <w:rPr>
                <w:rFonts w:cs="Arial"/>
              </w:rPr>
              <w:t>956</w:t>
            </w:r>
          </w:p>
        </w:tc>
        <w:tc>
          <w:tcPr>
            <w:tcW w:w="2138" w:type="dxa"/>
          </w:tcPr>
          <w:p w:rsidR="001E7884" w:rsidRPr="004A2987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 w:rsidRPr="004A2987">
              <w:rPr>
                <w:rFonts w:cs="Arial"/>
              </w:rPr>
              <w:t xml:space="preserve"> 1,109</w:t>
            </w:r>
          </w:p>
          <w:p w:rsidR="001E7884" w:rsidRPr="004A2987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 w:rsidRPr="004A2987">
              <w:rPr>
                <w:rFonts w:cs="Arial"/>
              </w:rPr>
              <w:t xml:space="preserve">    956</w:t>
            </w:r>
          </w:p>
        </w:tc>
      </w:tr>
      <w:tr w:rsidR="001E7884" w:rsidRPr="000555EE" w:rsidTr="001E7884">
        <w:tc>
          <w:tcPr>
            <w:tcW w:w="5708" w:type="dxa"/>
            <w:shd w:val="clear" w:color="auto" w:fill="auto"/>
          </w:tcPr>
          <w:p w:rsidR="001E7884" w:rsidRPr="000555EE" w:rsidRDefault="001E7884" w:rsidP="001E7884">
            <w:pPr>
              <w:tabs>
                <w:tab w:val="right" w:pos="5397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EAL</w:t>
            </w:r>
          </w:p>
        </w:tc>
        <w:tc>
          <w:tcPr>
            <w:tcW w:w="1424" w:type="dxa"/>
            <w:shd w:val="clear" w:color="auto" w:fill="auto"/>
          </w:tcPr>
          <w:p w:rsidR="001E7884" w:rsidRPr="00F21FA9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 w:rsidRPr="00F21FA9">
              <w:rPr>
                <w:rFonts w:cs="Arial"/>
              </w:rPr>
              <w:t xml:space="preserve">    220</w:t>
            </w:r>
          </w:p>
        </w:tc>
        <w:tc>
          <w:tcPr>
            <w:tcW w:w="2138" w:type="dxa"/>
          </w:tcPr>
          <w:p w:rsidR="001E7884" w:rsidRPr="004A2987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 w:rsidRPr="004A2987">
              <w:rPr>
                <w:rFonts w:cs="Arial"/>
              </w:rPr>
              <w:t xml:space="preserve">    220</w:t>
            </w:r>
          </w:p>
        </w:tc>
      </w:tr>
      <w:tr w:rsidR="001E7884" w:rsidRPr="000555EE" w:rsidTr="001E7884">
        <w:tc>
          <w:tcPr>
            <w:tcW w:w="5708" w:type="dxa"/>
            <w:shd w:val="clear" w:color="auto" w:fill="auto"/>
          </w:tcPr>
          <w:p w:rsidR="001E7884" w:rsidRDefault="001E7884" w:rsidP="001E7884">
            <w:pPr>
              <w:tabs>
                <w:tab w:val="right" w:pos="5397"/>
              </w:tabs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Sparsity</w:t>
            </w:r>
            <w:proofErr w:type="spellEnd"/>
            <w:r>
              <w:rPr>
                <w:rFonts w:cs="Arial"/>
              </w:rPr>
              <w:t xml:space="preserve"> (m</w:t>
            </w:r>
            <w:r w:rsidR="00B07587">
              <w:rPr>
                <w:rFonts w:cs="Arial"/>
              </w:rPr>
              <w:t>ax)</w:t>
            </w:r>
            <w:r w:rsidR="00B07587">
              <w:rPr>
                <w:rFonts w:cs="Arial"/>
              </w:rPr>
              <w:tab/>
            </w:r>
            <w:r>
              <w:rPr>
                <w:rFonts w:cs="Arial"/>
              </w:rPr>
              <w:t>Primary</w:t>
            </w:r>
          </w:p>
          <w:p w:rsidR="001E7884" w:rsidRDefault="00B07587" w:rsidP="00B07587">
            <w:pPr>
              <w:tabs>
                <w:tab w:val="right" w:pos="5397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1E7884">
              <w:rPr>
                <w:rFonts w:cs="Arial"/>
              </w:rPr>
              <w:t>Middle</w:t>
            </w:r>
          </w:p>
          <w:p w:rsidR="001E7884" w:rsidRDefault="00B07587" w:rsidP="00B07587">
            <w:pPr>
              <w:tabs>
                <w:tab w:val="right" w:pos="5397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1E7884">
              <w:rPr>
                <w:rFonts w:cs="Arial"/>
              </w:rPr>
              <w:t>Secondary/All Through</w:t>
            </w:r>
          </w:p>
        </w:tc>
        <w:tc>
          <w:tcPr>
            <w:tcW w:w="1424" w:type="dxa"/>
            <w:shd w:val="clear" w:color="auto" w:fill="auto"/>
          </w:tcPr>
          <w:p w:rsidR="001E7884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  <w:r w:rsidRPr="00F21FA9">
              <w:rPr>
                <w:rFonts w:cs="Arial"/>
              </w:rPr>
              <w:t>,000</w:t>
            </w:r>
          </w:p>
          <w:p w:rsidR="001E7884" w:rsidRPr="00F21FA9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52,000</w:t>
            </w:r>
          </w:p>
          <w:p w:rsidR="001E7884" w:rsidRPr="00F21FA9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Pr="00F21FA9">
              <w:rPr>
                <w:rFonts w:cs="Arial"/>
              </w:rPr>
              <w:t>0,000</w:t>
            </w:r>
          </w:p>
        </w:tc>
        <w:tc>
          <w:tcPr>
            <w:tcW w:w="2138" w:type="dxa"/>
          </w:tcPr>
          <w:p w:rsidR="001E7884" w:rsidRPr="004A2987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 w:rsidRPr="004A2987">
              <w:rPr>
                <w:rFonts w:cs="Arial"/>
              </w:rPr>
              <w:t>13,000</w:t>
            </w:r>
          </w:p>
          <w:p w:rsidR="001E7884" w:rsidRPr="004A2987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 w:rsidRPr="004A2987">
              <w:rPr>
                <w:rFonts w:cs="Arial"/>
              </w:rPr>
              <w:t>52,000</w:t>
            </w:r>
          </w:p>
          <w:p w:rsidR="001E7884" w:rsidRPr="004A2987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 w:rsidRPr="004A2987">
              <w:rPr>
                <w:rFonts w:cs="Arial"/>
              </w:rPr>
              <w:t>60,000</w:t>
            </w:r>
          </w:p>
        </w:tc>
      </w:tr>
      <w:tr w:rsidR="001E7884" w:rsidRPr="000555EE" w:rsidTr="001E7884">
        <w:tc>
          <w:tcPr>
            <w:tcW w:w="5708" w:type="dxa"/>
            <w:shd w:val="clear" w:color="auto" w:fill="auto"/>
          </w:tcPr>
          <w:p w:rsidR="001E7884" w:rsidRDefault="001E7884" w:rsidP="001E7884">
            <w:pPr>
              <w:tabs>
                <w:tab w:val="right" w:pos="5397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PFI</w:t>
            </w:r>
          </w:p>
        </w:tc>
        <w:tc>
          <w:tcPr>
            <w:tcW w:w="1424" w:type="dxa"/>
            <w:shd w:val="clear" w:color="auto" w:fill="auto"/>
          </w:tcPr>
          <w:p w:rsidR="001E7884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2138" w:type="dxa"/>
          </w:tcPr>
          <w:p w:rsidR="001E7884" w:rsidRPr="004A2987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 w:rsidRPr="004A2987">
              <w:rPr>
                <w:rFonts w:cs="Arial"/>
              </w:rPr>
              <w:t>0.163</w:t>
            </w:r>
          </w:p>
        </w:tc>
      </w:tr>
      <w:tr w:rsidR="001E7884" w:rsidRPr="000555EE" w:rsidTr="001E7884">
        <w:tc>
          <w:tcPr>
            <w:tcW w:w="5708" w:type="dxa"/>
            <w:shd w:val="clear" w:color="auto" w:fill="auto"/>
          </w:tcPr>
          <w:p w:rsidR="001E7884" w:rsidRPr="000555EE" w:rsidRDefault="001E7884" w:rsidP="001E7884">
            <w:pPr>
              <w:tabs>
                <w:tab w:val="right" w:pos="5397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De-delegation (Primary and Secondary)</w:t>
            </w:r>
            <w:r w:rsidRPr="000555EE">
              <w:rPr>
                <w:rFonts w:cs="Arial"/>
              </w:rPr>
              <w:t>:</w:t>
            </w:r>
          </w:p>
          <w:p w:rsidR="001E7884" w:rsidRPr="000555EE" w:rsidRDefault="00B07587" w:rsidP="00B07587">
            <w:pPr>
              <w:tabs>
                <w:tab w:val="right" w:pos="5397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1E7884" w:rsidRPr="000555EE">
              <w:rPr>
                <w:rFonts w:cs="Arial"/>
              </w:rPr>
              <w:t>FSM Eligibility (by FSM)</w:t>
            </w:r>
          </w:p>
          <w:p w:rsidR="001E7884" w:rsidRPr="000555EE" w:rsidRDefault="00B07587" w:rsidP="00B07587">
            <w:pPr>
              <w:tabs>
                <w:tab w:val="right" w:pos="5397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1E7884" w:rsidRPr="000555EE">
              <w:rPr>
                <w:rFonts w:cs="Arial"/>
              </w:rPr>
              <w:t>Behaviour Support (by FSM)</w:t>
            </w:r>
          </w:p>
          <w:p w:rsidR="001E7884" w:rsidRPr="000555EE" w:rsidRDefault="00B07587" w:rsidP="00B07587">
            <w:pPr>
              <w:tabs>
                <w:tab w:val="right" w:pos="5397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1E7884" w:rsidRPr="000555EE">
              <w:rPr>
                <w:rFonts w:cs="Arial"/>
              </w:rPr>
              <w:t>EAL</w:t>
            </w:r>
          </w:p>
          <w:p w:rsidR="001E7884" w:rsidRDefault="00B07587" w:rsidP="00B07587">
            <w:pPr>
              <w:tabs>
                <w:tab w:val="right" w:pos="5397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1E7884" w:rsidRPr="000555EE">
              <w:rPr>
                <w:rFonts w:cs="Arial"/>
              </w:rPr>
              <w:t>Trades Union Facility Time (by AWPU)</w:t>
            </w:r>
          </w:p>
          <w:p w:rsidR="001E7884" w:rsidRPr="000555EE" w:rsidRDefault="00B07587" w:rsidP="00B07587">
            <w:pPr>
              <w:tabs>
                <w:tab w:val="right" w:pos="5397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1E7884">
              <w:rPr>
                <w:rFonts w:cs="Arial"/>
              </w:rPr>
              <w:t>Contingency (by AWPU)</w:t>
            </w:r>
          </w:p>
        </w:tc>
        <w:tc>
          <w:tcPr>
            <w:tcW w:w="1424" w:type="dxa"/>
            <w:shd w:val="clear" w:color="auto" w:fill="auto"/>
          </w:tcPr>
          <w:p w:rsidR="001E7884" w:rsidRPr="00F21FA9" w:rsidRDefault="001E7884" w:rsidP="00347890">
            <w:pPr>
              <w:spacing w:before="60" w:after="60"/>
              <w:jc w:val="center"/>
              <w:rPr>
                <w:rFonts w:cs="Arial"/>
              </w:rPr>
            </w:pPr>
          </w:p>
          <w:p w:rsidR="001E7884" w:rsidRPr="00F21FA9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 w:rsidRPr="00F21FA9">
              <w:rPr>
                <w:rFonts w:cs="Arial"/>
              </w:rPr>
              <w:t xml:space="preserve">        6</w:t>
            </w:r>
          </w:p>
          <w:p w:rsidR="001E7884" w:rsidRPr="00F21FA9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 w:rsidRPr="00F21FA9">
              <w:rPr>
                <w:rFonts w:cs="Arial"/>
              </w:rPr>
              <w:t xml:space="preserve">      97</w:t>
            </w:r>
          </w:p>
          <w:p w:rsidR="001E7884" w:rsidRPr="00F21FA9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 w:rsidRPr="00F21FA9">
              <w:rPr>
                <w:rFonts w:cs="Arial"/>
              </w:rPr>
              <w:t xml:space="preserve">    220</w:t>
            </w:r>
          </w:p>
          <w:p w:rsidR="001E7884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 w:rsidRPr="00F21FA9">
              <w:rPr>
                <w:rFonts w:cs="Arial"/>
              </w:rPr>
              <w:t xml:space="preserve">        3</w:t>
            </w:r>
          </w:p>
          <w:p w:rsidR="001E7884" w:rsidRPr="00F21FA9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  20</w:t>
            </w:r>
          </w:p>
        </w:tc>
        <w:tc>
          <w:tcPr>
            <w:tcW w:w="2138" w:type="dxa"/>
          </w:tcPr>
          <w:p w:rsidR="001E7884" w:rsidRPr="004A2987" w:rsidRDefault="001E7884" w:rsidP="00347890">
            <w:pPr>
              <w:spacing w:before="60" w:after="60"/>
              <w:jc w:val="center"/>
              <w:rPr>
                <w:rFonts w:cs="Arial"/>
              </w:rPr>
            </w:pPr>
          </w:p>
          <w:p w:rsidR="001E7884" w:rsidRPr="004A2987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 w:rsidRPr="004A2987">
              <w:rPr>
                <w:rFonts w:cs="Arial"/>
              </w:rPr>
              <w:t xml:space="preserve">        6</w:t>
            </w:r>
          </w:p>
          <w:p w:rsidR="001E7884" w:rsidRPr="004A2987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 w:rsidRPr="004A2987">
              <w:rPr>
                <w:rFonts w:cs="Arial"/>
              </w:rPr>
              <w:t xml:space="preserve">      97</w:t>
            </w:r>
          </w:p>
          <w:p w:rsidR="001E7884" w:rsidRPr="004A2987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 w:rsidRPr="004A2987">
              <w:rPr>
                <w:rFonts w:cs="Arial"/>
              </w:rPr>
              <w:t xml:space="preserve">    220</w:t>
            </w:r>
          </w:p>
          <w:p w:rsidR="001E7884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 w:rsidRPr="004A2987">
              <w:rPr>
                <w:rFonts w:cs="Arial"/>
              </w:rPr>
              <w:t xml:space="preserve">        3</w:t>
            </w:r>
          </w:p>
          <w:p w:rsidR="001E7884" w:rsidRPr="004A2987" w:rsidRDefault="001E7884" w:rsidP="0034789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  20</w:t>
            </w:r>
          </w:p>
        </w:tc>
      </w:tr>
    </w:tbl>
    <w:p w:rsidR="0083229F" w:rsidRPr="001B3C67" w:rsidRDefault="0083229F" w:rsidP="002305FA">
      <w:pPr>
        <w:pStyle w:val="DeptOutNumbered"/>
        <w:keepNext/>
        <w:numPr>
          <w:ilvl w:val="0"/>
          <w:numId w:val="0"/>
        </w:numPr>
        <w:spacing w:after="0"/>
        <w:rPr>
          <w:b/>
        </w:rPr>
      </w:pPr>
    </w:p>
    <w:sectPr w:rsidR="0083229F" w:rsidRPr="001B3C67" w:rsidSect="00D73061">
      <w:headerReference w:type="even" r:id="rId10"/>
      <w:headerReference w:type="default" r:id="rId11"/>
      <w:footerReference w:type="even" r:id="rId12"/>
      <w:footerReference w:type="default" r:id="rId13"/>
      <w:pgSz w:w="11909" w:h="16834" w:code="9"/>
      <w:pgMar w:top="1440" w:right="1440" w:bottom="864" w:left="1440" w:header="706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5D0" w:rsidRDefault="002E05D0" w:rsidP="00F516D4">
      <w:pPr>
        <w:pStyle w:val="Footer"/>
      </w:pPr>
      <w:r>
        <w:separator/>
      </w:r>
    </w:p>
  </w:endnote>
  <w:endnote w:type="continuationSeparator" w:id="0">
    <w:p w:rsidR="002E05D0" w:rsidRDefault="002E05D0" w:rsidP="00F516D4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5D0" w:rsidRDefault="002E05D0" w:rsidP="00B432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E05D0" w:rsidRDefault="002E05D0" w:rsidP="00B4328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5D0" w:rsidRDefault="002E05D0" w:rsidP="00B4328E">
    <w:pPr>
      <w:pStyle w:val="Footer"/>
      <w:framePr w:wrap="around" w:vAnchor="text" w:hAnchor="margin" w:xAlign="right" w:y="1"/>
      <w:rPr>
        <w:rStyle w:val="PageNumber"/>
      </w:rPr>
    </w:pPr>
  </w:p>
  <w:p w:rsidR="002E05D0" w:rsidRDefault="002E05D0" w:rsidP="00B4328E">
    <w:pPr>
      <w:pStyle w:val="Footer"/>
      <w:ind w:right="360"/>
      <w:rPr>
        <w:sz w:val="12"/>
        <w:szCs w:val="12"/>
      </w:rPr>
    </w:pPr>
  </w:p>
  <w:p w:rsidR="002E05D0" w:rsidRDefault="002E05D0" w:rsidP="00B4328E">
    <w:pPr>
      <w:pStyle w:val="Footer"/>
      <w:ind w:right="36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5D0" w:rsidRDefault="002E05D0" w:rsidP="00F516D4">
      <w:pPr>
        <w:pStyle w:val="Footer"/>
      </w:pPr>
      <w:r>
        <w:separator/>
      </w:r>
    </w:p>
  </w:footnote>
  <w:footnote w:type="continuationSeparator" w:id="0">
    <w:p w:rsidR="002E05D0" w:rsidRDefault="002E05D0" w:rsidP="00F516D4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5D0" w:rsidRDefault="002E05D0" w:rsidP="00254D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E05D0" w:rsidRDefault="002E05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5D0" w:rsidRDefault="002E05D0" w:rsidP="00254D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05FA">
      <w:rPr>
        <w:rStyle w:val="PageNumber"/>
        <w:noProof/>
      </w:rPr>
      <w:t>4</w:t>
    </w:r>
    <w:r>
      <w:rPr>
        <w:rStyle w:val="PageNumber"/>
      </w:rPr>
      <w:fldChar w:fldCharType="end"/>
    </w:r>
  </w:p>
  <w:p w:rsidR="002E05D0" w:rsidRDefault="002E05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55B7"/>
    <w:multiLevelType w:val="hybridMultilevel"/>
    <w:tmpl w:val="28349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31852"/>
    <w:multiLevelType w:val="hybridMultilevel"/>
    <w:tmpl w:val="8E90C2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633599"/>
    <w:multiLevelType w:val="hybridMultilevel"/>
    <w:tmpl w:val="FB86FB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">
    <w:nsid w:val="31DF79C4"/>
    <w:multiLevelType w:val="hybridMultilevel"/>
    <w:tmpl w:val="2BC457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AA5C60"/>
    <w:multiLevelType w:val="hybridMultilevel"/>
    <w:tmpl w:val="236897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CE063F"/>
    <w:multiLevelType w:val="hybridMultilevel"/>
    <w:tmpl w:val="AF76CA60"/>
    <w:lvl w:ilvl="0" w:tplc="080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7">
    <w:nsid w:val="3A921FFD"/>
    <w:multiLevelType w:val="hybridMultilevel"/>
    <w:tmpl w:val="B80AF35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2F7F79"/>
    <w:multiLevelType w:val="hybridMultilevel"/>
    <w:tmpl w:val="48F09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EE12D32"/>
    <w:multiLevelType w:val="hybridMultilevel"/>
    <w:tmpl w:val="2048D5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0D2C05"/>
    <w:multiLevelType w:val="hybridMultilevel"/>
    <w:tmpl w:val="E6FC177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F70898"/>
    <w:multiLevelType w:val="hybridMultilevel"/>
    <w:tmpl w:val="DD963D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E1B29F7"/>
    <w:multiLevelType w:val="hybridMultilevel"/>
    <w:tmpl w:val="15884C98"/>
    <w:lvl w:ilvl="0" w:tplc="E410B8E0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1"/>
  </w:num>
  <w:num w:numId="5">
    <w:abstractNumId w:val="4"/>
  </w:num>
  <w:num w:numId="6">
    <w:abstractNumId w:val="7"/>
  </w:num>
  <w:num w:numId="7">
    <w:abstractNumId w:val="12"/>
  </w:num>
  <w:num w:numId="8">
    <w:abstractNumId w:val="8"/>
  </w:num>
  <w:num w:numId="9">
    <w:abstractNumId w:val="0"/>
  </w:num>
  <w:num w:numId="10">
    <w:abstractNumId w:val="5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8A"/>
    <w:rsid w:val="00026523"/>
    <w:rsid w:val="00032643"/>
    <w:rsid w:val="00042997"/>
    <w:rsid w:val="00044B69"/>
    <w:rsid w:val="00050200"/>
    <w:rsid w:val="00056A38"/>
    <w:rsid w:val="000648F6"/>
    <w:rsid w:val="00067F40"/>
    <w:rsid w:val="00071EF5"/>
    <w:rsid w:val="00073766"/>
    <w:rsid w:val="000868D6"/>
    <w:rsid w:val="000B0E55"/>
    <w:rsid w:val="000B77B1"/>
    <w:rsid w:val="000D475D"/>
    <w:rsid w:val="000D7965"/>
    <w:rsid w:val="000E2241"/>
    <w:rsid w:val="000F2E74"/>
    <w:rsid w:val="000F4D02"/>
    <w:rsid w:val="001036A6"/>
    <w:rsid w:val="001047EA"/>
    <w:rsid w:val="00112F03"/>
    <w:rsid w:val="00120AD9"/>
    <w:rsid w:val="00124A5A"/>
    <w:rsid w:val="00133390"/>
    <w:rsid w:val="00137F7B"/>
    <w:rsid w:val="0015379B"/>
    <w:rsid w:val="00153A3A"/>
    <w:rsid w:val="00153E75"/>
    <w:rsid w:val="00171DF2"/>
    <w:rsid w:val="0017241F"/>
    <w:rsid w:val="001858C9"/>
    <w:rsid w:val="001915E8"/>
    <w:rsid w:val="00191A1A"/>
    <w:rsid w:val="001A1E4E"/>
    <w:rsid w:val="001A3AEE"/>
    <w:rsid w:val="001A68EA"/>
    <w:rsid w:val="001B3C67"/>
    <w:rsid w:val="001C00C1"/>
    <w:rsid w:val="001C191A"/>
    <w:rsid w:val="001C5B90"/>
    <w:rsid w:val="001C6701"/>
    <w:rsid w:val="001D0DF9"/>
    <w:rsid w:val="001D4231"/>
    <w:rsid w:val="001E692E"/>
    <w:rsid w:val="001E7884"/>
    <w:rsid w:val="001F09ED"/>
    <w:rsid w:val="0020284E"/>
    <w:rsid w:val="0020596F"/>
    <w:rsid w:val="00211C6B"/>
    <w:rsid w:val="0021253D"/>
    <w:rsid w:val="0021302B"/>
    <w:rsid w:val="00217EDC"/>
    <w:rsid w:val="002305FA"/>
    <w:rsid w:val="00240FAA"/>
    <w:rsid w:val="00242149"/>
    <w:rsid w:val="00254DDA"/>
    <w:rsid w:val="002603BB"/>
    <w:rsid w:val="002610EC"/>
    <w:rsid w:val="002642E8"/>
    <w:rsid w:val="00274829"/>
    <w:rsid w:val="002756DD"/>
    <w:rsid w:val="00285B9E"/>
    <w:rsid w:val="002B089F"/>
    <w:rsid w:val="002B1943"/>
    <w:rsid w:val="002B27C6"/>
    <w:rsid w:val="002C6BB6"/>
    <w:rsid w:val="002D0B55"/>
    <w:rsid w:val="002E05D0"/>
    <w:rsid w:val="002F42E1"/>
    <w:rsid w:val="002F45FC"/>
    <w:rsid w:val="002F6324"/>
    <w:rsid w:val="00300EB9"/>
    <w:rsid w:val="00331D01"/>
    <w:rsid w:val="00332304"/>
    <w:rsid w:val="00344C21"/>
    <w:rsid w:val="00345017"/>
    <w:rsid w:val="003511AD"/>
    <w:rsid w:val="00352177"/>
    <w:rsid w:val="00355ABB"/>
    <w:rsid w:val="00372012"/>
    <w:rsid w:val="0037455A"/>
    <w:rsid w:val="00374C5D"/>
    <w:rsid w:val="0037624D"/>
    <w:rsid w:val="00376BAA"/>
    <w:rsid w:val="0038240F"/>
    <w:rsid w:val="00390BFB"/>
    <w:rsid w:val="00392CC3"/>
    <w:rsid w:val="0039337B"/>
    <w:rsid w:val="003C5670"/>
    <w:rsid w:val="003D4BD1"/>
    <w:rsid w:val="003D70BB"/>
    <w:rsid w:val="003F0FB4"/>
    <w:rsid w:val="003F6A9C"/>
    <w:rsid w:val="004049CA"/>
    <w:rsid w:val="00406F60"/>
    <w:rsid w:val="00411EBA"/>
    <w:rsid w:val="004127BA"/>
    <w:rsid w:val="00412A1F"/>
    <w:rsid w:val="004140F5"/>
    <w:rsid w:val="00420401"/>
    <w:rsid w:val="00431169"/>
    <w:rsid w:val="004362B0"/>
    <w:rsid w:val="00437726"/>
    <w:rsid w:val="004457BB"/>
    <w:rsid w:val="004470C8"/>
    <w:rsid w:val="004523B7"/>
    <w:rsid w:val="00455B77"/>
    <w:rsid w:val="00465A3F"/>
    <w:rsid w:val="00467348"/>
    <w:rsid w:val="00481717"/>
    <w:rsid w:val="004A4CD4"/>
    <w:rsid w:val="004A56F7"/>
    <w:rsid w:val="004C2E96"/>
    <w:rsid w:val="004C52C4"/>
    <w:rsid w:val="004D0CE6"/>
    <w:rsid w:val="004D1F38"/>
    <w:rsid w:val="004D49C5"/>
    <w:rsid w:val="004D6B2E"/>
    <w:rsid w:val="004E2017"/>
    <w:rsid w:val="004F061F"/>
    <w:rsid w:val="004F2E87"/>
    <w:rsid w:val="00504D29"/>
    <w:rsid w:val="00516276"/>
    <w:rsid w:val="00517E13"/>
    <w:rsid w:val="00520B5B"/>
    <w:rsid w:val="005211DC"/>
    <w:rsid w:val="0052251F"/>
    <w:rsid w:val="00522819"/>
    <w:rsid w:val="005437D1"/>
    <w:rsid w:val="00554215"/>
    <w:rsid w:val="005621E1"/>
    <w:rsid w:val="00567A5B"/>
    <w:rsid w:val="005929B8"/>
    <w:rsid w:val="005A2993"/>
    <w:rsid w:val="005C0593"/>
    <w:rsid w:val="005C1B98"/>
    <w:rsid w:val="005D6F62"/>
    <w:rsid w:val="005D749A"/>
    <w:rsid w:val="005E3A7E"/>
    <w:rsid w:val="005F593A"/>
    <w:rsid w:val="00603AE2"/>
    <w:rsid w:val="006100B5"/>
    <w:rsid w:val="00610FC1"/>
    <w:rsid w:val="00612FFA"/>
    <w:rsid w:val="00616C84"/>
    <w:rsid w:val="00625905"/>
    <w:rsid w:val="00630E9F"/>
    <w:rsid w:val="00631BBD"/>
    <w:rsid w:val="006322C1"/>
    <w:rsid w:val="006347E6"/>
    <w:rsid w:val="006509AF"/>
    <w:rsid w:val="00651D3E"/>
    <w:rsid w:val="00655B9E"/>
    <w:rsid w:val="006628BF"/>
    <w:rsid w:val="00663927"/>
    <w:rsid w:val="00670FFE"/>
    <w:rsid w:val="0067193A"/>
    <w:rsid w:val="00676145"/>
    <w:rsid w:val="0067745C"/>
    <w:rsid w:val="00686993"/>
    <w:rsid w:val="00690B18"/>
    <w:rsid w:val="00690B30"/>
    <w:rsid w:val="006935CE"/>
    <w:rsid w:val="00695D43"/>
    <w:rsid w:val="006A4557"/>
    <w:rsid w:val="006A6247"/>
    <w:rsid w:val="006B1418"/>
    <w:rsid w:val="006B43E3"/>
    <w:rsid w:val="006C28DC"/>
    <w:rsid w:val="006C3C30"/>
    <w:rsid w:val="006E446D"/>
    <w:rsid w:val="006F11AC"/>
    <w:rsid w:val="006F635C"/>
    <w:rsid w:val="007026FB"/>
    <w:rsid w:val="00707C7B"/>
    <w:rsid w:val="00711D37"/>
    <w:rsid w:val="007230F0"/>
    <w:rsid w:val="007254E6"/>
    <w:rsid w:val="00734EDC"/>
    <w:rsid w:val="00737E40"/>
    <w:rsid w:val="007402D1"/>
    <w:rsid w:val="007422D1"/>
    <w:rsid w:val="00743892"/>
    <w:rsid w:val="00751825"/>
    <w:rsid w:val="00754255"/>
    <w:rsid w:val="00763E0A"/>
    <w:rsid w:val="00767CD1"/>
    <w:rsid w:val="00772FEA"/>
    <w:rsid w:val="00774C00"/>
    <w:rsid w:val="00785CEC"/>
    <w:rsid w:val="00786914"/>
    <w:rsid w:val="00790208"/>
    <w:rsid w:val="00792887"/>
    <w:rsid w:val="00792F20"/>
    <w:rsid w:val="00797D9D"/>
    <w:rsid w:val="007C69C6"/>
    <w:rsid w:val="007D0E73"/>
    <w:rsid w:val="007E1A65"/>
    <w:rsid w:val="008117E7"/>
    <w:rsid w:val="008147C5"/>
    <w:rsid w:val="0082076C"/>
    <w:rsid w:val="0083229F"/>
    <w:rsid w:val="008508BA"/>
    <w:rsid w:val="00855589"/>
    <w:rsid w:val="00865E4D"/>
    <w:rsid w:val="008775D3"/>
    <w:rsid w:val="008777EA"/>
    <w:rsid w:val="008869CA"/>
    <w:rsid w:val="008876A0"/>
    <w:rsid w:val="008934FC"/>
    <w:rsid w:val="008A4194"/>
    <w:rsid w:val="008A5D3A"/>
    <w:rsid w:val="008A6A1E"/>
    <w:rsid w:val="008B5F24"/>
    <w:rsid w:val="008F0A0A"/>
    <w:rsid w:val="00901241"/>
    <w:rsid w:val="0090487E"/>
    <w:rsid w:val="00913562"/>
    <w:rsid w:val="00915013"/>
    <w:rsid w:val="009167DE"/>
    <w:rsid w:val="0092047B"/>
    <w:rsid w:val="00934FB1"/>
    <w:rsid w:val="009369E1"/>
    <w:rsid w:val="0095163D"/>
    <w:rsid w:val="00952AD2"/>
    <w:rsid w:val="009650F1"/>
    <w:rsid w:val="0098261E"/>
    <w:rsid w:val="009875AE"/>
    <w:rsid w:val="00994266"/>
    <w:rsid w:val="00994880"/>
    <w:rsid w:val="00996650"/>
    <w:rsid w:val="009A3ED2"/>
    <w:rsid w:val="009B395E"/>
    <w:rsid w:val="009C0BD8"/>
    <w:rsid w:val="009D0505"/>
    <w:rsid w:val="009D2306"/>
    <w:rsid w:val="009D5DE6"/>
    <w:rsid w:val="009E59E2"/>
    <w:rsid w:val="009E6D8F"/>
    <w:rsid w:val="009F3689"/>
    <w:rsid w:val="00A206EF"/>
    <w:rsid w:val="00A20F12"/>
    <w:rsid w:val="00A24E4E"/>
    <w:rsid w:val="00A317AA"/>
    <w:rsid w:val="00A41565"/>
    <w:rsid w:val="00A43715"/>
    <w:rsid w:val="00A473C3"/>
    <w:rsid w:val="00A65D1E"/>
    <w:rsid w:val="00A751EF"/>
    <w:rsid w:val="00A8285C"/>
    <w:rsid w:val="00A8326F"/>
    <w:rsid w:val="00A872CB"/>
    <w:rsid w:val="00A96CAF"/>
    <w:rsid w:val="00AB3565"/>
    <w:rsid w:val="00AB7F59"/>
    <w:rsid w:val="00AD378F"/>
    <w:rsid w:val="00AD6FC2"/>
    <w:rsid w:val="00AE0484"/>
    <w:rsid w:val="00AE0F8E"/>
    <w:rsid w:val="00AE2DBC"/>
    <w:rsid w:val="00AF0EBB"/>
    <w:rsid w:val="00B056E5"/>
    <w:rsid w:val="00B07587"/>
    <w:rsid w:val="00B11110"/>
    <w:rsid w:val="00B33E8B"/>
    <w:rsid w:val="00B34C1B"/>
    <w:rsid w:val="00B34CDC"/>
    <w:rsid w:val="00B3630D"/>
    <w:rsid w:val="00B4328E"/>
    <w:rsid w:val="00B60FA2"/>
    <w:rsid w:val="00B61F3E"/>
    <w:rsid w:val="00B746E8"/>
    <w:rsid w:val="00B74864"/>
    <w:rsid w:val="00B77DCD"/>
    <w:rsid w:val="00B828B9"/>
    <w:rsid w:val="00B82ABA"/>
    <w:rsid w:val="00B908C0"/>
    <w:rsid w:val="00BA5A7B"/>
    <w:rsid w:val="00BB323C"/>
    <w:rsid w:val="00BC5AD9"/>
    <w:rsid w:val="00BD1FB3"/>
    <w:rsid w:val="00BD5DD2"/>
    <w:rsid w:val="00BE2447"/>
    <w:rsid w:val="00BE39C5"/>
    <w:rsid w:val="00BE4C76"/>
    <w:rsid w:val="00BE4C93"/>
    <w:rsid w:val="00C0723B"/>
    <w:rsid w:val="00C13ED7"/>
    <w:rsid w:val="00C14E73"/>
    <w:rsid w:val="00C258F4"/>
    <w:rsid w:val="00C33FFC"/>
    <w:rsid w:val="00C45B47"/>
    <w:rsid w:val="00C46E6D"/>
    <w:rsid w:val="00C53DF9"/>
    <w:rsid w:val="00C55E31"/>
    <w:rsid w:val="00C560E1"/>
    <w:rsid w:val="00C644C8"/>
    <w:rsid w:val="00C67EE6"/>
    <w:rsid w:val="00C70EFC"/>
    <w:rsid w:val="00C77CF7"/>
    <w:rsid w:val="00C81054"/>
    <w:rsid w:val="00C935C3"/>
    <w:rsid w:val="00C94C67"/>
    <w:rsid w:val="00CA08C2"/>
    <w:rsid w:val="00CB71DA"/>
    <w:rsid w:val="00CB7DC6"/>
    <w:rsid w:val="00CC44F8"/>
    <w:rsid w:val="00CD17A3"/>
    <w:rsid w:val="00CD24C1"/>
    <w:rsid w:val="00CD618A"/>
    <w:rsid w:val="00CE2344"/>
    <w:rsid w:val="00CF48C6"/>
    <w:rsid w:val="00CF5906"/>
    <w:rsid w:val="00CF671F"/>
    <w:rsid w:val="00D018C1"/>
    <w:rsid w:val="00D02B79"/>
    <w:rsid w:val="00D03005"/>
    <w:rsid w:val="00D05038"/>
    <w:rsid w:val="00D13DA0"/>
    <w:rsid w:val="00D1458C"/>
    <w:rsid w:val="00D15F3C"/>
    <w:rsid w:val="00D41680"/>
    <w:rsid w:val="00D41EA5"/>
    <w:rsid w:val="00D517D4"/>
    <w:rsid w:val="00D5520D"/>
    <w:rsid w:val="00D56E8B"/>
    <w:rsid w:val="00D73061"/>
    <w:rsid w:val="00D864B9"/>
    <w:rsid w:val="00DA0959"/>
    <w:rsid w:val="00DB773C"/>
    <w:rsid w:val="00DD1BAB"/>
    <w:rsid w:val="00DD1BD0"/>
    <w:rsid w:val="00DE46BD"/>
    <w:rsid w:val="00DE7119"/>
    <w:rsid w:val="00DF3C9A"/>
    <w:rsid w:val="00E238FD"/>
    <w:rsid w:val="00E24E7C"/>
    <w:rsid w:val="00E451AA"/>
    <w:rsid w:val="00E45BF3"/>
    <w:rsid w:val="00E4632E"/>
    <w:rsid w:val="00E5571D"/>
    <w:rsid w:val="00E57292"/>
    <w:rsid w:val="00E610B1"/>
    <w:rsid w:val="00E67CC9"/>
    <w:rsid w:val="00E74E60"/>
    <w:rsid w:val="00E76FDB"/>
    <w:rsid w:val="00E80D54"/>
    <w:rsid w:val="00E83B6A"/>
    <w:rsid w:val="00E86615"/>
    <w:rsid w:val="00E91548"/>
    <w:rsid w:val="00EA6EFE"/>
    <w:rsid w:val="00EB0362"/>
    <w:rsid w:val="00EC657A"/>
    <w:rsid w:val="00EC69D2"/>
    <w:rsid w:val="00EC70E3"/>
    <w:rsid w:val="00ED013C"/>
    <w:rsid w:val="00ED37CC"/>
    <w:rsid w:val="00EE1418"/>
    <w:rsid w:val="00EE3AB3"/>
    <w:rsid w:val="00EE5316"/>
    <w:rsid w:val="00F058CD"/>
    <w:rsid w:val="00F06167"/>
    <w:rsid w:val="00F100C1"/>
    <w:rsid w:val="00F16AC7"/>
    <w:rsid w:val="00F22D78"/>
    <w:rsid w:val="00F278F8"/>
    <w:rsid w:val="00F34B44"/>
    <w:rsid w:val="00F37BC9"/>
    <w:rsid w:val="00F37FD5"/>
    <w:rsid w:val="00F42AB3"/>
    <w:rsid w:val="00F42E4F"/>
    <w:rsid w:val="00F516D4"/>
    <w:rsid w:val="00F538A4"/>
    <w:rsid w:val="00F5559F"/>
    <w:rsid w:val="00F678BA"/>
    <w:rsid w:val="00F67960"/>
    <w:rsid w:val="00F87BCF"/>
    <w:rsid w:val="00F944A2"/>
    <w:rsid w:val="00F97085"/>
    <w:rsid w:val="00FA7CD5"/>
    <w:rsid w:val="00FC5148"/>
    <w:rsid w:val="00FD2BCF"/>
    <w:rsid w:val="00FD5BC3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618A"/>
    <w:rPr>
      <w:rFonts w:ascii="Arial" w:hAnsi="Arial"/>
      <w:sz w:val="22"/>
      <w:szCs w:val="22"/>
    </w:rPr>
  </w:style>
  <w:style w:type="paragraph" w:styleId="Heading2">
    <w:name w:val="heading 2"/>
    <w:basedOn w:val="Normal"/>
    <w:next w:val="Normal"/>
    <w:qFormat/>
    <w:rsid w:val="00CD618A"/>
    <w:pPr>
      <w:keepNext/>
      <w:jc w:val="center"/>
      <w:outlineLvl w:val="1"/>
    </w:pPr>
    <w:rPr>
      <w:rFonts w:cs="Arial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618A"/>
    <w:pPr>
      <w:tabs>
        <w:tab w:val="center" w:pos="4153"/>
        <w:tab w:val="right" w:pos="8306"/>
      </w:tabs>
    </w:pPr>
    <w:rPr>
      <w:rFonts w:cs="Arial"/>
      <w:szCs w:val="24"/>
      <w:lang w:eastAsia="en-US"/>
    </w:rPr>
  </w:style>
  <w:style w:type="paragraph" w:styleId="Footer">
    <w:name w:val="footer"/>
    <w:basedOn w:val="Normal"/>
    <w:rsid w:val="00631BB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52C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13DA0"/>
  </w:style>
  <w:style w:type="paragraph" w:customStyle="1" w:styleId="DeptOutNumbered">
    <w:name w:val="DeptOutNumbered"/>
    <w:basedOn w:val="Normal"/>
    <w:rsid w:val="00C45B47"/>
    <w:pPr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sz w:val="24"/>
      <w:szCs w:val="20"/>
      <w:lang w:eastAsia="en-US"/>
    </w:rPr>
  </w:style>
  <w:style w:type="table" w:styleId="TableGrid">
    <w:name w:val="Table Grid"/>
    <w:basedOn w:val="TableNormal"/>
    <w:rsid w:val="00877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1F38"/>
    <w:pPr>
      <w:ind w:left="720"/>
    </w:pPr>
  </w:style>
  <w:style w:type="paragraph" w:styleId="NormalWeb">
    <w:name w:val="Normal (Web)"/>
    <w:basedOn w:val="Normal"/>
    <w:uiPriority w:val="99"/>
    <w:unhideWhenUsed/>
    <w:rsid w:val="000737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B3C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618A"/>
    <w:rPr>
      <w:rFonts w:ascii="Arial" w:hAnsi="Arial"/>
      <w:sz w:val="22"/>
      <w:szCs w:val="22"/>
    </w:rPr>
  </w:style>
  <w:style w:type="paragraph" w:styleId="Heading2">
    <w:name w:val="heading 2"/>
    <w:basedOn w:val="Normal"/>
    <w:next w:val="Normal"/>
    <w:qFormat/>
    <w:rsid w:val="00CD618A"/>
    <w:pPr>
      <w:keepNext/>
      <w:jc w:val="center"/>
      <w:outlineLvl w:val="1"/>
    </w:pPr>
    <w:rPr>
      <w:rFonts w:cs="Arial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618A"/>
    <w:pPr>
      <w:tabs>
        <w:tab w:val="center" w:pos="4153"/>
        <w:tab w:val="right" w:pos="8306"/>
      </w:tabs>
    </w:pPr>
    <w:rPr>
      <w:rFonts w:cs="Arial"/>
      <w:szCs w:val="24"/>
      <w:lang w:eastAsia="en-US"/>
    </w:rPr>
  </w:style>
  <w:style w:type="paragraph" w:styleId="Footer">
    <w:name w:val="footer"/>
    <w:basedOn w:val="Normal"/>
    <w:rsid w:val="00631BB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52C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13DA0"/>
  </w:style>
  <w:style w:type="paragraph" w:customStyle="1" w:styleId="DeptOutNumbered">
    <w:name w:val="DeptOutNumbered"/>
    <w:basedOn w:val="Normal"/>
    <w:rsid w:val="00C45B47"/>
    <w:pPr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sz w:val="24"/>
      <w:szCs w:val="20"/>
      <w:lang w:eastAsia="en-US"/>
    </w:rPr>
  </w:style>
  <w:style w:type="table" w:styleId="TableGrid">
    <w:name w:val="Table Grid"/>
    <w:basedOn w:val="TableNormal"/>
    <w:rsid w:val="00877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1F38"/>
    <w:pPr>
      <w:ind w:left="720"/>
    </w:pPr>
  </w:style>
  <w:style w:type="paragraph" w:styleId="NormalWeb">
    <w:name w:val="Normal (Web)"/>
    <w:basedOn w:val="Normal"/>
    <w:uiPriority w:val="99"/>
    <w:unhideWhenUsed/>
    <w:rsid w:val="000737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B3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A35B8-B7C1-445C-9317-CF475434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837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Northumberland County Council</dc:creator>
  <cp:lastModifiedBy>Anderson, Deborah</cp:lastModifiedBy>
  <cp:revision>7</cp:revision>
  <cp:lastPrinted>2017-02-14T15:37:00Z</cp:lastPrinted>
  <dcterms:created xsi:type="dcterms:W3CDTF">2017-02-14T13:36:00Z</dcterms:created>
  <dcterms:modified xsi:type="dcterms:W3CDTF">2017-02-14T16:20:00Z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