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18A" w:rsidRDefault="00D018C1" w:rsidP="00BB60FB">
      <w:pPr>
        <w:jc w:val="center"/>
      </w:pPr>
      <w:bookmarkStart w:id="0" w:name="_GoBack"/>
      <w:bookmarkEnd w:id="0"/>
      <w:r>
        <w:rPr>
          <w:noProof/>
        </w:rPr>
        <w:drawing>
          <wp:inline distT="0" distB="0" distL="0" distR="0">
            <wp:extent cx="2857500" cy="581025"/>
            <wp:effectExtent l="0" t="0" r="0" b="0"/>
            <wp:docPr id="1" name="Picture 1" descr="logo_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or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p>
    <w:p w:rsidR="00CD618A" w:rsidRDefault="00CD618A" w:rsidP="00BB60FB">
      <w:pPr>
        <w:jc w:val="center"/>
      </w:pPr>
    </w:p>
    <w:tbl>
      <w:tblPr>
        <w:tblW w:w="5000" w:type="pct"/>
        <w:tblLook w:val="0000" w:firstRow="0" w:lastRow="0" w:firstColumn="0" w:lastColumn="0" w:noHBand="0" w:noVBand="0"/>
      </w:tblPr>
      <w:tblGrid>
        <w:gridCol w:w="2265"/>
        <w:gridCol w:w="4772"/>
        <w:gridCol w:w="2208"/>
      </w:tblGrid>
      <w:tr w:rsidR="00CD618A">
        <w:tc>
          <w:tcPr>
            <w:tcW w:w="1225" w:type="pct"/>
          </w:tcPr>
          <w:p w:rsidR="00CD618A" w:rsidRDefault="00CD618A" w:rsidP="00BB60FB">
            <w:pPr>
              <w:pStyle w:val="Header"/>
              <w:jc w:val="center"/>
            </w:pPr>
          </w:p>
        </w:tc>
        <w:tc>
          <w:tcPr>
            <w:tcW w:w="2581" w:type="pct"/>
            <w:tcBorders>
              <w:bottom w:val="single" w:sz="4" w:space="0" w:color="auto"/>
            </w:tcBorders>
          </w:tcPr>
          <w:p w:rsidR="00CD618A" w:rsidRPr="009D0A00" w:rsidRDefault="008934FC" w:rsidP="00BB60FB">
            <w:pPr>
              <w:jc w:val="center"/>
              <w:rPr>
                <w:b/>
                <w:bCs/>
                <w:sz w:val="24"/>
              </w:rPr>
            </w:pPr>
            <w:r>
              <w:rPr>
                <w:b/>
                <w:sz w:val="24"/>
              </w:rPr>
              <w:t>Education and Skills</w:t>
            </w:r>
          </w:p>
        </w:tc>
        <w:tc>
          <w:tcPr>
            <w:tcW w:w="1195" w:type="pct"/>
          </w:tcPr>
          <w:p w:rsidR="00CD618A" w:rsidRDefault="00CD618A" w:rsidP="00BB60FB">
            <w:pPr>
              <w:rPr>
                <w:b/>
                <w:bCs/>
              </w:rPr>
            </w:pPr>
          </w:p>
        </w:tc>
      </w:tr>
      <w:tr w:rsidR="00CD618A">
        <w:tc>
          <w:tcPr>
            <w:tcW w:w="1225" w:type="pct"/>
          </w:tcPr>
          <w:p w:rsidR="00CD618A" w:rsidRDefault="00CD618A" w:rsidP="00BB60FB">
            <w:pPr>
              <w:pStyle w:val="Heading2"/>
              <w:keepNext w:val="0"/>
            </w:pPr>
          </w:p>
        </w:tc>
        <w:tc>
          <w:tcPr>
            <w:tcW w:w="2581" w:type="pct"/>
            <w:tcBorders>
              <w:top w:val="single" w:sz="4" w:space="0" w:color="auto"/>
            </w:tcBorders>
          </w:tcPr>
          <w:p w:rsidR="00CD618A" w:rsidRPr="00450580" w:rsidRDefault="00CD618A" w:rsidP="00BB60FB">
            <w:pPr>
              <w:jc w:val="center"/>
              <w:rPr>
                <w:b/>
                <w:bCs/>
              </w:rPr>
            </w:pPr>
          </w:p>
        </w:tc>
        <w:tc>
          <w:tcPr>
            <w:tcW w:w="1195" w:type="pct"/>
          </w:tcPr>
          <w:p w:rsidR="00CD618A" w:rsidRDefault="00CD618A" w:rsidP="00BB60FB">
            <w:pPr>
              <w:rPr>
                <w:b/>
                <w:bCs/>
              </w:rPr>
            </w:pPr>
          </w:p>
        </w:tc>
      </w:tr>
    </w:tbl>
    <w:p w:rsidR="00CD618A" w:rsidRDefault="00CD618A" w:rsidP="00BB60FB">
      <w:pPr>
        <w:rPr>
          <w:b/>
          <w:bCs/>
        </w:rPr>
      </w:pPr>
    </w:p>
    <w:p w:rsidR="00CD618A" w:rsidRPr="006A4A6F" w:rsidRDefault="00CD618A" w:rsidP="00BB60FB">
      <w:pPr>
        <w:jc w:val="center"/>
        <w:rPr>
          <w:b/>
          <w:sz w:val="28"/>
          <w:szCs w:val="28"/>
        </w:rPr>
      </w:pPr>
      <w:r w:rsidRPr="006A4A6F">
        <w:rPr>
          <w:b/>
          <w:sz w:val="28"/>
          <w:szCs w:val="28"/>
        </w:rPr>
        <w:t>SCHOOLS</w:t>
      </w:r>
      <w:r>
        <w:rPr>
          <w:b/>
          <w:sz w:val="28"/>
          <w:szCs w:val="28"/>
        </w:rPr>
        <w:t>’</w:t>
      </w:r>
      <w:r w:rsidRPr="006A4A6F">
        <w:rPr>
          <w:b/>
          <w:sz w:val="28"/>
          <w:szCs w:val="28"/>
        </w:rPr>
        <w:t xml:space="preserve"> FORUM</w:t>
      </w:r>
    </w:p>
    <w:p w:rsidR="00CD618A" w:rsidRPr="006A4A6F" w:rsidRDefault="00CD618A" w:rsidP="00BB60FB">
      <w:pPr>
        <w:jc w:val="center"/>
        <w:rPr>
          <w:b/>
          <w:sz w:val="28"/>
          <w:szCs w:val="28"/>
        </w:rPr>
      </w:pPr>
    </w:p>
    <w:p w:rsidR="00CD618A" w:rsidRPr="006A4A6F" w:rsidRDefault="00EF30F0" w:rsidP="00BB60FB">
      <w:pPr>
        <w:jc w:val="center"/>
        <w:rPr>
          <w:b/>
          <w:sz w:val="28"/>
          <w:szCs w:val="28"/>
        </w:rPr>
      </w:pPr>
      <w:r>
        <w:rPr>
          <w:b/>
          <w:sz w:val="28"/>
          <w:szCs w:val="28"/>
        </w:rPr>
        <w:t>29 June</w:t>
      </w:r>
      <w:r w:rsidR="0039337B">
        <w:rPr>
          <w:b/>
          <w:sz w:val="28"/>
          <w:szCs w:val="28"/>
        </w:rPr>
        <w:t xml:space="preserve"> 201</w:t>
      </w:r>
      <w:r w:rsidR="008934FC">
        <w:rPr>
          <w:b/>
          <w:sz w:val="28"/>
          <w:szCs w:val="28"/>
        </w:rPr>
        <w:t>6</w:t>
      </w:r>
    </w:p>
    <w:p w:rsidR="00CD618A" w:rsidRPr="006A4A6F" w:rsidRDefault="00CD618A" w:rsidP="00BB60FB">
      <w:pPr>
        <w:jc w:val="center"/>
        <w:rPr>
          <w:b/>
          <w:sz w:val="28"/>
          <w:szCs w:val="28"/>
        </w:rPr>
      </w:pPr>
    </w:p>
    <w:p w:rsidR="00CD618A" w:rsidRDefault="005D4B2A" w:rsidP="00BB60FB">
      <w:pPr>
        <w:jc w:val="center"/>
        <w:rPr>
          <w:b/>
          <w:sz w:val="28"/>
          <w:szCs w:val="28"/>
        </w:rPr>
      </w:pPr>
      <w:r>
        <w:rPr>
          <w:b/>
          <w:sz w:val="28"/>
          <w:szCs w:val="28"/>
        </w:rPr>
        <w:t>School Funding Reform Update</w:t>
      </w:r>
    </w:p>
    <w:p w:rsidR="00544F5B" w:rsidRDefault="00544F5B" w:rsidP="00BB60FB">
      <w:pPr>
        <w:jc w:val="center"/>
        <w:rPr>
          <w:b/>
          <w:sz w:val="28"/>
          <w:szCs w:val="28"/>
        </w:rPr>
      </w:pPr>
    </w:p>
    <w:p w:rsidR="00544F5B" w:rsidRDefault="00544F5B" w:rsidP="00BB60FB">
      <w:pPr>
        <w:jc w:val="center"/>
        <w:rPr>
          <w:b/>
        </w:rPr>
      </w:pPr>
    </w:p>
    <w:p w:rsidR="00CD618A" w:rsidRPr="009A5352" w:rsidRDefault="00CD618A" w:rsidP="00BB60FB">
      <w:pPr>
        <w:jc w:val="center"/>
        <w:rPr>
          <w:b/>
          <w:sz w:val="12"/>
        </w:rPr>
      </w:pPr>
    </w:p>
    <w:p w:rsidR="00F67960" w:rsidRPr="009A5352" w:rsidRDefault="00F67960" w:rsidP="00BB60FB">
      <w:pPr>
        <w:jc w:val="center"/>
        <w:rPr>
          <w:b/>
          <w:sz w:val="12"/>
        </w:rPr>
      </w:pPr>
    </w:p>
    <w:p w:rsidR="005D4B2A" w:rsidRDefault="005D4B2A" w:rsidP="005D4B2A">
      <w:pPr>
        <w:pStyle w:val="ListParagraph"/>
        <w:numPr>
          <w:ilvl w:val="0"/>
          <w:numId w:val="25"/>
        </w:numPr>
        <w:spacing w:before="120" w:after="120"/>
        <w:ind w:left="709" w:hanging="709"/>
        <w:contextualSpacing/>
        <w:rPr>
          <w:rFonts w:cs="Arial"/>
          <w:b/>
          <w:sz w:val="24"/>
          <w:szCs w:val="24"/>
        </w:rPr>
      </w:pPr>
      <w:r>
        <w:rPr>
          <w:rFonts w:cs="Arial"/>
          <w:b/>
          <w:sz w:val="24"/>
          <w:szCs w:val="24"/>
        </w:rPr>
        <w:t>Recommendation</w:t>
      </w:r>
    </w:p>
    <w:p w:rsidR="005D4B2A" w:rsidRPr="002F47E7" w:rsidRDefault="005D4B2A" w:rsidP="005D4B2A">
      <w:pPr>
        <w:pStyle w:val="ListParagraph"/>
        <w:spacing w:before="120" w:after="120"/>
        <w:ind w:left="709"/>
        <w:rPr>
          <w:rFonts w:cs="Arial"/>
          <w:b/>
          <w:sz w:val="12"/>
          <w:szCs w:val="24"/>
        </w:rPr>
      </w:pPr>
    </w:p>
    <w:p w:rsidR="005D4B2A" w:rsidRDefault="005D4B2A" w:rsidP="005D4B2A">
      <w:pPr>
        <w:pStyle w:val="ListParagraph"/>
        <w:numPr>
          <w:ilvl w:val="1"/>
          <w:numId w:val="27"/>
        </w:numPr>
        <w:spacing w:before="120" w:after="120"/>
        <w:ind w:left="709" w:hanging="709"/>
        <w:contextualSpacing/>
        <w:rPr>
          <w:rFonts w:cs="Arial"/>
          <w:sz w:val="24"/>
          <w:szCs w:val="24"/>
        </w:rPr>
      </w:pPr>
      <w:r w:rsidRPr="006F2B8A">
        <w:rPr>
          <w:rFonts w:cs="Arial"/>
          <w:sz w:val="24"/>
          <w:szCs w:val="24"/>
        </w:rPr>
        <w:t>That the Schools Forum</w:t>
      </w:r>
      <w:r>
        <w:rPr>
          <w:rFonts w:cs="Arial"/>
          <w:sz w:val="24"/>
          <w:szCs w:val="24"/>
        </w:rPr>
        <w:t xml:space="preserve"> approves the proposal for the Formula Funding Committee Subgroup to start work on the funding formula for 2017/18, in order to identify a strategy and priorities to assist the LA in taking decisions</w:t>
      </w:r>
      <w:r w:rsidRPr="006F2B8A">
        <w:rPr>
          <w:rFonts w:cs="Arial"/>
          <w:sz w:val="24"/>
          <w:szCs w:val="24"/>
        </w:rPr>
        <w:t>.</w:t>
      </w:r>
    </w:p>
    <w:p w:rsidR="001D14C5" w:rsidRPr="001D14C5" w:rsidRDefault="001D14C5" w:rsidP="001D14C5">
      <w:pPr>
        <w:spacing w:before="120" w:after="120"/>
        <w:contextualSpacing/>
        <w:rPr>
          <w:rFonts w:cs="Arial"/>
          <w:sz w:val="24"/>
          <w:szCs w:val="24"/>
        </w:rPr>
      </w:pPr>
    </w:p>
    <w:p w:rsidR="005D4B2A" w:rsidRPr="00103BC9" w:rsidRDefault="005D4B2A" w:rsidP="005D4B2A">
      <w:pPr>
        <w:pStyle w:val="ListParagraph"/>
        <w:numPr>
          <w:ilvl w:val="0"/>
          <w:numId w:val="25"/>
        </w:numPr>
        <w:spacing w:before="120" w:after="120"/>
        <w:ind w:left="709" w:hanging="709"/>
        <w:contextualSpacing/>
        <w:rPr>
          <w:rFonts w:cs="Arial"/>
          <w:sz w:val="24"/>
          <w:szCs w:val="24"/>
        </w:rPr>
      </w:pPr>
      <w:r w:rsidRPr="00103BC9">
        <w:rPr>
          <w:rFonts w:cs="Arial"/>
          <w:b/>
          <w:sz w:val="24"/>
          <w:szCs w:val="24"/>
        </w:rPr>
        <w:t>Background</w:t>
      </w:r>
    </w:p>
    <w:p w:rsidR="005D4B2A" w:rsidRPr="00103BC9" w:rsidRDefault="005D4B2A" w:rsidP="005D4B2A">
      <w:pPr>
        <w:pStyle w:val="ListParagraph"/>
        <w:spacing w:before="120" w:after="120"/>
        <w:ind w:left="709"/>
        <w:rPr>
          <w:rFonts w:cs="Arial"/>
          <w:sz w:val="12"/>
          <w:szCs w:val="24"/>
        </w:rPr>
      </w:pPr>
    </w:p>
    <w:p w:rsidR="005D4B2A" w:rsidRPr="00103BC9" w:rsidRDefault="005D4B2A" w:rsidP="005D4B2A">
      <w:pPr>
        <w:pStyle w:val="ListParagraph"/>
        <w:numPr>
          <w:ilvl w:val="0"/>
          <w:numId w:val="26"/>
        </w:numPr>
        <w:spacing w:before="120" w:after="120"/>
        <w:contextualSpacing/>
        <w:jc w:val="both"/>
        <w:rPr>
          <w:rFonts w:cs="Arial"/>
          <w:vanish/>
          <w:sz w:val="24"/>
          <w:szCs w:val="24"/>
        </w:rPr>
      </w:pPr>
    </w:p>
    <w:p w:rsidR="005D4B2A" w:rsidRPr="00103BC9" w:rsidRDefault="005D4B2A" w:rsidP="005D4B2A">
      <w:pPr>
        <w:pStyle w:val="ListParagraph"/>
        <w:numPr>
          <w:ilvl w:val="0"/>
          <w:numId w:val="26"/>
        </w:numPr>
        <w:spacing w:before="120" w:after="120"/>
        <w:contextualSpacing/>
        <w:jc w:val="both"/>
        <w:rPr>
          <w:rFonts w:cs="Arial"/>
          <w:vanish/>
          <w:sz w:val="24"/>
          <w:szCs w:val="24"/>
        </w:rPr>
      </w:pPr>
    </w:p>
    <w:p w:rsidR="005D4B2A" w:rsidRDefault="005D4B2A" w:rsidP="005D4B2A">
      <w:pPr>
        <w:pStyle w:val="ListParagraph"/>
        <w:numPr>
          <w:ilvl w:val="1"/>
          <w:numId w:val="26"/>
        </w:numPr>
        <w:spacing w:before="120" w:after="120"/>
        <w:ind w:left="709" w:hanging="709"/>
        <w:contextualSpacing/>
        <w:jc w:val="both"/>
        <w:rPr>
          <w:rFonts w:cs="Arial"/>
          <w:sz w:val="24"/>
          <w:szCs w:val="24"/>
        </w:rPr>
      </w:pPr>
      <w:r>
        <w:rPr>
          <w:rFonts w:cs="Arial"/>
          <w:sz w:val="24"/>
          <w:szCs w:val="24"/>
        </w:rPr>
        <w:t>The first stage consultation on the National Funding Formula (NFF) highlighted the proposed structure for Schools Block allocations from 2017/18. It will involve the calculation of school-level allocations using the NFF, aggregated up to local authority (LA) level with the addition of funding for premises-related factors and pupil number growth based on historic allocations.</w:t>
      </w:r>
    </w:p>
    <w:p w:rsidR="005D4B2A" w:rsidRDefault="005D4B2A" w:rsidP="005D4B2A">
      <w:pPr>
        <w:pStyle w:val="ListParagraph"/>
        <w:spacing w:before="120" w:after="120"/>
        <w:ind w:left="709"/>
        <w:rPr>
          <w:rFonts w:cs="Arial"/>
          <w:sz w:val="24"/>
          <w:szCs w:val="24"/>
        </w:rPr>
      </w:pPr>
    </w:p>
    <w:p w:rsidR="005D4B2A" w:rsidRDefault="005D4B2A" w:rsidP="005D4B2A">
      <w:pPr>
        <w:pStyle w:val="ListParagraph"/>
        <w:numPr>
          <w:ilvl w:val="1"/>
          <w:numId w:val="26"/>
        </w:numPr>
        <w:spacing w:before="120" w:after="120"/>
        <w:ind w:left="709" w:hanging="709"/>
        <w:contextualSpacing/>
        <w:jc w:val="both"/>
        <w:rPr>
          <w:rFonts w:cs="Arial"/>
          <w:sz w:val="24"/>
          <w:szCs w:val="24"/>
        </w:rPr>
      </w:pPr>
      <w:r>
        <w:rPr>
          <w:rFonts w:cs="Arial"/>
          <w:sz w:val="24"/>
          <w:szCs w:val="24"/>
        </w:rPr>
        <w:t xml:space="preserve">For the first two years, the LA will have to passport the Schools Block allocation in its entirety to schools in its area, but there will still be the ability to run a local formula. The current centrally retained budgets will be taken out of the Schools Block and allocated through a new Central Schools Block. </w:t>
      </w:r>
    </w:p>
    <w:p w:rsidR="005D4B2A" w:rsidRDefault="005D4B2A" w:rsidP="005D4B2A">
      <w:pPr>
        <w:pStyle w:val="ListParagraph"/>
        <w:spacing w:before="120" w:after="120"/>
        <w:ind w:left="709"/>
        <w:rPr>
          <w:rFonts w:cs="Arial"/>
          <w:sz w:val="24"/>
          <w:szCs w:val="24"/>
        </w:rPr>
      </w:pPr>
    </w:p>
    <w:p w:rsidR="005D4B2A" w:rsidRDefault="005D4B2A" w:rsidP="005D4B2A">
      <w:pPr>
        <w:pStyle w:val="ListParagraph"/>
        <w:numPr>
          <w:ilvl w:val="1"/>
          <w:numId w:val="26"/>
        </w:numPr>
        <w:spacing w:before="120" w:after="120"/>
        <w:ind w:hanging="720"/>
        <w:contextualSpacing/>
        <w:jc w:val="both"/>
        <w:rPr>
          <w:rFonts w:cs="Arial"/>
          <w:sz w:val="24"/>
          <w:szCs w:val="24"/>
        </w:rPr>
      </w:pPr>
      <w:r>
        <w:rPr>
          <w:rFonts w:cs="Arial"/>
          <w:sz w:val="24"/>
          <w:szCs w:val="24"/>
        </w:rPr>
        <w:t xml:space="preserve">There are several indications in the proposed NFF that some Northumberland schools could see reductions in funding, if weightings are closer to the national average than to our distribution between factors. The following table shows the proportion of total funding allocated to each of our main factors before the application of MFG and capping, compared to national averages. </w:t>
      </w:r>
      <w:r w:rsidR="00863DF1">
        <w:rPr>
          <w:rFonts w:cs="Arial"/>
          <w:sz w:val="24"/>
          <w:szCs w:val="24"/>
        </w:rPr>
        <w:t xml:space="preserve">  </w:t>
      </w:r>
    </w:p>
    <w:p w:rsidR="00863DF1" w:rsidRPr="00863DF1" w:rsidRDefault="00863DF1" w:rsidP="00863DF1">
      <w:pPr>
        <w:pStyle w:val="ListParagraph"/>
        <w:rPr>
          <w:rFonts w:cs="Arial"/>
          <w:sz w:val="24"/>
          <w:szCs w:val="24"/>
        </w:rPr>
      </w:pPr>
    </w:p>
    <w:p w:rsidR="00863DF1" w:rsidRDefault="00863DF1" w:rsidP="00863DF1">
      <w:pPr>
        <w:spacing w:before="120" w:after="120"/>
        <w:contextualSpacing/>
        <w:jc w:val="both"/>
        <w:rPr>
          <w:rFonts w:cs="Arial"/>
          <w:sz w:val="24"/>
          <w:szCs w:val="24"/>
        </w:rPr>
      </w:pPr>
    </w:p>
    <w:p w:rsidR="00863DF1" w:rsidRDefault="00863DF1" w:rsidP="00863DF1">
      <w:pPr>
        <w:spacing w:before="120" w:after="120"/>
        <w:contextualSpacing/>
        <w:jc w:val="both"/>
        <w:rPr>
          <w:rFonts w:cs="Arial"/>
          <w:sz w:val="24"/>
          <w:szCs w:val="24"/>
        </w:rPr>
      </w:pPr>
    </w:p>
    <w:p w:rsidR="00863DF1" w:rsidRDefault="00863DF1" w:rsidP="00863DF1">
      <w:pPr>
        <w:spacing w:before="120" w:after="120"/>
        <w:contextualSpacing/>
        <w:jc w:val="both"/>
        <w:rPr>
          <w:rFonts w:cs="Arial"/>
          <w:sz w:val="24"/>
          <w:szCs w:val="24"/>
        </w:rPr>
      </w:pPr>
    </w:p>
    <w:p w:rsidR="00863DF1" w:rsidRDefault="00863DF1" w:rsidP="00863DF1">
      <w:pPr>
        <w:spacing w:before="120" w:after="120"/>
        <w:contextualSpacing/>
        <w:jc w:val="both"/>
        <w:rPr>
          <w:rFonts w:cs="Arial"/>
          <w:sz w:val="24"/>
          <w:szCs w:val="24"/>
        </w:rPr>
      </w:pPr>
    </w:p>
    <w:p w:rsidR="00863DF1" w:rsidRDefault="00863DF1" w:rsidP="00863DF1">
      <w:pPr>
        <w:spacing w:before="120" w:after="120"/>
        <w:contextualSpacing/>
        <w:jc w:val="both"/>
        <w:rPr>
          <w:rFonts w:cs="Arial"/>
          <w:sz w:val="24"/>
          <w:szCs w:val="24"/>
        </w:rPr>
      </w:pPr>
    </w:p>
    <w:p w:rsidR="00863DF1" w:rsidRPr="00863DF1" w:rsidRDefault="00863DF1" w:rsidP="00863DF1">
      <w:pPr>
        <w:spacing w:before="120" w:after="120"/>
        <w:contextualSpacing/>
        <w:jc w:val="both"/>
        <w:rPr>
          <w:rFonts w:cs="Arial"/>
          <w:sz w:val="24"/>
          <w:szCs w:val="24"/>
        </w:rPr>
      </w:pPr>
    </w:p>
    <w:p w:rsidR="00863DF1" w:rsidRPr="00863DF1" w:rsidRDefault="00863DF1" w:rsidP="00863DF1">
      <w:pPr>
        <w:rPr>
          <w:rFonts w:cs="Arial"/>
          <w:sz w:val="24"/>
          <w:szCs w:val="24"/>
        </w:rPr>
      </w:pPr>
    </w:p>
    <w:tbl>
      <w:tblPr>
        <w:tblW w:w="5000" w:type="pct"/>
        <w:jc w:val="center"/>
        <w:tblCellMar>
          <w:left w:w="0" w:type="dxa"/>
          <w:right w:w="0" w:type="dxa"/>
        </w:tblCellMar>
        <w:tblLook w:val="0600" w:firstRow="0" w:lastRow="0" w:firstColumn="0" w:lastColumn="0" w:noHBand="1" w:noVBand="1"/>
      </w:tblPr>
      <w:tblGrid>
        <w:gridCol w:w="2774"/>
        <w:gridCol w:w="3143"/>
        <w:gridCol w:w="3142"/>
      </w:tblGrid>
      <w:tr w:rsidR="005D4B2A" w:rsidRPr="009E0B16" w:rsidTr="00C33478">
        <w:trPr>
          <w:trHeight w:val="401"/>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5D4B2A" w:rsidRPr="009E0B16" w:rsidRDefault="008D0539" w:rsidP="00C33478">
            <w:pPr>
              <w:pStyle w:val="ListParagraph"/>
              <w:ind w:left="-31" w:firstLine="31"/>
              <w:jc w:val="center"/>
              <w:rPr>
                <w:rFonts w:cs="Arial"/>
                <w:sz w:val="24"/>
                <w:szCs w:val="24"/>
              </w:rPr>
            </w:pPr>
            <w:r>
              <w:rPr>
                <w:rFonts w:cs="Arial"/>
                <w:sz w:val="24"/>
                <w:szCs w:val="24"/>
              </w:rPr>
              <w:t xml:space="preserve">Table 1  </w:t>
            </w:r>
            <w:r w:rsidR="005D4B2A" w:rsidRPr="009E0B16">
              <w:rPr>
                <w:rFonts w:cs="Arial"/>
                <w:sz w:val="24"/>
                <w:szCs w:val="24"/>
              </w:rPr>
              <w:t xml:space="preserve">Proportion of </w:t>
            </w:r>
            <w:r w:rsidR="00C33478">
              <w:rPr>
                <w:rFonts w:cs="Arial"/>
                <w:sz w:val="24"/>
                <w:szCs w:val="24"/>
              </w:rPr>
              <w:t>Overall Funding</w:t>
            </w:r>
          </w:p>
        </w:tc>
      </w:tr>
      <w:tr w:rsidR="005D4B2A" w:rsidRPr="009E0B16" w:rsidTr="000A03D9">
        <w:trPr>
          <w:trHeight w:val="311"/>
          <w:jc w:val="center"/>
        </w:trPr>
        <w:tc>
          <w:tcPr>
            <w:tcW w:w="153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5D4B2A" w:rsidRPr="009E0B16" w:rsidRDefault="005D4B2A" w:rsidP="005D4B2A">
            <w:pPr>
              <w:pStyle w:val="ListParagraph"/>
              <w:rPr>
                <w:rFonts w:cs="Arial"/>
                <w:sz w:val="24"/>
                <w:szCs w:val="24"/>
              </w:rPr>
            </w:pPr>
            <w:r w:rsidRPr="009E0B16">
              <w:rPr>
                <w:rFonts w:cs="Arial"/>
                <w:sz w:val="24"/>
                <w:szCs w:val="24"/>
              </w:rPr>
              <w:t> </w:t>
            </w:r>
          </w:p>
        </w:tc>
        <w:tc>
          <w:tcPr>
            <w:tcW w:w="17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5D4B2A" w:rsidRPr="009E0B16" w:rsidRDefault="005D4B2A" w:rsidP="000A03D9">
            <w:pPr>
              <w:pStyle w:val="ListParagraph"/>
              <w:ind w:hanging="720"/>
              <w:jc w:val="center"/>
              <w:rPr>
                <w:rFonts w:cs="Arial"/>
                <w:sz w:val="24"/>
                <w:szCs w:val="24"/>
              </w:rPr>
            </w:pPr>
            <w:r w:rsidRPr="009E0B16">
              <w:rPr>
                <w:rFonts w:cs="Arial"/>
                <w:sz w:val="24"/>
                <w:szCs w:val="24"/>
              </w:rPr>
              <w:t>N</w:t>
            </w:r>
            <w:r w:rsidR="00C33478">
              <w:rPr>
                <w:rFonts w:cs="Arial"/>
                <w:sz w:val="24"/>
                <w:szCs w:val="24"/>
              </w:rPr>
              <w:t>orthumberland</w:t>
            </w:r>
          </w:p>
        </w:tc>
        <w:tc>
          <w:tcPr>
            <w:tcW w:w="173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5D4B2A" w:rsidRPr="009E0B16" w:rsidRDefault="00C33478" w:rsidP="000A03D9">
            <w:pPr>
              <w:pStyle w:val="ListParagraph"/>
              <w:ind w:hanging="720"/>
              <w:jc w:val="center"/>
              <w:rPr>
                <w:rFonts w:cs="Arial"/>
                <w:sz w:val="24"/>
                <w:szCs w:val="24"/>
              </w:rPr>
            </w:pPr>
            <w:r>
              <w:rPr>
                <w:rFonts w:cs="Arial"/>
                <w:sz w:val="24"/>
                <w:szCs w:val="24"/>
              </w:rPr>
              <w:t>Northumberland</w:t>
            </w:r>
          </w:p>
        </w:tc>
      </w:tr>
      <w:tr w:rsidR="00C33478" w:rsidRPr="009E0B16" w:rsidTr="000A03D9">
        <w:trPr>
          <w:trHeight w:val="348"/>
          <w:jc w:val="center"/>
        </w:trPr>
        <w:tc>
          <w:tcPr>
            <w:tcW w:w="153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C33478" w:rsidRPr="009E0B16" w:rsidRDefault="00C33478" w:rsidP="005D4B2A">
            <w:pPr>
              <w:pStyle w:val="ListParagraph"/>
              <w:ind w:left="142"/>
              <w:rPr>
                <w:rFonts w:cs="Arial"/>
                <w:sz w:val="24"/>
                <w:szCs w:val="24"/>
              </w:rPr>
            </w:pPr>
          </w:p>
        </w:tc>
        <w:tc>
          <w:tcPr>
            <w:tcW w:w="17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C33478" w:rsidRPr="009E0B16" w:rsidRDefault="00C33478" w:rsidP="00C33478">
            <w:pPr>
              <w:pStyle w:val="ListParagraph"/>
              <w:rPr>
                <w:rFonts w:cs="Arial"/>
                <w:sz w:val="24"/>
                <w:szCs w:val="24"/>
              </w:rPr>
            </w:pPr>
            <w:r>
              <w:rPr>
                <w:rFonts w:cs="Arial"/>
                <w:sz w:val="24"/>
                <w:szCs w:val="24"/>
              </w:rPr>
              <w:t>2016/17</w:t>
            </w:r>
          </w:p>
        </w:tc>
        <w:tc>
          <w:tcPr>
            <w:tcW w:w="173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C33478" w:rsidRPr="009E0B16" w:rsidRDefault="00C33478" w:rsidP="00C33478">
            <w:pPr>
              <w:pStyle w:val="ListParagraph"/>
              <w:rPr>
                <w:rFonts w:cs="Arial"/>
                <w:sz w:val="24"/>
                <w:szCs w:val="24"/>
              </w:rPr>
            </w:pPr>
            <w:r>
              <w:rPr>
                <w:rFonts w:cs="Arial"/>
                <w:sz w:val="24"/>
                <w:szCs w:val="24"/>
              </w:rPr>
              <w:t>With National values</w:t>
            </w:r>
          </w:p>
        </w:tc>
      </w:tr>
      <w:tr w:rsidR="00C33478" w:rsidRPr="009E0B16" w:rsidTr="000A03D9">
        <w:trPr>
          <w:trHeight w:val="348"/>
          <w:jc w:val="center"/>
        </w:trPr>
        <w:tc>
          <w:tcPr>
            <w:tcW w:w="153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C33478" w:rsidRPr="000A03D9" w:rsidRDefault="00C33478" w:rsidP="005D4B2A">
            <w:pPr>
              <w:pStyle w:val="ListParagraph"/>
              <w:ind w:left="142"/>
              <w:rPr>
                <w:rFonts w:cs="Arial"/>
                <w:b/>
                <w:sz w:val="24"/>
                <w:szCs w:val="24"/>
              </w:rPr>
            </w:pPr>
            <w:r w:rsidRPr="000A03D9">
              <w:rPr>
                <w:rFonts w:cs="Arial"/>
                <w:b/>
                <w:sz w:val="24"/>
                <w:szCs w:val="24"/>
              </w:rPr>
              <w:t>Pupil Led Factors</w:t>
            </w:r>
          </w:p>
        </w:tc>
        <w:tc>
          <w:tcPr>
            <w:tcW w:w="17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C33478" w:rsidRPr="009E0B16" w:rsidRDefault="00C33478" w:rsidP="005D4B2A">
            <w:pPr>
              <w:pStyle w:val="ListParagraph"/>
              <w:jc w:val="center"/>
              <w:rPr>
                <w:rFonts w:cs="Arial"/>
                <w:sz w:val="24"/>
                <w:szCs w:val="24"/>
              </w:rPr>
            </w:pPr>
          </w:p>
        </w:tc>
        <w:tc>
          <w:tcPr>
            <w:tcW w:w="173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C33478" w:rsidRPr="009E0B16" w:rsidRDefault="00C33478" w:rsidP="005D4B2A">
            <w:pPr>
              <w:pStyle w:val="ListParagraph"/>
              <w:jc w:val="center"/>
              <w:rPr>
                <w:rFonts w:cs="Arial"/>
                <w:sz w:val="24"/>
                <w:szCs w:val="24"/>
              </w:rPr>
            </w:pPr>
          </w:p>
        </w:tc>
      </w:tr>
      <w:tr w:rsidR="005D4B2A" w:rsidRPr="009E0B16" w:rsidTr="000A03D9">
        <w:trPr>
          <w:trHeight w:val="348"/>
          <w:jc w:val="center"/>
        </w:trPr>
        <w:tc>
          <w:tcPr>
            <w:tcW w:w="153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5D4B2A" w:rsidRPr="009E0B16" w:rsidRDefault="005D4B2A" w:rsidP="005D4B2A">
            <w:pPr>
              <w:pStyle w:val="ListParagraph"/>
              <w:ind w:left="142"/>
              <w:rPr>
                <w:rFonts w:cs="Arial"/>
                <w:sz w:val="24"/>
                <w:szCs w:val="24"/>
              </w:rPr>
            </w:pPr>
            <w:r w:rsidRPr="009E0B16">
              <w:rPr>
                <w:rFonts w:cs="Arial"/>
                <w:sz w:val="24"/>
                <w:szCs w:val="24"/>
              </w:rPr>
              <w:t>Basic entitlement</w:t>
            </w:r>
          </w:p>
        </w:tc>
        <w:tc>
          <w:tcPr>
            <w:tcW w:w="17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5D4B2A" w:rsidRPr="009E0B16" w:rsidRDefault="000A03D9" w:rsidP="005D4B2A">
            <w:pPr>
              <w:pStyle w:val="ListParagraph"/>
              <w:jc w:val="center"/>
              <w:rPr>
                <w:rFonts w:cs="Arial"/>
                <w:sz w:val="24"/>
                <w:szCs w:val="24"/>
              </w:rPr>
            </w:pPr>
            <w:r>
              <w:rPr>
                <w:rFonts w:cs="Arial"/>
                <w:sz w:val="24"/>
                <w:szCs w:val="24"/>
              </w:rPr>
              <w:t>74.25</w:t>
            </w:r>
            <w:r w:rsidR="005D4B2A" w:rsidRPr="009E0B16">
              <w:rPr>
                <w:rFonts w:cs="Arial"/>
                <w:sz w:val="24"/>
                <w:szCs w:val="24"/>
              </w:rPr>
              <w:t>%</w:t>
            </w:r>
          </w:p>
        </w:tc>
        <w:tc>
          <w:tcPr>
            <w:tcW w:w="173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5D4B2A" w:rsidRPr="009E0B16" w:rsidRDefault="005D4B2A" w:rsidP="000A03D9">
            <w:pPr>
              <w:pStyle w:val="ListParagraph"/>
              <w:jc w:val="center"/>
              <w:rPr>
                <w:rFonts w:cs="Arial"/>
                <w:sz w:val="24"/>
                <w:szCs w:val="24"/>
              </w:rPr>
            </w:pPr>
            <w:r w:rsidRPr="009E0B16">
              <w:rPr>
                <w:rFonts w:cs="Arial"/>
                <w:sz w:val="24"/>
                <w:szCs w:val="24"/>
              </w:rPr>
              <w:t>7</w:t>
            </w:r>
            <w:r w:rsidR="000A03D9">
              <w:rPr>
                <w:rFonts w:cs="Arial"/>
                <w:sz w:val="24"/>
                <w:szCs w:val="24"/>
              </w:rPr>
              <w:t>5.9</w:t>
            </w:r>
            <w:r w:rsidRPr="009E0B16">
              <w:rPr>
                <w:rFonts w:cs="Arial"/>
                <w:sz w:val="24"/>
                <w:szCs w:val="24"/>
              </w:rPr>
              <w:t>%</w:t>
            </w:r>
          </w:p>
        </w:tc>
      </w:tr>
      <w:tr w:rsidR="005D4B2A" w:rsidRPr="009E0B16" w:rsidTr="000A03D9">
        <w:trPr>
          <w:trHeight w:val="318"/>
          <w:jc w:val="center"/>
        </w:trPr>
        <w:tc>
          <w:tcPr>
            <w:tcW w:w="153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5D4B2A" w:rsidRPr="009E0B16" w:rsidRDefault="005D4B2A" w:rsidP="005D4B2A">
            <w:pPr>
              <w:pStyle w:val="ListParagraph"/>
              <w:ind w:left="142"/>
              <w:rPr>
                <w:rFonts w:cs="Arial"/>
                <w:sz w:val="24"/>
                <w:szCs w:val="24"/>
              </w:rPr>
            </w:pPr>
            <w:r w:rsidRPr="009E0B16">
              <w:rPr>
                <w:rFonts w:cs="Arial"/>
                <w:sz w:val="24"/>
                <w:szCs w:val="24"/>
              </w:rPr>
              <w:t>Deprivation</w:t>
            </w:r>
          </w:p>
        </w:tc>
        <w:tc>
          <w:tcPr>
            <w:tcW w:w="17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5D4B2A" w:rsidRPr="009E0B16" w:rsidRDefault="000A03D9" w:rsidP="005D4B2A">
            <w:pPr>
              <w:pStyle w:val="ListParagraph"/>
              <w:jc w:val="center"/>
              <w:rPr>
                <w:rFonts w:cs="Arial"/>
                <w:sz w:val="24"/>
                <w:szCs w:val="24"/>
              </w:rPr>
            </w:pPr>
            <w:r>
              <w:rPr>
                <w:rFonts w:cs="Arial"/>
                <w:sz w:val="24"/>
                <w:szCs w:val="24"/>
              </w:rPr>
              <w:t>7.73</w:t>
            </w:r>
            <w:r w:rsidR="005D4B2A" w:rsidRPr="009E0B16">
              <w:rPr>
                <w:rFonts w:cs="Arial"/>
                <w:sz w:val="24"/>
                <w:szCs w:val="24"/>
              </w:rPr>
              <w:t>%</w:t>
            </w:r>
          </w:p>
        </w:tc>
        <w:tc>
          <w:tcPr>
            <w:tcW w:w="173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5D4B2A" w:rsidRPr="009E0B16" w:rsidRDefault="000A03D9" w:rsidP="005D4B2A">
            <w:pPr>
              <w:pStyle w:val="ListParagraph"/>
              <w:jc w:val="center"/>
              <w:rPr>
                <w:rFonts w:cs="Arial"/>
                <w:sz w:val="24"/>
                <w:szCs w:val="24"/>
              </w:rPr>
            </w:pPr>
            <w:r>
              <w:rPr>
                <w:rFonts w:cs="Arial"/>
                <w:sz w:val="24"/>
                <w:szCs w:val="24"/>
              </w:rPr>
              <w:t>5.76</w:t>
            </w:r>
            <w:r w:rsidR="005D4B2A" w:rsidRPr="009E0B16">
              <w:rPr>
                <w:rFonts w:cs="Arial"/>
                <w:sz w:val="24"/>
                <w:szCs w:val="24"/>
              </w:rPr>
              <w:t>%</w:t>
            </w:r>
          </w:p>
        </w:tc>
      </w:tr>
      <w:tr w:rsidR="005D4B2A" w:rsidRPr="009E0B16" w:rsidTr="000A03D9">
        <w:trPr>
          <w:trHeight w:val="185"/>
          <w:jc w:val="center"/>
        </w:trPr>
        <w:tc>
          <w:tcPr>
            <w:tcW w:w="153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5D4B2A" w:rsidRPr="009E0B16" w:rsidRDefault="005D4B2A" w:rsidP="005D4B2A">
            <w:pPr>
              <w:pStyle w:val="ListParagraph"/>
              <w:ind w:left="142"/>
              <w:rPr>
                <w:rFonts w:cs="Arial"/>
                <w:sz w:val="24"/>
                <w:szCs w:val="24"/>
              </w:rPr>
            </w:pPr>
            <w:r w:rsidRPr="009E0B16">
              <w:rPr>
                <w:rFonts w:cs="Arial"/>
                <w:sz w:val="24"/>
                <w:szCs w:val="24"/>
              </w:rPr>
              <w:t>EAL</w:t>
            </w:r>
          </w:p>
        </w:tc>
        <w:tc>
          <w:tcPr>
            <w:tcW w:w="17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5D4B2A" w:rsidRPr="009E0B16" w:rsidRDefault="000A03D9" w:rsidP="005D4B2A">
            <w:pPr>
              <w:pStyle w:val="ListParagraph"/>
              <w:jc w:val="center"/>
              <w:rPr>
                <w:rFonts w:cs="Arial"/>
                <w:sz w:val="24"/>
                <w:szCs w:val="24"/>
              </w:rPr>
            </w:pPr>
            <w:r>
              <w:rPr>
                <w:rFonts w:cs="Arial"/>
                <w:sz w:val="24"/>
                <w:szCs w:val="24"/>
              </w:rPr>
              <w:t>0.03</w:t>
            </w:r>
            <w:r w:rsidR="005D4B2A" w:rsidRPr="009E0B16">
              <w:rPr>
                <w:rFonts w:cs="Arial"/>
                <w:sz w:val="24"/>
                <w:szCs w:val="24"/>
              </w:rPr>
              <w:t>%</w:t>
            </w:r>
          </w:p>
        </w:tc>
        <w:tc>
          <w:tcPr>
            <w:tcW w:w="173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5D4B2A" w:rsidRPr="009E0B16" w:rsidRDefault="005D4B2A" w:rsidP="005D4B2A">
            <w:pPr>
              <w:pStyle w:val="ListParagraph"/>
              <w:jc w:val="center"/>
              <w:rPr>
                <w:rFonts w:cs="Arial"/>
                <w:sz w:val="24"/>
                <w:szCs w:val="24"/>
              </w:rPr>
            </w:pPr>
            <w:r w:rsidRPr="009E0B16">
              <w:rPr>
                <w:rFonts w:cs="Arial"/>
                <w:sz w:val="24"/>
                <w:szCs w:val="24"/>
              </w:rPr>
              <w:t>0.</w:t>
            </w:r>
            <w:r w:rsidR="000A03D9">
              <w:rPr>
                <w:rFonts w:cs="Arial"/>
                <w:sz w:val="24"/>
                <w:szCs w:val="24"/>
              </w:rPr>
              <w:t>0</w:t>
            </w:r>
            <w:r w:rsidRPr="009E0B16">
              <w:rPr>
                <w:rFonts w:cs="Arial"/>
                <w:sz w:val="24"/>
                <w:szCs w:val="24"/>
              </w:rPr>
              <w:t>8%</w:t>
            </w:r>
          </w:p>
        </w:tc>
      </w:tr>
      <w:tr w:rsidR="005D4B2A" w:rsidRPr="009E0B16" w:rsidTr="000A03D9">
        <w:trPr>
          <w:trHeight w:val="318"/>
          <w:jc w:val="center"/>
        </w:trPr>
        <w:tc>
          <w:tcPr>
            <w:tcW w:w="153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5D4B2A" w:rsidRPr="009E0B16" w:rsidRDefault="005D4B2A" w:rsidP="005D4B2A">
            <w:pPr>
              <w:pStyle w:val="ListParagraph"/>
              <w:ind w:left="142"/>
              <w:rPr>
                <w:rFonts w:cs="Arial"/>
                <w:sz w:val="24"/>
                <w:szCs w:val="24"/>
              </w:rPr>
            </w:pPr>
            <w:r w:rsidRPr="009E0B16">
              <w:rPr>
                <w:rFonts w:cs="Arial"/>
                <w:sz w:val="24"/>
                <w:szCs w:val="24"/>
              </w:rPr>
              <w:t>Prior attainment</w:t>
            </w:r>
          </w:p>
        </w:tc>
        <w:tc>
          <w:tcPr>
            <w:tcW w:w="17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5D4B2A" w:rsidRPr="009E0B16" w:rsidRDefault="000A03D9" w:rsidP="005D4B2A">
            <w:pPr>
              <w:pStyle w:val="ListParagraph"/>
              <w:jc w:val="center"/>
              <w:rPr>
                <w:rFonts w:cs="Arial"/>
                <w:sz w:val="24"/>
                <w:szCs w:val="24"/>
              </w:rPr>
            </w:pPr>
            <w:r>
              <w:rPr>
                <w:rFonts w:cs="Arial"/>
                <w:sz w:val="24"/>
                <w:szCs w:val="24"/>
              </w:rPr>
              <w:t>4.52</w:t>
            </w:r>
            <w:r w:rsidR="005D4B2A" w:rsidRPr="009E0B16">
              <w:rPr>
                <w:rFonts w:cs="Arial"/>
                <w:sz w:val="24"/>
                <w:szCs w:val="24"/>
              </w:rPr>
              <w:t>%</w:t>
            </w:r>
          </w:p>
        </w:tc>
        <w:tc>
          <w:tcPr>
            <w:tcW w:w="173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5D4B2A" w:rsidRPr="009E0B16" w:rsidRDefault="005D4B2A" w:rsidP="005D4B2A">
            <w:pPr>
              <w:pStyle w:val="ListParagraph"/>
              <w:jc w:val="center"/>
              <w:rPr>
                <w:rFonts w:cs="Arial"/>
                <w:sz w:val="24"/>
                <w:szCs w:val="24"/>
              </w:rPr>
            </w:pPr>
            <w:r w:rsidRPr="009E0B16">
              <w:rPr>
                <w:rFonts w:cs="Arial"/>
                <w:sz w:val="24"/>
                <w:szCs w:val="24"/>
              </w:rPr>
              <w:t>4.4%</w:t>
            </w:r>
          </w:p>
        </w:tc>
      </w:tr>
      <w:tr w:rsidR="000A03D9" w:rsidRPr="009E0B16" w:rsidTr="000A03D9">
        <w:trPr>
          <w:trHeight w:val="266"/>
          <w:jc w:val="center"/>
        </w:trPr>
        <w:tc>
          <w:tcPr>
            <w:tcW w:w="153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0A03D9" w:rsidRPr="000A03D9" w:rsidRDefault="000A03D9" w:rsidP="005D4B2A">
            <w:pPr>
              <w:pStyle w:val="ListParagraph"/>
              <w:ind w:left="142"/>
              <w:rPr>
                <w:rFonts w:cs="Arial"/>
                <w:b/>
                <w:sz w:val="24"/>
                <w:szCs w:val="24"/>
              </w:rPr>
            </w:pPr>
            <w:r w:rsidRPr="000A03D9">
              <w:rPr>
                <w:rFonts w:cs="Arial"/>
                <w:b/>
                <w:sz w:val="24"/>
                <w:szCs w:val="24"/>
              </w:rPr>
              <w:t>Other Factors</w:t>
            </w:r>
          </w:p>
        </w:tc>
        <w:tc>
          <w:tcPr>
            <w:tcW w:w="17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0A03D9" w:rsidRPr="009E0B16" w:rsidRDefault="000A03D9" w:rsidP="005D4B2A">
            <w:pPr>
              <w:pStyle w:val="ListParagraph"/>
              <w:jc w:val="center"/>
              <w:rPr>
                <w:rFonts w:cs="Arial"/>
                <w:sz w:val="24"/>
                <w:szCs w:val="24"/>
              </w:rPr>
            </w:pPr>
          </w:p>
        </w:tc>
        <w:tc>
          <w:tcPr>
            <w:tcW w:w="173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0A03D9" w:rsidRPr="009E0B16" w:rsidRDefault="000A03D9" w:rsidP="005D4B2A">
            <w:pPr>
              <w:pStyle w:val="ListParagraph"/>
              <w:jc w:val="center"/>
              <w:rPr>
                <w:rFonts w:cs="Arial"/>
                <w:sz w:val="24"/>
                <w:szCs w:val="24"/>
              </w:rPr>
            </w:pPr>
          </w:p>
        </w:tc>
      </w:tr>
      <w:tr w:rsidR="005D4B2A" w:rsidRPr="009E0B16" w:rsidTr="000A03D9">
        <w:trPr>
          <w:trHeight w:val="266"/>
          <w:jc w:val="center"/>
        </w:trPr>
        <w:tc>
          <w:tcPr>
            <w:tcW w:w="153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5D4B2A" w:rsidRPr="009E0B16" w:rsidRDefault="005D4B2A" w:rsidP="005D4B2A">
            <w:pPr>
              <w:pStyle w:val="ListParagraph"/>
              <w:ind w:left="142"/>
              <w:rPr>
                <w:rFonts w:cs="Arial"/>
                <w:sz w:val="24"/>
                <w:szCs w:val="24"/>
              </w:rPr>
            </w:pPr>
            <w:r w:rsidRPr="009E0B16">
              <w:rPr>
                <w:rFonts w:cs="Arial"/>
                <w:sz w:val="24"/>
                <w:szCs w:val="24"/>
              </w:rPr>
              <w:t>Lump sum</w:t>
            </w:r>
          </w:p>
        </w:tc>
        <w:tc>
          <w:tcPr>
            <w:tcW w:w="17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5D4B2A" w:rsidRPr="009E0B16" w:rsidRDefault="000A03D9" w:rsidP="005D4B2A">
            <w:pPr>
              <w:pStyle w:val="ListParagraph"/>
              <w:jc w:val="center"/>
              <w:rPr>
                <w:rFonts w:cs="Arial"/>
                <w:sz w:val="24"/>
                <w:szCs w:val="24"/>
              </w:rPr>
            </w:pPr>
            <w:r>
              <w:rPr>
                <w:rFonts w:cs="Arial"/>
                <w:sz w:val="24"/>
                <w:szCs w:val="24"/>
              </w:rPr>
              <w:t>11.48</w:t>
            </w:r>
            <w:r w:rsidR="005D4B2A" w:rsidRPr="009E0B16">
              <w:rPr>
                <w:rFonts w:cs="Arial"/>
                <w:sz w:val="24"/>
                <w:szCs w:val="24"/>
              </w:rPr>
              <w:t>%</w:t>
            </w:r>
          </w:p>
        </w:tc>
        <w:tc>
          <w:tcPr>
            <w:tcW w:w="173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5D4B2A" w:rsidRPr="009E0B16" w:rsidRDefault="000A03D9" w:rsidP="005D4B2A">
            <w:pPr>
              <w:pStyle w:val="ListParagraph"/>
              <w:jc w:val="center"/>
              <w:rPr>
                <w:rFonts w:cs="Arial"/>
                <w:sz w:val="24"/>
                <w:szCs w:val="24"/>
              </w:rPr>
            </w:pPr>
            <w:r>
              <w:rPr>
                <w:rFonts w:cs="Arial"/>
                <w:sz w:val="24"/>
                <w:szCs w:val="24"/>
              </w:rPr>
              <w:t>12.20</w:t>
            </w:r>
            <w:r w:rsidR="005D4B2A" w:rsidRPr="009E0B16">
              <w:rPr>
                <w:rFonts w:cs="Arial"/>
                <w:sz w:val="24"/>
                <w:szCs w:val="24"/>
              </w:rPr>
              <w:t>%</w:t>
            </w:r>
          </w:p>
        </w:tc>
      </w:tr>
      <w:tr w:rsidR="000A03D9" w:rsidRPr="009E0B16" w:rsidTr="000A03D9">
        <w:trPr>
          <w:trHeight w:val="241"/>
          <w:jc w:val="center"/>
        </w:trPr>
        <w:tc>
          <w:tcPr>
            <w:tcW w:w="153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0A03D9" w:rsidRPr="009E0B16" w:rsidRDefault="000A03D9" w:rsidP="005D4B2A">
            <w:pPr>
              <w:pStyle w:val="ListParagraph"/>
              <w:ind w:left="142"/>
              <w:rPr>
                <w:rFonts w:cs="Arial"/>
                <w:sz w:val="24"/>
                <w:szCs w:val="24"/>
              </w:rPr>
            </w:pPr>
            <w:r>
              <w:rPr>
                <w:rFonts w:cs="Arial"/>
                <w:sz w:val="24"/>
                <w:szCs w:val="24"/>
              </w:rPr>
              <w:t>Sparsity</w:t>
            </w:r>
          </w:p>
        </w:tc>
        <w:tc>
          <w:tcPr>
            <w:tcW w:w="17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0A03D9" w:rsidRPr="009E0B16" w:rsidRDefault="000A03D9" w:rsidP="005D4B2A">
            <w:pPr>
              <w:pStyle w:val="ListParagraph"/>
              <w:jc w:val="center"/>
              <w:rPr>
                <w:rFonts w:cs="Arial"/>
                <w:sz w:val="24"/>
                <w:szCs w:val="24"/>
              </w:rPr>
            </w:pPr>
            <w:r>
              <w:rPr>
                <w:rFonts w:cs="Arial"/>
                <w:sz w:val="24"/>
                <w:szCs w:val="24"/>
              </w:rPr>
              <w:t>0.29%</w:t>
            </w:r>
          </w:p>
        </w:tc>
        <w:tc>
          <w:tcPr>
            <w:tcW w:w="173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0A03D9" w:rsidRPr="009E0B16" w:rsidRDefault="000A03D9" w:rsidP="005D4B2A">
            <w:pPr>
              <w:pStyle w:val="ListParagraph"/>
              <w:jc w:val="center"/>
              <w:rPr>
                <w:rFonts w:cs="Arial"/>
                <w:sz w:val="24"/>
                <w:szCs w:val="24"/>
              </w:rPr>
            </w:pPr>
            <w:r>
              <w:rPr>
                <w:rFonts w:cs="Arial"/>
                <w:sz w:val="24"/>
                <w:szCs w:val="24"/>
              </w:rPr>
              <w:t>0.61%</w:t>
            </w:r>
          </w:p>
        </w:tc>
      </w:tr>
      <w:tr w:rsidR="000A03D9" w:rsidRPr="009E0B16" w:rsidTr="000A03D9">
        <w:trPr>
          <w:trHeight w:val="241"/>
          <w:jc w:val="center"/>
        </w:trPr>
        <w:tc>
          <w:tcPr>
            <w:tcW w:w="153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0A03D9" w:rsidRPr="009E0B16" w:rsidRDefault="000A03D9" w:rsidP="005D4B2A">
            <w:pPr>
              <w:pStyle w:val="ListParagraph"/>
              <w:ind w:left="142"/>
              <w:rPr>
                <w:rFonts w:cs="Arial"/>
                <w:sz w:val="24"/>
                <w:szCs w:val="24"/>
              </w:rPr>
            </w:pPr>
            <w:r>
              <w:rPr>
                <w:rFonts w:cs="Arial"/>
                <w:sz w:val="24"/>
                <w:szCs w:val="24"/>
              </w:rPr>
              <w:t>Split Sites</w:t>
            </w:r>
          </w:p>
        </w:tc>
        <w:tc>
          <w:tcPr>
            <w:tcW w:w="17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0A03D9" w:rsidRPr="009E0B16" w:rsidRDefault="000A03D9" w:rsidP="005D4B2A">
            <w:pPr>
              <w:pStyle w:val="ListParagraph"/>
              <w:jc w:val="center"/>
              <w:rPr>
                <w:rFonts w:cs="Arial"/>
                <w:sz w:val="24"/>
                <w:szCs w:val="24"/>
              </w:rPr>
            </w:pPr>
            <w:r>
              <w:rPr>
                <w:rFonts w:cs="Arial"/>
                <w:sz w:val="24"/>
                <w:szCs w:val="24"/>
              </w:rPr>
              <w:t>0.29%</w:t>
            </w:r>
          </w:p>
        </w:tc>
        <w:tc>
          <w:tcPr>
            <w:tcW w:w="173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0A03D9" w:rsidRPr="009E0B16" w:rsidRDefault="000A03D9" w:rsidP="005D4B2A">
            <w:pPr>
              <w:pStyle w:val="ListParagraph"/>
              <w:jc w:val="center"/>
              <w:rPr>
                <w:rFonts w:cs="Arial"/>
                <w:sz w:val="24"/>
                <w:szCs w:val="24"/>
              </w:rPr>
            </w:pPr>
            <w:r>
              <w:rPr>
                <w:rFonts w:cs="Arial"/>
                <w:sz w:val="24"/>
                <w:szCs w:val="24"/>
              </w:rPr>
              <w:t>0.26%</w:t>
            </w:r>
          </w:p>
        </w:tc>
      </w:tr>
      <w:tr w:rsidR="005D4B2A" w:rsidRPr="009E0B16" w:rsidTr="000A03D9">
        <w:trPr>
          <w:trHeight w:val="241"/>
          <w:jc w:val="center"/>
        </w:trPr>
        <w:tc>
          <w:tcPr>
            <w:tcW w:w="153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5D4B2A" w:rsidRPr="009E0B16" w:rsidRDefault="005D4B2A" w:rsidP="005D4B2A">
            <w:pPr>
              <w:pStyle w:val="ListParagraph"/>
              <w:ind w:left="142"/>
              <w:rPr>
                <w:rFonts w:cs="Arial"/>
                <w:sz w:val="24"/>
                <w:szCs w:val="24"/>
              </w:rPr>
            </w:pPr>
            <w:r w:rsidRPr="009E0B16">
              <w:rPr>
                <w:rFonts w:cs="Arial"/>
                <w:sz w:val="24"/>
                <w:szCs w:val="24"/>
              </w:rPr>
              <w:t>Rates</w:t>
            </w:r>
          </w:p>
        </w:tc>
        <w:tc>
          <w:tcPr>
            <w:tcW w:w="17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5D4B2A" w:rsidRPr="009E0B16" w:rsidRDefault="005D4B2A" w:rsidP="000A03D9">
            <w:pPr>
              <w:pStyle w:val="ListParagraph"/>
              <w:jc w:val="center"/>
              <w:rPr>
                <w:rFonts w:cs="Arial"/>
                <w:sz w:val="24"/>
                <w:szCs w:val="24"/>
              </w:rPr>
            </w:pPr>
            <w:r w:rsidRPr="009E0B16">
              <w:rPr>
                <w:rFonts w:cs="Arial"/>
                <w:sz w:val="24"/>
                <w:szCs w:val="24"/>
              </w:rPr>
              <w:t>1.</w:t>
            </w:r>
            <w:r w:rsidR="000A03D9">
              <w:rPr>
                <w:rFonts w:cs="Arial"/>
                <w:sz w:val="24"/>
                <w:szCs w:val="24"/>
              </w:rPr>
              <w:t>11</w:t>
            </w:r>
            <w:r w:rsidRPr="009E0B16">
              <w:rPr>
                <w:rFonts w:cs="Arial"/>
                <w:sz w:val="24"/>
                <w:szCs w:val="24"/>
              </w:rPr>
              <w:t>%</w:t>
            </w:r>
          </w:p>
        </w:tc>
        <w:tc>
          <w:tcPr>
            <w:tcW w:w="173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5D4B2A" w:rsidRPr="009E0B16" w:rsidRDefault="000A03D9" w:rsidP="005D4B2A">
            <w:pPr>
              <w:pStyle w:val="ListParagraph"/>
              <w:jc w:val="center"/>
              <w:rPr>
                <w:rFonts w:cs="Arial"/>
                <w:sz w:val="24"/>
                <w:szCs w:val="24"/>
              </w:rPr>
            </w:pPr>
            <w:r>
              <w:rPr>
                <w:rFonts w:cs="Arial"/>
                <w:sz w:val="24"/>
                <w:szCs w:val="24"/>
              </w:rPr>
              <w:t>1.53</w:t>
            </w:r>
            <w:r w:rsidR="005D4B2A" w:rsidRPr="009E0B16">
              <w:rPr>
                <w:rFonts w:cs="Arial"/>
                <w:sz w:val="24"/>
                <w:szCs w:val="24"/>
              </w:rPr>
              <w:t>%</w:t>
            </w:r>
          </w:p>
        </w:tc>
      </w:tr>
      <w:tr w:rsidR="000A03D9" w:rsidRPr="009E0B16" w:rsidTr="000A03D9">
        <w:trPr>
          <w:trHeight w:val="231"/>
          <w:jc w:val="center"/>
        </w:trPr>
        <w:tc>
          <w:tcPr>
            <w:tcW w:w="153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0A03D9" w:rsidRPr="009E0B16" w:rsidRDefault="000A03D9" w:rsidP="005D4B2A">
            <w:pPr>
              <w:pStyle w:val="ListParagraph"/>
              <w:ind w:left="142"/>
              <w:rPr>
                <w:rFonts w:cs="Arial"/>
                <w:sz w:val="24"/>
                <w:szCs w:val="24"/>
              </w:rPr>
            </w:pPr>
            <w:r>
              <w:rPr>
                <w:rFonts w:cs="Arial"/>
                <w:sz w:val="24"/>
                <w:szCs w:val="24"/>
              </w:rPr>
              <w:t>Rent</w:t>
            </w:r>
          </w:p>
        </w:tc>
        <w:tc>
          <w:tcPr>
            <w:tcW w:w="17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0A03D9" w:rsidRPr="009E0B16" w:rsidRDefault="000A03D9" w:rsidP="005D4B2A">
            <w:pPr>
              <w:pStyle w:val="ListParagraph"/>
              <w:jc w:val="center"/>
              <w:rPr>
                <w:rFonts w:cs="Arial"/>
                <w:sz w:val="24"/>
                <w:szCs w:val="24"/>
              </w:rPr>
            </w:pPr>
            <w:r>
              <w:rPr>
                <w:rFonts w:cs="Arial"/>
                <w:sz w:val="24"/>
                <w:szCs w:val="24"/>
              </w:rPr>
              <w:t>0.08%</w:t>
            </w:r>
          </w:p>
        </w:tc>
        <w:tc>
          <w:tcPr>
            <w:tcW w:w="173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rsidR="000A03D9" w:rsidRPr="009E0B16" w:rsidRDefault="000A03D9" w:rsidP="005D4B2A">
            <w:pPr>
              <w:pStyle w:val="ListParagraph"/>
              <w:jc w:val="center"/>
              <w:rPr>
                <w:rFonts w:cs="Arial"/>
                <w:sz w:val="24"/>
                <w:szCs w:val="24"/>
              </w:rPr>
            </w:pPr>
            <w:r>
              <w:rPr>
                <w:rFonts w:cs="Arial"/>
                <w:sz w:val="24"/>
                <w:szCs w:val="24"/>
              </w:rPr>
              <w:t>0.09%</w:t>
            </w:r>
          </w:p>
        </w:tc>
      </w:tr>
      <w:tr w:rsidR="005D4B2A" w:rsidRPr="009E0B16" w:rsidTr="000A03D9">
        <w:trPr>
          <w:trHeight w:val="231"/>
          <w:jc w:val="center"/>
        </w:trPr>
        <w:tc>
          <w:tcPr>
            <w:tcW w:w="153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5D4B2A" w:rsidRPr="009E0B16" w:rsidRDefault="000A03D9" w:rsidP="005D4B2A">
            <w:pPr>
              <w:pStyle w:val="ListParagraph"/>
              <w:ind w:left="142"/>
              <w:rPr>
                <w:rFonts w:cs="Arial"/>
                <w:sz w:val="24"/>
                <w:szCs w:val="24"/>
              </w:rPr>
            </w:pPr>
            <w:r>
              <w:rPr>
                <w:rFonts w:cs="Arial"/>
                <w:sz w:val="24"/>
                <w:szCs w:val="24"/>
              </w:rPr>
              <w:t>Boarding</w:t>
            </w:r>
          </w:p>
        </w:tc>
        <w:tc>
          <w:tcPr>
            <w:tcW w:w="17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5D4B2A" w:rsidRPr="009E0B16" w:rsidRDefault="000A03D9" w:rsidP="005D4B2A">
            <w:pPr>
              <w:pStyle w:val="ListParagraph"/>
              <w:jc w:val="center"/>
              <w:rPr>
                <w:rFonts w:cs="Arial"/>
                <w:sz w:val="24"/>
                <w:szCs w:val="24"/>
              </w:rPr>
            </w:pPr>
            <w:r>
              <w:rPr>
                <w:rFonts w:cs="Arial"/>
                <w:sz w:val="24"/>
                <w:szCs w:val="24"/>
              </w:rPr>
              <w:t>0.22</w:t>
            </w:r>
            <w:r w:rsidR="005D4B2A" w:rsidRPr="009E0B16">
              <w:rPr>
                <w:rFonts w:cs="Arial"/>
                <w:sz w:val="24"/>
                <w:szCs w:val="24"/>
              </w:rPr>
              <w:t>%</w:t>
            </w:r>
          </w:p>
        </w:tc>
        <w:tc>
          <w:tcPr>
            <w:tcW w:w="173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5D4B2A" w:rsidRPr="009E0B16" w:rsidRDefault="005D4B2A" w:rsidP="000A03D9">
            <w:pPr>
              <w:pStyle w:val="ListParagraph"/>
              <w:jc w:val="center"/>
              <w:rPr>
                <w:rFonts w:cs="Arial"/>
                <w:sz w:val="24"/>
                <w:szCs w:val="24"/>
              </w:rPr>
            </w:pPr>
            <w:r w:rsidRPr="009E0B16">
              <w:rPr>
                <w:rFonts w:cs="Arial"/>
                <w:sz w:val="24"/>
                <w:szCs w:val="24"/>
              </w:rPr>
              <w:t>0.</w:t>
            </w:r>
            <w:r w:rsidR="000A03D9">
              <w:rPr>
                <w:rFonts w:cs="Arial"/>
                <w:sz w:val="24"/>
                <w:szCs w:val="24"/>
              </w:rPr>
              <w:t>20</w:t>
            </w:r>
            <w:r w:rsidRPr="009E0B16">
              <w:rPr>
                <w:rFonts w:cs="Arial"/>
                <w:sz w:val="24"/>
                <w:szCs w:val="24"/>
              </w:rPr>
              <w:t>%</w:t>
            </w:r>
          </w:p>
        </w:tc>
      </w:tr>
    </w:tbl>
    <w:p w:rsidR="005D4B2A" w:rsidRDefault="005D4B2A" w:rsidP="005D4B2A">
      <w:pPr>
        <w:pStyle w:val="ListParagraph"/>
        <w:rPr>
          <w:rFonts w:cs="Arial"/>
          <w:sz w:val="24"/>
          <w:szCs w:val="24"/>
        </w:rPr>
      </w:pPr>
    </w:p>
    <w:p w:rsidR="005D4B2A" w:rsidRPr="00877771" w:rsidRDefault="005D4B2A" w:rsidP="005D4B2A">
      <w:pPr>
        <w:pStyle w:val="ListParagraph"/>
        <w:numPr>
          <w:ilvl w:val="1"/>
          <w:numId w:val="26"/>
        </w:numPr>
        <w:spacing w:before="120" w:after="120"/>
        <w:ind w:hanging="720"/>
        <w:contextualSpacing/>
        <w:jc w:val="both"/>
        <w:rPr>
          <w:rFonts w:cs="Arial"/>
          <w:sz w:val="24"/>
          <w:szCs w:val="24"/>
        </w:rPr>
      </w:pPr>
      <w:r>
        <w:rPr>
          <w:rFonts w:cs="Arial"/>
          <w:sz w:val="24"/>
        </w:rPr>
        <w:t>The 2016/17 Schools Block allocation per pupil for Northumberland is £</w:t>
      </w:r>
      <w:r w:rsidR="008D0539">
        <w:rPr>
          <w:rFonts w:cs="Arial"/>
          <w:sz w:val="24"/>
        </w:rPr>
        <w:t>4,544.73</w:t>
      </w:r>
      <w:r>
        <w:rPr>
          <w:rFonts w:cs="Arial"/>
          <w:sz w:val="24"/>
        </w:rPr>
        <w:t xml:space="preserve"> compared to the national average of £</w:t>
      </w:r>
      <w:r w:rsidR="008D0539">
        <w:rPr>
          <w:rFonts w:cs="Arial"/>
          <w:sz w:val="24"/>
        </w:rPr>
        <w:t>4,636.42. This places us in 72</w:t>
      </w:r>
      <w:r w:rsidR="008D0539" w:rsidRPr="008D0539">
        <w:rPr>
          <w:rFonts w:cs="Arial"/>
          <w:sz w:val="24"/>
          <w:vertAlign w:val="superscript"/>
        </w:rPr>
        <w:t>nd</w:t>
      </w:r>
      <w:r>
        <w:rPr>
          <w:rFonts w:cs="Arial"/>
          <w:sz w:val="24"/>
        </w:rPr>
        <w:t xml:space="preserve"> position out of 151 LA’s. </w:t>
      </w:r>
      <w:r w:rsidR="006C2857">
        <w:rPr>
          <w:rFonts w:cs="Arial"/>
          <w:sz w:val="24"/>
        </w:rPr>
        <w:t xml:space="preserve">Our </w:t>
      </w:r>
      <w:r w:rsidR="008D0539">
        <w:rPr>
          <w:rFonts w:cs="Arial"/>
          <w:sz w:val="24"/>
        </w:rPr>
        <w:t>per pupil funding is 2</w:t>
      </w:r>
      <w:r>
        <w:rPr>
          <w:rFonts w:cs="Arial"/>
          <w:sz w:val="24"/>
        </w:rPr>
        <w:t xml:space="preserve">% </w:t>
      </w:r>
      <w:r w:rsidR="008D0539">
        <w:rPr>
          <w:rFonts w:cs="Arial"/>
          <w:sz w:val="24"/>
        </w:rPr>
        <w:t>below</w:t>
      </w:r>
      <w:r>
        <w:rPr>
          <w:rFonts w:cs="Arial"/>
          <w:sz w:val="24"/>
        </w:rPr>
        <w:t xml:space="preserve"> average</w:t>
      </w:r>
      <w:r w:rsidR="008D0539">
        <w:rPr>
          <w:rFonts w:cs="Arial"/>
          <w:sz w:val="24"/>
        </w:rPr>
        <w:t xml:space="preserve">.  </w:t>
      </w:r>
      <w:r>
        <w:rPr>
          <w:rFonts w:cs="Arial"/>
          <w:sz w:val="24"/>
        </w:rPr>
        <w:t>DfE recognises that if a local authority’s allocation is lower than in 2016/17, it may be difficult to balance the formula using the nationally-set Minimum Funding Guarantee (MFG). It therefore took the opportunity in the first consultation to ask whether it would be appropriate to allow LAs to set a local MFG which is lower than the national level.</w:t>
      </w:r>
    </w:p>
    <w:p w:rsidR="005D4B2A" w:rsidRPr="00BA6E77" w:rsidRDefault="005D4B2A" w:rsidP="005D4B2A">
      <w:pPr>
        <w:pStyle w:val="ListParagraph"/>
        <w:rPr>
          <w:rFonts w:cs="Arial"/>
          <w:sz w:val="24"/>
          <w:szCs w:val="24"/>
        </w:rPr>
      </w:pPr>
    </w:p>
    <w:p w:rsidR="005D4B2A" w:rsidRPr="00877771" w:rsidRDefault="005D4B2A" w:rsidP="005D4B2A">
      <w:pPr>
        <w:pStyle w:val="ListParagraph"/>
        <w:numPr>
          <w:ilvl w:val="1"/>
          <w:numId w:val="26"/>
        </w:numPr>
        <w:spacing w:before="120" w:after="120"/>
        <w:ind w:hanging="720"/>
        <w:contextualSpacing/>
        <w:jc w:val="both"/>
        <w:rPr>
          <w:rFonts w:cs="Arial"/>
          <w:sz w:val="24"/>
          <w:szCs w:val="24"/>
        </w:rPr>
      </w:pPr>
      <w:r>
        <w:rPr>
          <w:rFonts w:cs="Arial"/>
          <w:sz w:val="24"/>
        </w:rPr>
        <w:t>DfE recognises that if a local authority’s allocation is lower than in 2016/17, it may be difficult to balance the formula using the nationally-set Minimum Funding Guarantee (MFG). It therefore took the opportunity in the first consultation to ask whether it would be appropriate to allow LAs to set a local MFG which is lower than the national level.</w:t>
      </w:r>
    </w:p>
    <w:p w:rsidR="005D4B2A" w:rsidRPr="00877771" w:rsidRDefault="005D4B2A" w:rsidP="005D4B2A">
      <w:pPr>
        <w:pStyle w:val="ListParagraph"/>
        <w:rPr>
          <w:rFonts w:cs="Arial"/>
          <w:sz w:val="24"/>
        </w:rPr>
      </w:pPr>
    </w:p>
    <w:p w:rsidR="005D4B2A" w:rsidRDefault="005D4B2A" w:rsidP="005D4B2A">
      <w:pPr>
        <w:pStyle w:val="ListParagraph"/>
        <w:numPr>
          <w:ilvl w:val="1"/>
          <w:numId w:val="26"/>
        </w:numPr>
        <w:spacing w:before="120" w:after="120"/>
        <w:ind w:hanging="720"/>
        <w:contextualSpacing/>
        <w:jc w:val="both"/>
        <w:rPr>
          <w:rFonts w:cs="Arial"/>
          <w:sz w:val="24"/>
          <w:szCs w:val="24"/>
        </w:rPr>
      </w:pPr>
      <w:r>
        <w:rPr>
          <w:rFonts w:cs="Arial"/>
          <w:sz w:val="24"/>
          <w:szCs w:val="24"/>
        </w:rPr>
        <w:t>Some of the circumstances which might lead to difficulties in balancing the local formula are:</w:t>
      </w:r>
    </w:p>
    <w:p w:rsidR="005D4B2A" w:rsidRDefault="005D4B2A" w:rsidP="005D4B2A">
      <w:pPr>
        <w:pStyle w:val="ListParagraph"/>
        <w:numPr>
          <w:ilvl w:val="0"/>
          <w:numId w:val="28"/>
        </w:numPr>
        <w:contextualSpacing/>
        <w:jc w:val="both"/>
        <w:rPr>
          <w:rFonts w:cs="Arial"/>
          <w:sz w:val="24"/>
          <w:szCs w:val="24"/>
        </w:rPr>
      </w:pPr>
      <w:r>
        <w:rPr>
          <w:rFonts w:cs="Arial"/>
          <w:sz w:val="24"/>
          <w:szCs w:val="24"/>
        </w:rPr>
        <w:t>If pupil number growth is higher in 2017/18 than 2016/17 and funding has to be taken from other factors to ensure this is properly funded;</w:t>
      </w:r>
    </w:p>
    <w:p w:rsidR="005D4B2A" w:rsidRDefault="005D4B2A" w:rsidP="005D4B2A">
      <w:pPr>
        <w:pStyle w:val="ListParagraph"/>
        <w:numPr>
          <w:ilvl w:val="0"/>
          <w:numId w:val="28"/>
        </w:numPr>
        <w:contextualSpacing/>
        <w:jc w:val="both"/>
        <w:rPr>
          <w:rFonts w:cs="Arial"/>
          <w:sz w:val="24"/>
          <w:szCs w:val="24"/>
        </w:rPr>
      </w:pPr>
      <w:r>
        <w:rPr>
          <w:rFonts w:cs="Arial"/>
          <w:sz w:val="24"/>
          <w:szCs w:val="24"/>
        </w:rPr>
        <w:t>If we decide to make a transition from our current factor values towards the NFF values.</w:t>
      </w:r>
    </w:p>
    <w:p w:rsidR="005D4B2A" w:rsidRPr="002B120C" w:rsidRDefault="005D4B2A" w:rsidP="005D4B2A">
      <w:pPr>
        <w:pStyle w:val="ListParagraph"/>
        <w:ind w:left="1440"/>
        <w:rPr>
          <w:rFonts w:cs="Arial"/>
          <w:sz w:val="24"/>
          <w:szCs w:val="24"/>
        </w:rPr>
      </w:pPr>
    </w:p>
    <w:p w:rsidR="005D4B2A" w:rsidRPr="00D73E01" w:rsidRDefault="005D4B2A" w:rsidP="005D4B2A">
      <w:pPr>
        <w:pStyle w:val="ListParagraph"/>
        <w:numPr>
          <w:ilvl w:val="1"/>
          <w:numId w:val="26"/>
        </w:numPr>
        <w:spacing w:before="120" w:after="120"/>
        <w:ind w:hanging="720"/>
        <w:contextualSpacing/>
        <w:jc w:val="both"/>
        <w:rPr>
          <w:rFonts w:cs="Arial"/>
          <w:sz w:val="24"/>
          <w:szCs w:val="24"/>
        </w:rPr>
      </w:pPr>
      <w:r>
        <w:rPr>
          <w:rFonts w:cs="Arial"/>
          <w:sz w:val="24"/>
          <w:szCs w:val="24"/>
        </w:rPr>
        <w:t xml:space="preserve">The 2016/17 formula was </w:t>
      </w:r>
      <w:r w:rsidR="003C7657">
        <w:rPr>
          <w:rFonts w:cs="Arial"/>
          <w:sz w:val="24"/>
          <w:szCs w:val="24"/>
        </w:rPr>
        <w:t>cushioned by the input of the additional £12m of funding that Northumberland</w:t>
      </w:r>
      <w:r>
        <w:rPr>
          <w:rFonts w:cs="Arial"/>
          <w:sz w:val="24"/>
          <w:szCs w:val="24"/>
        </w:rPr>
        <w:t xml:space="preserve"> </w:t>
      </w:r>
      <w:r w:rsidR="003C7657">
        <w:rPr>
          <w:rFonts w:cs="Arial"/>
          <w:sz w:val="24"/>
          <w:szCs w:val="24"/>
        </w:rPr>
        <w:t xml:space="preserve">received in 2015/16 because of being a low funded LA. However </w:t>
      </w:r>
      <w:r>
        <w:rPr>
          <w:rFonts w:cs="Arial"/>
          <w:sz w:val="24"/>
          <w:szCs w:val="24"/>
        </w:rPr>
        <w:t xml:space="preserve">a reduction in free school meals and IDACI data </w:t>
      </w:r>
      <w:r w:rsidR="003C7657">
        <w:rPr>
          <w:rFonts w:cs="Arial"/>
          <w:sz w:val="24"/>
          <w:szCs w:val="24"/>
        </w:rPr>
        <w:t>did impact on some schools.</w:t>
      </w:r>
      <w:r w:rsidRPr="00D73E01">
        <w:rPr>
          <w:rFonts w:cs="Arial"/>
          <w:sz w:val="24"/>
          <w:szCs w:val="24"/>
        </w:rPr>
        <w:t>.</w:t>
      </w:r>
      <w:r>
        <w:rPr>
          <w:rFonts w:cs="Arial"/>
          <w:sz w:val="24"/>
          <w:szCs w:val="24"/>
        </w:rPr>
        <w:t xml:space="preserve"> </w:t>
      </w:r>
    </w:p>
    <w:p w:rsidR="005D4B2A" w:rsidRPr="00C12B3F" w:rsidRDefault="005D4B2A" w:rsidP="005D4B2A">
      <w:pPr>
        <w:pStyle w:val="ListParagraph"/>
        <w:spacing w:before="120" w:after="120"/>
        <w:ind w:left="709"/>
        <w:rPr>
          <w:rFonts w:cs="Arial"/>
          <w:sz w:val="2"/>
          <w:szCs w:val="24"/>
        </w:rPr>
      </w:pPr>
    </w:p>
    <w:p w:rsidR="005D4B2A" w:rsidRDefault="005D4B2A" w:rsidP="005D4B2A">
      <w:pPr>
        <w:pStyle w:val="ListParagraph"/>
        <w:spacing w:before="120" w:after="120"/>
        <w:ind w:left="709"/>
        <w:rPr>
          <w:rFonts w:cs="Arial"/>
          <w:sz w:val="8"/>
          <w:szCs w:val="24"/>
        </w:rPr>
      </w:pPr>
    </w:p>
    <w:p w:rsidR="005D4B2A" w:rsidRDefault="005D4B2A" w:rsidP="005D4B2A">
      <w:pPr>
        <w:pStyle w:val="Default"/>
        <w:numPr>
          <w:ilvl w:val="0"/>
          <w:numId w:val="26"/>
        </w:numPr>
        <w:ind w:left="709" w:hanging="709"/>
        <w:jc w:val="both"/>
        <w:rPr>
          <w:b/>
        </w:rPr>
      </w:pPr>
      <w:r>
        <w:rPr>
          <w:b/>
        </w:rPr>
        <w:t>Preparation for 2017/18 funding formula</w:t>
      </w:r>
    </w:p>
    <w:p w:rsidR="005D4B2A" w:rsidRPr="001A1E5A" w:rsidRDefault="005D4B2A" w:rsidP="005D4B2A">
      <w:pPr>
        <w:pStyle w:val="Default"/>
        <w:ind w:left="709"/>
        <w:jc w:val="both"/>
        <w:rPr>
          <w:b/>
          <w:sz w:val="18"/>
        </w:rPr>
      </w:pPr>
    </w:p>
    <w:p w:rsidR="005D4B2A" w:rsidRDefault="005D4B2A" w:rsidP="005D4B2A">
      <w:pPr>
        <w:pStyle w:val="Default"/>
        <w:numPr>
          <w:ilvl w:val="1"/>
          <w:numId w:val="26"/>
        </w:numPr>
        <w:ind w:hanging="720"/>
      </w:pPr>
      <w:r>
        <w:t xml:space="preserve">As noted in the report on school strategic financial planning, the expected timetable for the 2017/18 Dedicated Schools Grant settlement would provide </w:t>
      </w:r>
      <w:r>
        <w:lastRenderedPageBreak/>
        <w:t>allocations in December. We await the second consultation for information on any departure from the normal timescales.</w:t>
      </w:r>
    </w:p>
    <w:p w:rsidR="005D4B2A" w:rsidRDefault="005D4B2A" w:rsidP="005D4B2A">
      <w:pPr>
        <w:pStyle w:val="Default"/>
        <w:ind w:left="720"/>
      </w:pPr>
    </w:p>
    <w:p w:rsidR="005D4B2A" w:rsidRDefault="005D4B2A" w:rsidP="005D4B2A">
      <w:pPr>
        <w:pStyle w:val="Default"/>
        <w:numPr>
          <w:ilvl w:val="1"/>
          <w:numId w:val="26"/>
        </w:numPr>
        <w:ind w:hanging="720"/>
      </w:pPr>
      <w:r>
        <w:t>Once DSG allocations are announced, we will need to establish whether we can balance the formula using values close to the current position. If this is not possible, there will be very little time to consult schools about decisions that need to be taken on either changing the distribution of funding or setting a different MFG level.</w:t>
      </w:r>
    </w:p>
    <w:p w:rsidR="005D4B2A" w:rsidRDefault="005D4B2A" w:rsidP="005D4B2A">
      <w:pPr>
        <w:pStyle w:val="ListParagraph"/>
      </w:pPr>
    </w:p>
    <w:p w:rsidR="005C72F9" w:rsidRDefault="005D4B2A" w:rsidP="005D4B2A">
      <w:pPr>
        <w:pStyle w:val="Default"/>
        <w:numPr>
          <w:ilvl w:val="1"/>
          <w:numId w:val="26"/>
        </w:numPr>
        <w:ind w:hanging="720"/>
      </w:pPr>
      <w:r>
        <w:t xml:space="preserve">It would be advisable to start preparing now, to identify a strategy and priorities to guide the LA in running the formula once October census data is available. </w:t>
      </w:r>
      <w:r w:rsidR="007A6F85">
        <w:t xml:space="preserve"> Northumberland formula factors values for 2016/17 are compared to 2015/16 average formula fact</w:t>
      </w:r>
      <w:r w:rsidR="005C72F9">
        <w:t>or values in Table 2 (attached). A spreadsheet detailing</w:t>
      </w:r>
      <w:r w:rsidR="007A6F85">
        <w:t xml:space="preserve"> </w:t>
      </w:r>
      <w:r w:rsidR="005C72F9">
        <w:t>projected outturns for the next 3 years for maintained schools together with projections the impact on budgets of 2% and 5% cuts for schools and academies (Table 3) is attached.</w:t>
      </w:r>
    </w:p>
    <w:p w:rsidR="005C72F9" w:rsidRDefault="005C72F9" w:rsidP="005C72F9">
      <w:pPr>
        <w:pStyle w:val="ListParagraph"/>
      </w:pPr>
    </w:p>
    <w:p w:rsidR="005D4B2A" w:rsidRDefault="005D4B2A" w:rsidP="005D4B2A">
      <w:pPr>
        <w:pStyle w:val="Default"/>
        <w:numPr>
          <w:ilvl w:val="1"/>
          <w:numId w:val="26"/>
        </w:numPr>
        <w:ind w:hanging="720"/>
      </w:pPr>
      <w:r>
        <w:t>Some of the issues that need to be considered are:</w:t>
      </w:r>
    </w:p>
    <w:p w:rsidR="005D4B2A" w:rsidRDefault="005D4B2A" w:rsidP="005D4B2A">
      <w:pPr>
        <w:pStyle w:val="ListParagraph"/>
      </w:pPr>
    </w:p>
    <w:p w:rsidR="005D4B2A" w:rsidRPr="00CF2520" w:rsidRDefault="005D4B2A" w:rsidP="005D4B2A">
      <w:pPr>
        <w:pStyle w:val="ListParagraph"/>
        <w:numPr>
          <w:ilvl w:val="0"/>
          <w:numId w:val="29"/>
        </w:numPr>
        <w:contextualSpacing/>
        <w:jc w:val="both"/>
        <w:rPr>
          <w:sz w:val="24"/>
        </w:rPr>
      </w:pPr>
      <w:r w:rsidRPr="00CF2520">
        <w:rPr>
          <w:sz w:val="24"/>
        </w:rPr>
        <w:t>the differential between primary and secondary basic entitlement (AWPU) values;</w:t>
      </w:r>
    </w:p>
    <w:p w:rsidR="005D4B2A" w:rsidRDefault="005D4B2A" w:rsidP="005D4B2A">
      <w:pPr>
        <w:pStyle w:val="ListParagraph"/>
        <w:numPr>
          <w:ilvl w:val="0"/>
          <w:numId w:val="29"/>
        </w:numPr>
        <w:contextualSpacing/>
        <w:jc w:val="both"/>
        <w:rPr>
          <w:sz w:val="24"/>
        </w:rPr>
      </w:pPr>
      <w:r>
        <w:rPr>
          <w:sz w:val="24"/>
        </w:rPr>
        <w:t>the proportion of funding to be allocated for deprivation and low prior attainment, as two key areas where we currently allocate more than the national average;</w:t>
      </w:r>
    </w:p>
    <w:p w:rsidR="005D4B2A" w:rsidRDefault="005D4B2A" w:rsidP="005D4B2A">
      <w:pPr>
        <w:pStyle w:val="ListParagraph"/>
        <w:numPr>
          <w:ilvl w:val="0"/>
          <w:numId w:val="29"/>
        </w:numPr>
        <w:contextualSpacing/>
        <w:jc w:val="both"/>
        <w:rPr>
          <w:sz w:val="24"/>
        </w:rPr>
      </w:pPr>
      <w:r>
        <w:rPr>
          <w:sz w:val="24"/>
        </w:rPr>
        <w:t>the value of the lump sum;</w:t>
      </w:r>
    </w:p>
    <w:p w:rsidR="005D4B2A" w:rsidRPr="00EE7646" w:rsidRDefault="005D4B2A" w:rsidP="005D4B2A">
      <w:pPr>
        <w:pStyle w:val="ListParagraph"/>
        <w:numPr>
          <w:ilvl w:val="0"/>
          <w:numId w:val="29"/>
        </w:numPr>
        <w:contextualSpacing/>
        <w:jc w:val="both"/>
        <w:rPr>
          <w:sz w:val="24"/>
        </w:rPr>
      </w:pPr>
      <w:r w:rsidRPr="00EE7646">
        <w:rPr>
          <w:sz w:val="24"/>
        </w:rPr>
        <w:t>how quickly we should move towards the NFF values;</w:t>
      </w:r>
    </w:p>
    <w:p w:rsidR="005D4B2A" w:rsidRPr="00CF2520" w:rsidRDefault="005D4B2A" w:rsidP="005D4B2A">
      <w:pPr>
        <w:pStyle w:val="ListParagraph"/>
        <w:ind w:left="1440"/>
        <w:rPr>
          <w:sz w:val="24"/>
        </w:rPr>
      </w:pPr>
    </w:p>
    <w:p w:rsidR="005D4B2A" w:rsidRDefault="005D4B2A" w:rsidP="005D4B2A">
      <w:pPr>
        <w:pStyle w:val="Default"/>
        <w:numPr>
          <w:ilvl w:val="1"/>
          <w:numId w:val="26"/>
        </w:numPr>
        <w:ind w:hanging="720"/>
      </w:pPr>
      <w:r>
        <w:t>Schools need to be closely involved in the process, to ensure that all perspectives are taken into account.</w:t>
      </w:r>
    </w:p>
    <w:p w:rsidR="005D4B2A" w:rsidRDefault="005D4B2A" w:rsidP="005D4B2A">
      <w:pPr>
        <w:pStyle w:val="Default"/>
        <w:ind w:left="720"/>
      </w:pPr>
    </w:p>
    <w:p w:rsidR="005D4B2A" w:rsidRDefault="005D4B2A" w:rsidP="005D4B2A">
      <w:pPr>
        <w:pStyle w:val="Default"/>
        <w:numPr>
          <w:ilvl w:val="1"/>
          <w:numId w:val="26"/>
        </w:numPr>
        <w:ind w:hanging="720"/>
      </w:pPr>
      <w:r>
        <w:t>The</w:t>
      </w:r>
      <w:r w:rsidR="003C7657">
        <w:t xml:space="preserve"> Additional Educational Needs Sub group</w:t>
      </w:r>
      <w:r>
        <w:t xml:space="preserve"> has previously been </w:t>
      </w:r>
      <w:r w:rsidR="00DB0A1C">
        <w:t xml:space="preserve">involved </w:t>
      </w:r>
      <w:r>
        <w:t xml:space="preserve">with a </w:t>
      </w:r>
      <w:r w:rsidR="00DB0A1C">
        <w:t>review of the High Needs</w:t>
      </w:r>
      <w:r>
        <w:t>.</w:t>
      </w:r>
      <w:r w:rsidR="00DB0A1C">
        <w:t xml:space="preserve"> Should this subgroup consider the formula for 2017/18? </w:t>
      </w:r>
      <w:r w:rsidR="005C72F9">
        <w:t xml:space="preserve"> </w:t>
      </w:r>
    </w:p>
    <w:p w:rsidR="005D4B2A" w:rsidRDefault="005D4B2A" w:rsidP="005D4B2A">
      <w:pPr>
        <w:pStyle w:val="ListParagraph"/>
      </w:pPr>
    </w:p>
    <w:p w:rsidR="005D4B2A" w:rsidRDefault="005D4B2A" w:rsidP="005D4B2A">
      <w:pPr>
        <w:pStyle w:val="Default"/>
        <w:numPr>
          <w:ilvl w:val="1"/>
          <w:numId w:val="26"/>
        </w:numPr>
        <w:ind w:hanging="720"/>
        <w:jc w:val="both"/>
      </w:pPr>
      <w:r>
        <w:t>The LA appreciates that school leaders are being asked to commit additional time out of school, but it is critically important that we devote time to exploring the options to achieve the optimum result for N</w:t>
      </w:r>
      <w:r w:rsidR="00383012">
        <w:t>orthumberland</w:t>
      </w:r>
      <w:r>
        <w:t xml:space="preserve"> schools. The work will be time-limited to the period between now and January 2017. </w:t>
      </w:r>
    </w:p>
    <w:sectPr w:rsidR="005D4B2A" w:rsidSect="00D73061">
      <w:headerReference w:type="even" r:id="rId10"/>
      <w:headerReference w:type="default" r:id="rId11"/>
      <w:footerReference w:type="even" r:id="rId12"/>
      <w:footerReference w:type="default" r:id="rId13"/>
      <w:pgSz w:w="11909" w:h="16834" w:code="9"/>
      <w:pgMar w:top="1440" w:right="1440" w:bottom="864" w:left="1440" w:header="706"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539" w:rsidRDefault="008D0539" w:rsidP="00F516D4">
      <w:pPr>
        <w:pStyle w:val="Footer"/>
      </w:pPr>
      <w:r>
        <w:separator/>
      </w:r>
    </w:p>
  </w:endnote>
  <w:endnote w:type="continuationSeparator" w:id="0">
    <w:p w:rsidR="008D0539" w:rsidRDefault="008D0539" w:rsidP="00F516D4">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539" w:rsidRDefault="008D0539" w:rsidP="00B432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D0539" w:rsidRDefault="008D0539" w:rsidP="00B4328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539" w:rsidRDefault="008D0539" w:rsidP="00B4328E">
    <w:pPr>
      <w:pStyle w:val="Footer"/>
      <w:framePr w:wrap="around" w:vAnchor="text" w:hAnchor="margin" w:xAlign="right" w:y="1"/>
      <w:rPr>
        <w:rStyle w:val="PageNumber"/>
      </w:rPr>
    </w:pPr>
  </w:p>
  <w:p w:rsidR="008D0539" w:rsidRDefault="008D0539" w:rsidP="00B4328E">
    <w:pPr>
      <w:pStyle w:val="Footer"/>
      <w:ind w:right="360"/>
      <w:rPr>
        <w:sz w:val="12"/>
        <w:szCs w:val="12"/>
      </w:rPr>
    </w:pPr>
  </w:p>
  <w:p w:rsidR="008D0539" w:rsidRDefault="008D0539" w:rsidP="00B4328E">
    <w:pPr>
      <w:pStyle w:val="Footer"/>
      <w:ind w:right="360"/>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539" w:rsidRDefault="008D0539" w:rsidP="00F516D4">
      <w:pPr>
        <w:pStyle w:val="Footer"/>
      </w:pPr>
      <w:r>
        <w:separator/>
      </w:r>
    </w:p>
  </w:footnote>
  <w:footnote w:type="continuationSeparator" w:id="0">
    <w:p w:rsidR="008D0539" w:rsidRDefault="008D0539" w:rsidP="00F516D4">
      <w:pPr>
        <w:pStyle w:val="Foot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539" w:rsidRDefault="008D0539" w:rsidP="00254DD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D0539" w:rsidRDefault="008D05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539" w:rsidRDefault="008D0539" w:rsidP="00254DD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10C4">
      <w:rPr>
        <w:rStyle w:val="PageNumber"/>
        <w:noProof/>
      </w:rPr>
      <w:t>3</w:t>
    </w:r>
    <w:r>
      <w:rPr>
        <w:rStyle w:val="PageNumber"/>
      </w:rPr>
      <w:fldChar w:fldCharType="end"/>
    </w:r>
  </w:p>
  <w:p w:rsidR="008D0539" w:rsidRDefault="008D05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71988"/>
    <w:multiLevelType w:val="multilevel"/>
    <w:tmpl w:val="51A241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0997720"/>
    <w:multiLevelType w:val="hybridMultilevel"/>
    <w:tmpl w:val="993ACD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35F55B7"/>
    <w:multiLevelType w:val="hybridMultilevel"/>
    <w:tmpl w:val="28349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031852"/>
    <w:multiLevelType w:val="hybridMultilevel"/>
    <w:tmpl w:val="8E90C2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1543FC2"/>
    <w:multiLevelType w:val="hybridMultilevel"/>
    <w:tmpl w:val="5AB06B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24633599"/>
    <w:multiLevelType w:val="hybridMultilevel"/>
    <w:tmpl w:val="FB86FB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7">
    <w:nsid w:val="28197E6D"/>
    <w:multiLevelType w:val="hybridMultilevel"/>
    <w:tmpl w:val="F9BE76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8B14909"/>
    <w:multiLevelType w:val="hybridMultilevel"/>
    <w:tmpl w:val="3B78D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2914BC"/>
    <w:multiLevelType w:val="hybridMultilevel"/>
    <w:tmpl w:val="3996AB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AB10AF2"/>
    <w:multiLevelType w:val="multilevel"/>
    <w:tmpl w:val="2098AF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E7E55C5"/>
    <w:multiLevelType w:val="hybridMultilevel"/>
    <w:tmpl w:val="644E9E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1DF79C4"/>
    <w:multiLevelType w:val="hybridMultilevel"/>
    <w:tmpl w:val="2BC457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2AA5C60"/>
    <w:multiLevelType w:val="hybridMultilevel"/>
    <w:tmpl w:val="2368972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3463689A"/>
    <w:multiLevelType w:val="hybridMultilevel"/>
    <w:tmpl w:val="37588C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355955F6"/>
    <w:multiLevelType w:val="hybridMultilevel"/>
    <w:tmpl w:val="1136A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921FFD"/>
    <w:multiLevelType w:val="hybridMultilevel"/>
    <w:tmpl w:val="B80AF35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nsid w:val="47AF5819"/>
    <w:multiLevelType w:val="hybridMultilevel"/>
    <w:tmpl w:val="1632DF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5A2F7F79"/>
    <w:multiLevelType w:val="hybridMultilevel"/>
    <w:tmpl w:val="48F09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5D025896"/>
    <w:multiLevelType w:val="hybridMultilevel"/>
    <w:tmpl w:val="85C200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5EE12D32"/>
    <w:multiLevelType w:val="hybridMultilevel"/>
    <w:tmpl w:val="2048D5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65A776A4"/>
    <w:multiLevelType w:val="hybridMultilevel"/>
    <w:tmpl w:val="A0263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8F70898"/>
    <w:multiLevelType w:val="hybridMultilevel"/>
    <w:tmpl w:val="DD963D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74286608"/>
    <w:multiLevelType w:val="multilevel"/>
    <w:tmpl w:val="BC5465C6"/>
    <w:lvl w:ilvl="0">
      <w:start w:val="1"/>
      <w:numFmt w:val="decimal"/>
      <w:lvlText w:val="%1."/>
      <w:lvlJc w:val="left"/>
      <w:pPr>
        <w:ind w:left="360" w:hanging="360"/>
      </w:pPr>
      <w:rPr>
        <w:rFonts w:hint="default"/>
        <w:b/>
        <w:i w:val="0"/>
      </w:rPr>
    </w:lvl>
    <w:lvl w:ilvl="1">
      <w:start w:val="1"/>
      <w:numFmt w:val="decimal"/>
      <w:lvlText w:val="%1.%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nsid w:val="745E1768"/>
    <w:multiLevelType w:val="hybridMultilevel"/>
    <w:tmpl w:val="294CAA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76987AC0"/>
    <w:multiLevelType w:val="hybridMultilevel"/>
    <w:tmpl w:val="E592B0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77D0494E"/>
    <w:multiLevelType w:val="hybridMultilevel"/>
    <w:tmpl w:val="D2C42F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7E1B29F7"/>
    <w:multiLevelType w:val="hybridMultilevel"/>
    <w:tmpl w:val="15884C98"/>
    <w:lvl w:ilvl="0" w:tplc="E410B8E0">
      <w:start w:val="5"/>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7E6E1248"/>
    <w:multiLevelType w:val="hybridMultilevel"/>
    <w:tmpl w:val="68F4D8CC"/>
    <w:lvl w:ilvl="0" w:tplc="0809000F">
      <w:start w:val="1"/>
      <w:numFmt w:val="decimal"/>
      <w:lvlText w:val="%1."/>
      <w:lvlJc w:val="left"/>
      <w:pPr>
        <w:ind w:left="720" w:hanging="360"/>
      </w:pPr>
    </w:lvl>
    <w:lvl w:ilvl="1" w:tplc="70EA5430">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0"/>
  </w:num>
  <w:num w:numId="3">
    <w:abstractNumId w:val="5"/>
  </w:num>
  <w:num w:numId="4">
    <w:abstractNumId w:val="22"/>
  </w:num>
  <w:num w:numId="5">
    <w:abstractNumId w:val="12"/>
  </w:num>
  <w:num w:numId="6">
    <w:abstractNumId w:val="16"/>
  </w:num>
  <w:num w:numId="7">
    <w:abstractNumId w:val="27"/>
  </w:num>
  <w:num w:numId="8">
    <w:abstractNumId w:val="18"/>
  </w:num>
  <w:num w:numId="9">
    <w:abstractNumId w:val="2"/>
  </w:num>
  <w:num w:numId="10">
    <w:abstractNumId w:val="13"/>
  </w:num>
  <w:num w:numId="11">
    <w:abstractNumId w:val="3"/>
  </w:num>
  <w:num w:numId="12">
    <w:abstractNumId w:val="26"/>
  </w:num>
  <w:num w:numId="13">
    <w:abstractNumId w:val="21"/>
  </w:num>
  <w:num w:numId="14">
    <w:abstractNumId w:val="8"/>
  </w:num>
  <w:num w:numId="15">
    <w:abstractNumId w:val="10"/>
  </w:num>
  <w:num w:numId="16">
    <w:abstractNumId w:val="15"/>
  </w:num>
  <w:num w:numId="17">
    <w:abstractNumId w:val="25"/>
  </w:num>
  <w:num w:numId="18">
    <w:abstractNumId w:val="24"/>
  </w:num>
  <w:num w:numId="19">
    <w:abstractNumId w:val="17"/>
  </w:num>
  <w:num w:numId="20">
    <w:abstractNumId w:val="14"/>
  </w:num>
  <w:num w:numId="21">
    <w:abstractNumId w:val="4"/>
  </w:num>
  <w:num w:numId="22">
    <w:abstractNumId w:val="9"/>
  </w:num>
  <w:num w:numId="23">
    <w:abstractNumId w:val="19"/>
  </w:num>
  <w:num w:numId="24">
    <w:abstractNumId w:val="1"/>
  </w:num>
  <w:num w:numId="25">
    <w:abstractNumId w:val="28"/>
  </w:num>
  <w:num w:numId="26">
    <w:abstractNumId w:val="23"/>
  </w:num>
  <w:num w:numId="27">
    <w:abstractNumId w:val="0"/>
  </w:num>
  <w:num w:numId="28">
    <w:abstractNumId w:val="7"/>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18A"/>
    <w:rsid w:val="00032643"/>
    <w:rsid w:val="000331D8"/>
    <w:rsid w:val="00042997"/>
    <w:rsid w:val="00044B69"/>
    <w:rsid w:val="00050200"/>
    <w:rsid w:val="00056A38"/>
    <w:rsid w:val="000648F6"/>
    <w:rsid w:val="00067F40"/>
    <w:rsid w:val="00071EF5"/>
    <w:rsid w:val="000868D6"/>
    <w:rsid w:val="000873AF"/>
    <w:rsid w:val="000A03D9"/>
    <w:rsid w:val="000B0E55"/>
    <w:rsid w:val="000B77B1"/>
    <w:rsid w:val="000D475D"/>
    <w:rsid w:val="000D7965"/>
    <w:rsid w:val="000E2241"/>
    <w:rsid w:val="000F2E74"/>
    <w:rsid w:val="000F4D02"/>
    <w:rsid w:val="001035E8"/>
    <w:rsid w:val="001036A6"/>
    <w:rsid w:val="001047EA"/>
    <w:rsid w:val="00112F03"/>
    <w:rsid w:val="00120AAA"/>
    <w:rsid w:val="00120AD9"/>
    <w:rsid w:val="00133390"/>
    <w:rsid w:val="00137F7B"/>
    <w:rsid w:val="0015379B"/>
    <w:rsid w:val="00153A3A"/>
    <w:rsid w:val="00153E75"/>
    <w:rsid w:val="0016617F"/>
    <w:rsid w:val="00171DF2"/>
    <w:rsid w:val="0017241F"/>
    <w:rsid w:val="001858C9"/>
    <w:rsid w:val="001915E8"/>
    <w:rsid w:val="00191A1A"/>
    <w:rsid w:val="001A0337"/>
    <w:rsid w:val="001A1E4E"/>
    <w:rsid w:val="001A3AEE"/>
    <w:rsid w:val="001A68EA"/>
    <w:rsid w:val="001C00C1"/>
    <w:rsid w:val="001C191A"/>
    <w:rsid w:val="001C5B90"/>
    <w:rsid w:val="001C6701"/>
    <w:rsid w:val="001D14C5"/>
    <w:rsid w:val="001D4231"/>
    <w:rsid w:val="001E692E"/>
    <w:rsid w:val="002018DD"/>
    <w:rsid w:val="0020284E"/>
    <w:rsid w:val="0020596F"/>
    <w:rsid w:val="00211C6B"/>
    <w:rsid w:val="0021302B"/>
    <w:rsid w:val="00217EDC"/>
    <w:rsid w:val="00240FAA"/>
    <w:rsid w:val="00242149"/>
    <w:rsid w:val="00254DDA"/>
    <w:rsid w:val="002603BB"/>
    <w:rsid w:val="002610EC"/>
    <w:rsid w:val="002642E8"/>
    <w:rsid w:val="00274737"/>
    <w:rsid w:val="00274829"/>
    <w:rsid w:val="002756DD"/>
    <w:rsid w:val="00285B9E"/>
    <w:rsid w:val="00297D0A"/>
    <w:rsid w:val="002B089F"/>
    <w:rsid w:val="002B1943"/>
    <w:rsid w:val="002B27C6"/>
    <w:rsid w:val="002C6BB6"/>
    <w:rsid w:val="002D0B55"/>
    <w:rsid w:val="002E05D0"/>
    <w:rsid w:val="002F42E1"/>
    <w:rsid w:val="002F45FC"/>
    <w:rsid w:val="002F6324"/>
    <w:rsid w:val="0030093E"/>
    <w:rsid w:val="00300EB9"/>
    <w:rsid w:val="00331D01"/>
    <w:rsid w:val="00332304"/>
    <w:rsid w:val="00344C21"/>
    <w:rsid w:val="00345017"/>
    <w:rsid w:val="003511AD"/>
    <w:rsid w:val="00352177"/>
    <w:rsid w:val="00355ABB"/>
    <w:rsid w:val="00372012"/>
    <w:rsid w:val="0037455A"/>
    <w:rsid w:val="00374C5D"/>
    <w:rsid w:val="0037624D"/>
    <w:rsid w:val="00376BAA"/>
    <w:rsid w:val="0038240F"/>
    <w:rsid w:val="00383012"/>
    <w:rsid w:val="00392CC3"/>
    <w:rsid w:val="0039337B"/>
    <w:rsid w:val="003B4C74"/>
    <w:rsid w:val="003C5670"/>
    <w:rsid w:val="003C7657"/>
    <w:rsid w:val="003D4BD1"/>
    <w:rsid w:val="003D70BB"/>
    <w:rsid w:val="003F0FB4"/>
    <w:rsid w:val="003F6A9C"/>
    <w:rsid w:val="004049CA"/>
    <w:rsid w:val="00406F60"/>
    <w:rsid w:val="00407AE0"/>
    <w:rsid w:val="00411EBA"/>
    <w:rsid w:val="004127BA"/>
    <w:rsid w:val="004127BD"/>
    <w:rsid w:val="00412A1F"/>
    <w:rsid w:val="004140F5"/>
    <w:rsid w:val="00420401"/>
    <w:rsid w:val="00431169"/>
    <w:rsid w:val="004362B0"/>
    <w:rsid w:val="00437726"/>
    <w:rsid w:val="004457BB"/>
    <w:rsid w:val="004470C8"/>
    <w:rsid w:val="004523B7"/>
    <w:rsid w:val="00455B77"/>
    <w:rsid w:val="00465A3F"/>
    <w:rsid w:val="00467348"/>
    <w:rsid w:val="00481717"/>
    <w:rsid w:val="004A4CD4"/>
    <w:rsid w:val="004A56F7"/>
    <w:rsid w:val="004C2E96"/>
    <w:rsid w:val="004C52C4"/>
    <w:rsid w:val="004D0CE6"/>
    <w:rsid w:val="004D1F38"/>
    <w:rsid w:val="004D49C5"/>
    <w:rsid w:val="004D6B2E"/>
    <w:rsid w:val="004E2017"/>
    <w:rsid w:val="00504D29"/>
    <w:rsid w:val="00516276"/>
    <w:rsid w:val="00517E13"/>
    <w:rsid w:val="00520B5B"/>
    <w:rsid w:val="005211DC"/>
    <w:rsid w:val="0052251F"/>
    <w:rsid w:val="00522819"/>
    <w:rsid w:val="005436A5"/>
    <w:rsid w:val="005437D1"/>
    <w:rsid w:val="00544F5B"/>
    <w:rsid w:val="00554215"/>
    <w:rsid w:val="005621E1"/>
    <w:rsid w:val="00567A5B"/>
    <w:rsid w:val="005929B8"/>
    <w:rsid w:val="005A2993"/>
    <w:rsid w:val="005C0593"/>
    <w:rsid w:val="005C1B98"/>
    <w:rsid w:val="005C72F9"/>
    <w:rsid w:val="005D4B2A"/>
    <w:rsid w:val="005D6F62"/>
    <w:rsid w:val="005D749A"/>
    <w:rsid w:val="005E3A7E"/>
    <w:rsid w:val="005F593A"/>
    <w:rsid w:val="00603AE2"/>
    <w:rsid w:val="006100B5"/>
    <w:rsid w:val="00610FC1"/>
    <w:rsid w:val="00612FFA"/>
    <w:rsid w:val="00616C84"/>
    <w:rsid w:val="00625905"/>
    <w:rsid w:val="00630E9F"/>
    <w:rsid w:val="00631BBD"/>
    <w:rsid w:val="006322C1"/>
    <w:rsid w:val="006347E6"/>
    <w:rsid w:val="006509AF"/>
    <w:rsid w:val="00651D3E"/>
    <w:rsid w:val="00655B9E"/>
    <w:rsid w:val="006628BF"/>
    <w:rsid w:val="00663927"/>
    <w:rsid w:val="00670FFE"/>
    <w:rsid w:val="0067193A"/>
    <w:rsid w:val="00676145"/>
    <w:rsid w:val="0067745C"/>
    <w:rsid w:val="00686993"/>
    <w:rsid w:val="00690B18"/>
    <w:rsid w:val="00690B30"/>
    <w:rsid w:val="006935CE"/>
    <w:rsid w:val="00695D43"/>
    <w:rsid w:val="006A389A"/>
    <w:rsid w:val="006A4557"/>
    <w:rsid w:val="006B1418"/>
    <w:rsid w:val="006B43E3"/>
    <w:rsid w:val="006C2857"/>
    <w:rsid w:val="006C28DC"/>
    <w:rsid w:val="006C3C30"/>
    <w:rsid w:val="006E177E"/>
    <w:rsid w:val="006E446D"/>
    <w:rsid w:val="006F11AC"/>
    <w:rsid w:val="006F635C"/>
    <w:rsid w:val="007026FB"/>
    <w:rsid w:val="00711D37"/>
    <w:rsid w:val="007230F0"/>
    <w:rsid w:val="007254E6"/>
    <w:rsid w:val="00734EDC"/>
    <w:rsid w:val="00737E40"/>
    <w:rsid w:val="007402D1"/>
    <w:rsid w:val="007422D1"/>
    <w:rsid w:val="00743892"/>
    <w:rsid w:val="00754255"/>
    <w:rsid w:val="00763E0A"/>
    <w:rsid w:val="00767CD1"/>
    <w:rsid w:val="00772FEA"/>
    <w:rsid w:val="00774C00"/>
    <w:rsid w:val="00785CEC"/>
    <w:rsid w:val="00786EBC"/>
    <w:rsid w:val="00790208"/>
    <w:rsid w:val="00792887"/>
    <w:rsid w:val="00792F20"/>
    <w:rsid w:val="00793FD6"/>
    <w:rsid w:val="00797D9D"/>
    <w:rsid w:val="007A3488"/>
    <w:rsid w:val="007A6F85"/>
    <w:rsid w:val="007C69C6"/>
    <w:rsid w:val="007D0E73"/>
    <w:rsid w:val="007E1A65"/>
    <w:rsid w:val="007E5CC3"/>
    <w:rsid w:val="007E6C89"/>
    <w:rsid w:val="008117E7"/>
    <w:rsid w:val="008147C5"/>
    <w:rsid w:val="00816BDA"/>
    <w:rsid w:val="0082076C"/>
    <w:rsid w:val="008508BA"/>
    <w:rsid w:val="00855589"/>
    <w:rsid w:val="00860FDB"/>
    <w:rsid w:val="00862C6B"/>
    <w:rsid w:val="00863DF1"/>
    <w:rsid w:val="00865E4D"/>
    <w:rsid w:val="008775D3"/>
    <w:rsid w:val="008777EA"/>
    <w:rsid w:val="008869CA"/>
    <w:rsid w:val="008876A0"/>
    <w:rsid w:val="008934FC"/>
    <w:rsid w:val="008A4194"/>
    <w:rsid w:val="008A5D3A"/>
    <w:rsid w:val="008A6A1E"/>
    <w:rsid w:val="008B5F24"/>
    <w:rsid w:val="008D031A"/>
    <w:rsid w:val="008D0539"/>
    <w:rsid w:val="008F0A0A"/>
    <w:rsid w:val="00901241"/>
    <w:rsid w:val="0090487E"/>
    <w:rsid w:val="00913562"/>
    <w:rsid w:val="009167DE"/>
    <w:rsid w:val="0092047B"/>
    <w:rsid w:val="00934FB1"/>
    <w:rsid w:val="009369E1"/>
    <w:rsid w:val="0095163D"/>
    <w:rsid w:val="00952AD2"/>
    <w:rsid w:val="009650F1"/>
    <w:rsid w:val="0098261E"/>
    <w:rsid w:val="00984F31"/>
    <w:rsid w:val="009875AE"/>
    <w:rsid w:val="00994266"/>
    <w:rsid w:val="00994880"/>
    <w:rsid w:val="00996650"/>
    <w:rsid w:val="009A3ED2"/>
    <w:rsid w:val="009A5352"/>
    <w:rsid w:val="009B395E"/>
    <w:rsid w:val="009D0505"/>
    <w:rsid w:val="009D2306"/>
    <w:rsid w:val="009D5DE6"/>
    <w:rsid w:val="009E59E2"/>
    <w:rsid w:val="009E6D8F"/>
    <w:rsid w:val="009F3689"/>
    <w:rsid w:val="00A206EF"/>
    <w:rsid w:val="00A20F12"/>
    <w:rsid w:val="00A24E4E"/>
    <w:rsid w:val="00A317AA"/>
    <w:rsid w:val="00A41565"/>
    <w:rsid w:val="00A43715"/>
    <w:rsid w:val="00A473C3"/>
    <w:rsid w:val="00A65D1E"/>
    <w:rsid w:val="00A751EF"/>
    <w:rsid w:val="00A8285C"/>
    <w:rsid w:val="00A872CB"/>
    <w:rsid w:val="00A96CAF"/>
    <w:rsid w:val="00A97D95"/>
    <w:rsid w:val="00AA3492"/>
    <w:rsid w:val="00AB3565"/>
    <w:rsid w:val="00AB7F59"/>
    <w:rsid w:val="00AD378F"/>
    <w:rsid w:val="00AD6FC2"/>
    <w:rsid w:val="00AE0484"/>
    <w:rsid w:val="00AE0F8E"/>
    <w:rsid w:val="00AE2DBC"/>
    <w:rsid w:val="00AF0EBB"/>
    <w:rsid w:val="00B056E5"/>
    <w:rsid w:val="00B11110"/>
    <w:rsid w:val="00B33E8B"/>
    <w:rsid w:val="00B34C1B"/>
    <w:rsid w:val="00B34CDC"/>
    <w:rsid w:val="00B3630D"/>
    <w:rsid w:val="00B4328E"/>
    <w:rsid w:val="00B746E8"/>
    <w:rsid w:val="00B82ABA"/>
    <w:rsid w:val="00B908C0"/>
    <w:rsid w:val="00BA5A7B"/>
    <w:rsid w:val="00BB323C"/>
    <w:rsid w:val="00BB60FB"/>
    <w:rsid w:val="00BC5AD9"/>
    <w:rsid w:val="00BD1FB3"/>
    <w:rsid w:val="00BD5DD2"/>
    <w:rsid w:val="00BE2447"/>
    <w:rsid w:val="00BE39C5"/>
    <w:rsid w:val="00BE4C76"/>
    <w:rsid w:val="00BE4C93"/>
    <w:rsid w:val="00BE5483"/>
    <w:rsid w:val="00C0210E"/>
    <w:rsid w:val="00C0723B"/>
    <w:rsid w:val="00C13ED7"/>
    <w:rsid w:val="00C14E73"/>
    <w:rsid w:val="00C258F4"/>
    <w:rsid w:val="00C32546"/>
    <w:rsid w:val="00C33478"/>
    <w:rsid w:val="00C33FFC"/>
    <w:rsid w:val="00C45B47"/>
    <w:rsid w:val="00C46E6D"/>
    <w:rsid w:val="00C53DF9"/>
    <w:rsid w:val="00C5488C"/>
    <w:rsid w:val="00C55E31"/>
    <w:rsid w:val="00C560E1"/>
    <w:rsid w:val="00C644C8"/>
    <w:rsid w:val="00C67EE6"/>
    <w:rsid w:val="00C70EFC"/>
    <w:rsid w:val="00C77CF7"/>
    <w:rsid w:val="00C81054"/>
    <w:rsid w:val="00C935C3"/>
    <w:rsid w:val="00CA08C2"/>
    <w:rsid w:val="00CB7DC6"/>
    <w:rsid w:val="00CC44F8"/>
    <w:rsid w:val="00CD24C1"/>
    <w:rsid w:val="00CD618A"/>
    <w:rsid w:val="00CE02E5"/>
    <w:rsid w:val="00CF48C6"/>
    <w:rsid w:val="00CF5906"/>
    <w:rsid w:val="00CF671F"/>
    <w:rsid w:val="00D018C1"/>
    <w:rsid w:val="00D02B79"/>
    <w:rsid w:val="00D03005"/>
    <w:rsid w:val="00D05038"/>
    <w:rsid w:val="00D054BE"/>
    <w:rsid w:val="00D13DA0"/>
    <w:rsid w:val="00D1458C"/>
    <w:rsid w:val="00D15F3C"/>
    <w:rsid w:val="00D374A6"/>
    <w:rsid w:val="00D41EA5"/>
    <w:rsid w:val="00D427B6"/>
    <w:rsid w:val="00D517D4"/>
    <w:rsid w:val="00D5520D"/>
    <w:rsid w:val="00D55CAE"/>
    <w:rsid w:val="00D56E8B"/>
    <w:rsid w:val="00D73061"/>
    <w:rsid w:val="00D864B9"/>
    <w:rsid w:val="00DA0959"/>
    <w:rsid w:val="00DA10C4"/>
    <w:rsid w:val="00DB0A1C"/>
    <w:rsid w:val="00DB773C"/>
    <w:rsid w:val="00DD1BAB"/>
    <w:rsid w:val="00DD1BD0"/>
    <w:rsid w:val="00DE46BD"/>
    <w:rsid w:val="00DE7119"/>
    <w:rsid w:val="00DF3C9A"/>
    <w:rsid w:val="00E238FD"/>
    <w:rsid w:val="00E24E7C"/>
    <w:rsid w:val="00E424CE"/>
    <w:rsid w:val="00E451AA"/>
    <w:rsid w:val="00E45BF3"/>
    <w:rsid w:val="00E4632E"/>
    <w:rsid w:val="00E5571D"/>
    <w:rsid w:val="00E57292"/>
    <w:rsid w:val="00E610B1"/>
    <w:rsid w:val="00E67CC9"/>
    <w:rsid w:val="00E76FDB"/>
    <w:rsid w:val="00E77449"/>
    <w:rsid w:val="00E80D54"/>
    <w:rsid w:val="00E83B6A"/>
    <w:rsid w:val="00E86615"/>
    <w:rsid w:val="00E91548"/>
    <w:rsid w:val="00EA6EFE"/>
    <w:rsid w:val="00EB0362"/>
    <w:rsid w:val="00EC657A"/>
    <w:rsid w:val="00EC69D2"/>
    <w:rsid w:val="00EC70E3"/>
    <w:rsid w:val="00ED013C"/>
    <w:rsid w:val="00ED37CC"/>
    <w:rsid w:val="00ED7ED8"/>
    <w:rsid w:val="00EE1418"/>
    <w:rsid w:val="00EE3AB3"/>
    <w:rsid w:val="00EE5316"/>
    <w:rsid w:val="00EF30F0"/>
    <w:rsid w:val="00F058CD"/>
    <w:rsid w:val="00F06167"/>
    <w:rsid w:val="00F100C1"/>
    <w:rsid w:val="00F16AC7"/>
    <w:rsid w:val="00F22D78"/>
    <w:rsid w:val="00F278F8"/>
    <w:rsid w:val="00F37BC9"/>
    <w:rsid w:val="00F37FD5"/>
    <w:rsid w:val="00F42AB3"/>
    <w:rsid w:val="00F42E4F"/>
    <w:rsid w:val="00F516D4"/>
    <w:rsid w:val="00F538A4"/>
    <w:rsid w:val="00F53E9A"/>
    <w:rsid w:val="00F5559F"/>
    <w:rsid w:val="00F56787"/>
    <w:rsid w:val="00F678BA"/>
    <w:rsid w:val="00F67960"/>
    <w:rsid w:val="00F87BCF"/>
    <w:rsid w:val="00F944A2"/>
    <w:rsid w:val="00FA4687"/>
    <w:rsid w:val="00FA7CD5"/>
    <w:rsid w:val="00FC5148"/>
    <w:rsid w:val="00FD2BCF"/>
    <w:rsid w:val="00FF3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618A"/>
    <w:rPr>
      <w:rFonts w:ascii="Arial" w:hAnsi="Arial"/>
      <w:sz w:val="22"/>
      <w:szCs w:val="22"/>
    </w:rPr>
  </w:style>
  <w:style w:type="paragraph" w:styleId="Heading2">
    <w:name w:val="heading 2"/>
    <w:basedOn w:val="Normal"/>
    <w:next w:val="Normal"/>
    <w:qFormat/>
    <w:rsid w:val="00CD618A"/>
    <w:pPr>
      <w:keepNext/>
      <w:jc w:val="center"/>
      <w:outlineLvl w:val="1"/>
    </w:pPr>
    <w:rPr>
      <w:rFonts w:cs="Arial"/>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618A"/>
    <w:pPr>
      <w:tabs>
        <w:tab w:val="center" w:pos="4153"/>
        <w:tab w:val="right" w:pos="8306"/>
      </w:tabs>
    </w:pPr>
    <w:rPr>
      <w:rFonts w:cs="Arial"/>
      <w:szCs w:val="24"/>
      <w:lang w:eastAsia="en-US"/>
    </w:rPr>
  </w:style>
  <w:style w:type="paragraph" w:styleId="Footer">
    <w:name w:val="footer"/>
    <w:basedOn w:val="Normal"/>
    <w:rsid w:val="00631BBD"/>
    <w:pPr>
      <w:tabs>
        <w:tab w:val="center" w:pos="4320"/>
        <w:tab w:val="right" w:pos="8640"/>
      </w:tabs>
    </w:pPr>
  </w:style>
  <w:style w:type="paragraph" w:styleId="BalloonText">
    <w:name w:val="Balloon Text"/>
    <w:basedOn w:val="Normal"/>
    <w:semiHidden/>
    <w:rsid w:val="004C52C4"/>
    <w:rPr>
      <w:rFonts w:ascii="Tahoma" w:hAnsi="Tahoma" w:cs="Tahoma"/>
      <w:sz w:val="16"/>
      <w:szCs w:val="16"/>
    </w:rPr>
  </w:style>
  <w:style w:type="character" w:styleId="PageNumber">
    <w:name w:val="page number"/>
    <w:basedOn w:val="DefaultParagraphFont"/>
    <w:rsid w:val="00D13DA0"/>
  </w:style>
  <w:style w:type="paragraph" w:customStyle="1" w:styleId="DeptOutNumbered">
    <w:name w:val="DeptOutNumbered"/>
    <w:basedOn w:val="Normal"/>
    <w:rsid w:val="00C45B47"/>
    <w:pPr>
      <w:numPr>
        <w:numId w:val="1"/>
      </w:numPr>
      <w:overflowPunct w:val="0"/>
      <w:autoSpaceDE w:val="0"/>
      <w:autoSpaceDN w:val="0"/>
      <w:adjustRightInd w:val="0"/>
      <w:spacing w:after="240"/>
      <w:textAlignment w:val="baseline"/>
    </w:pPr>
    <w:rPr>
      <w:sz w:val="24"/>
      <w:szCs w:val="20"/>
      <w:lang w:eastAsia="en-US"/>
    </w:rPr>
  </w:style>
  <w:style w:type="table" w:styleId="TableGrid">
    <w:name w:val="Table Grid"/>
    <w:basedOn w:val="TableNormal"/>
    <w:rsid w:val="00877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1F38"/>
    <w:pPr>
      <w:ind w:left="720"/>
    </w:pPr>
  </w:style>
  <w:style w:type="paragraph" w:customStyle="1" w:styleId="Default">
    <w:name w:val="Default"/>
    <w:rsid w:val="005D4B2A"/>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618A"/>
    <w:rPr>
      <w:rFonts w:ascii="Arial" w:hAnsi="Arial"/>
      <w:sz w:val="22"/>
      <w:szCs w:val="22"/>
    </w:rPr>
  </w:style>
  <w:style w:type="paragraph" w:styleId="Heading2">
    <w:name w:val="heading 2"/>
    <w:basedOn w:val="Normal"/>
    <w:next w:val="Normal"/>
    <w:qFormat/>
    <w:rsid w:val="00CD618A"/>
    <w:pPr>
      <w:keepNext/>
      <w:jc w:val="center"/>
      <w:outlineLvl w:val="1"/>
    </w:pPr>
    <w:rPr>
      <w:rFonts w:cs="Arial"/>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618A"/>
    <w:pPr>
      <w:tabs>
        <w:tab w:val="center" w:pos="4153"/>
        <w:tab w:val="right" w:pos="8306"/>
      </w:tabs>
    </w:pPr>
    <w:rPr>
      <w:rFonts w:cs="Arial"/>
      <w:szCs w:val="24"/>
      <w:lang w:eastAsia="en-US"/>
    </w:rPr>
  </w:style>
  <w:style w:type="paragraph" w:styleId="Footer">
    <w:name w:val="footer"/>
    <w:basedOn w:val="Normal"/>
    <w:rsid w:val="00631BBD"/>
    <w:pPr>
      <w:tabs>
        <w:tab w:val="center" w:pos="4320"/>
        <w:tab w:val="right" w:pos="8640"/>
      </w:tabs>
    </w:pPr>
  </w:style>
  <w:style w:type="paragraph" w:styleId="BalloonText">
    <w:name w:val="Balloon Text"/>
    <w:basedOn w:val="Normal"/>
    <w:semiHidden/>
    <w:rsid w:val="004C52C4"/>
    <w:rPr>
      <w:rFonts w:ascii="Tahoma" w:hAnsi="Tahoma" w:cs="Tahoma"/>
      <w:sz w:val="16"/>
      <w:szCs w:val="16"/>
    </w:rPr>
  </w:style>
  <w:style w:type="character" w:styleId="PageNumber">
    <w:name w:val="page number"/>
    <w:basedOn w:val="DefaultParagraphFont"/>
    <w:rsid w:val="00D13DA0"/>
  </w:style>
  <w:style w:type="paragraph" w:customStyle="1" w:styleId="DeptOutNumbered">
    <w:name w:val="DeptOutNumbered"/>
    <w:basedOn w:val="Normal"/>
    <w:rsid w:val="00C45B47"/>
    <w:pPr>
      <w:numPr>
        <w:numId w:val="1"/>
      </w:numPr>
      <w:overflowPunct w:val="0"/>
      <w:autoSpaceDE w:val="0"/>
      <w:autoSpaceDN w:val="0"/>
      <w:adjustRightInd w:val="0"/>
      <w:spacing w:after="240"/>
      <w:textAlignment w:val="baseline"/>
    </w:pPr>
    <w:rPr>
      <w:sz w:val="24"/>
      <w:szCs w:val="20"/>
      <w:lang w:eastAsia="en-US"/>
    </w:rPr>
  </w:style>
  <w:style w:type="table" w:styleId="TableGrid">
    <w:name w:val="Table Grid"/>
    <w:basedOn w:val="TableNormal"/>
    <w:rsid w:val="00877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1F38"/>
    <w:pPr>
      <w:ind w:left="720"/>
    </w:pPr>
  </w:style>
  <w:style w:type="paragraph" w:customStyle="1" w:styleId="Default">
    <w:name w:val="Default"/>
    <w:rsid w:val="005D4B2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628518">
      <w:bodyDiv w:val="1"/>
      <w:marLeft w:val="0"/>
      <w:marRight w:val="0"/>
      <w:marTop w:val="0"/>
      <w:marBottom w:val="0"/>
      <w:divBdr>
        <w:top w:val="none" w:sz="0" w:space="0" w:color="auto"/>
        <w:left w:val="none" w:sz="0" w:space="0" w:color="auto"/>
        <w:bottom w:val="none" w:sz="0" w:space="0" w:color="auto"/>
        <w:right w:val="none" w:sz="0" w:space="0" w:color="auto"/>
      </w:divBdr>
    </w:div>
    <w:div w:id="213085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D0450-F0C1-4D89-A72B-C1498F7BF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Northumberland County Council</dc:creator>
  <cp:lastModifiedBy>Papaioannou, Linda</cp:lastModifiedBy>
  <cp:revision>2</cp:revision>
  <cp:lastPrinted>2014-01-02T12:22:00Z</cp:lastPrinted>
  <dcterms:created xsi:type="dcterms:W3CDTF">2016-06-20T12:20:00Z</dcterms:created>
  <dcterms:modified xsi:type="dcterms:W3CDTF">2016-06-20T12:20:00Z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