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8A" w:rsidRDefault="00D018C1" w:rsidP="00BB60FB">
      <w:pPr>
        <w:jc w:val="center"/>
      </w:pPr>
      <w:r>
        <w:rPr>
          <w:noProof/>
        </w:rPr>
        <w:drawing>
          <wp:inline distT="0" distB="0" distL="0" distR="0">
            <wp:extent cx="2857500" cy="581025"/>
            <wp:effectExtent l="0" t="0" r="0" b="0"/>
            <wp:docPr id="1" name="Picture 1" descr="logo_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CD618A" w:rsidRDefault="00CD618A" w:rsidP="00BB60FB">
      <w:pPr>
        <w:jc w:val="center"/>
      </w:pPr>
    </w:p>
    <w:tbl>
      <w:tblPr>
        <w:tblW w:w="5000" w:type="pct"/>
        <w:tblLook w:val="0000" w:firstRow="0" w:lastRow="0" w:firstColumn="0" w:lastColumn="0" w:noHBand="0" w:noVBand="0"/>
      </w:tblPr>
      <w:tblGrid>
        <w:gridCol w:w="2265"/>
        <w:gridCol w:w="4772"/>
        <w:gridCol w:w="2208"/>
      </w:tblGrid>
      <w:tr w:rsidR="00CD618A">
        <w:tc>
          <w:tcPr>
            <w:tcW w:w="1225" w:type="pct"/>
          </w:tcPr>
          <w:p w:rsidR="00CD618A" w:rsidRDefault="00CD618A" w:rsidP="00BB60FB">
            <w:pPr>
              <w:pStyle w:val="Header"/>
              <w:jc w:val="center"/>
            </w:pPr>
          </w:p>
        </w:tc>
        <w:tc>
          <w:tcPr>
            <w:tcW w:w="2581" w:type="pct"/>
            <w:tcBorders>
              <w:bottom w:val="single" w:sz="4" w:space="0" w:color="auto"/>
            </w:tcBorders>
          </w:tcPr>
          <w:p w:rsidR="00CD618A" w:rsidRPr="009D0A00" w:rsidRDefault="008934FC" w:rsidP="00BB60FB">
            <w:pPr>
              <w:jc w:val="center"/>
              <w:rPr>
                <w:b/>
                <w:bCs/>
                <w:sz w:val="24"/>
              </w:rPr>
            </w:pPr>
            <w:r>
              <w:rPr>
                <w:b/>
                <w:sz w:val="24"/>
              </w:rPr>
              <w:t>Education and Skills</w:t>
            </w:r>
          </w:p>
        </w:tc>
        <w:tc>
          <w:tcPr>
            <w:tcW w:w="1195" w:type="pct"/>
          </w:tcPr>
          <w:p w:rsidR="00CD618A" w:rsidRDefault="00CD618A" w:rsidP="00BB60FB">
            <w:pPr>
              <w:rPr>
                <w:b/>
                <w:bCs/>
              </w:rPr>
            </w:pPr>
          </w:p>
        </w:tc>
      </w:tr>
      <w:tr w:rsidR="00CD618A">
        <w:tc>
          <w:tcPr>
            <w:tcW w:w="1225" w:type="pct"/>
          </w:tcPr>
          <w:p w:rsidR="00CD618A" w:rsidRDefault="00CD618A" w:rsidP="00BB60FB">
            <w:pPr>
              <w:pStyle w:val="Heading2"/>
              <w:keepNext w:val="0"/>
            </w:pPr>
          </w:p>
        </w:tc>
        <w:tc>
          <w:tcPr>
            <w:tcW w:w="2581" w:type="pct"/>
            <w:tcBorders>
              <w:top w:val="single" w:sz="4" w:space="0" w:color="auto"/>
            </w:tcBorders>
          </w:tcPr>
          <w:p w:rsidR="00CD618A" w:rsidRPr="00450580" w:rsidRDefault="00CD618A" w:rsidP="00BB60FB">
            <w:pPr>
              <w:jc w:val="center"/>
              <w:rPr>
                <w:b/>
                <w:bCs/>
              </w:rPr>
            </w:pPr>
          </w:p>
        </w:tc>
        <w:tc>
          <w:tcPr>
            <w:tcW w:w="1195" w:type="pct"/>
          </w:tcPr>
          <w:p w:rsidR="00CD618A" w:rsidRDefault="00CD618A" w:rsidP="00BB60FB">
            <w:pPr>
              <w:rPr>
                <w:b/>
                <w:bCs/>
              </w:rPr>
            </w:pPr>
          </w:p>
        </w:tc>
      </w:tr>
    </w:tbl>
    <w:p w:rsidR="00CD618A" w:rsidRDefault="00CD618A" w:rsidP="00BB60FB">
      <w:pPr>
        <w:rPr>
          <w:b/>
          <w:bCs/>
        </w:rPr>
      </w:pPr>
    </w:p>
    <w:p w:rsidR="00CD618A" w:rsidRPr="006A4A6F" w:rsidRDefault="00CD618A" w:rsidP="00BB60FB">
      <w:pPr>
        <w:jc w:val="center"/>
        <w:rPr>
          <w:b/>
          <w:sz w:val="28"/>
          <w:szCs w:val="28"/>
        </w:rPr>
      </w:pPr>
      <w:r w:rsidRPr="006A4A6F">
        <w:rPr>
          <w:b/>
          <w:sz w:val="28"/>
          <w:szCs w:val="28"/>
        </w:rPr>
        <w:t>SCHOOLS</w:t>
      </w:r>
      <w:r>
        <w:rPr>
          <w:b/>
          <w:sz w:val="28"/>
          <w:szCs w:val="28"/>
        </w:rPr>
        <w:t>’</w:t>
      </w:r>
      <w:r w:rsidRPr="006A4A6F">
        <w:rPr>
          <w:b/>
          <w:sz w:val="28"/>
          <w:szCs w:val="28"/>
        </w:rPr>
        <w:t xml:space="preserve"> FORUM</w:t>
      </w:r>
    </w:p>
    <w:p w:rsidR="00CD618A" w:rsidRPr="006A4A6F" w:rsidRDefault="00CD618A" w:rsidP="00BB60FB">
      <w:pPr>
        <w:jc w:val="center"/>
        <w:rPr>
          <w:b/>
          <w:sz w:val="28"/>
          <w:szCs w:val="28"/>
        </w:rPr>
      </w:pPr>
    </w:p>
    <w:p w:rsidR="00CD618A" w:rsidRPr="006A4A6F" w:rsidRDefault="00EF30F0" w:rsidP="00BB60FB">
      <w:pPr>
        <w:jc w:val="center"/>
        <w:rPr>
          <w:b/>
          <w:sz w:val="28"/>
          <w:szCs w:val="28"/>
        </w:rPr>
      </w:pPr>
      <w:r>
        <w:rPr>
          <w:b/>
          <w:sz w:val="28"/>
          <w:szCs w:val="28"/>
        </w:rPr>
        <w:t>29 June</w:t>
      </w:r>
      <w:r w:rsidR="0039337B">
        <w:rPr>
          <w:b/>
          <w:sz w:val="28"/>
          <w:szCs w:val="28"/>
        </w:rPr>
        <w:t xml:space="preserve"> 201</w:t>
      </w:r>
      <w:r w:rsidR="008934FC">
        <w:rPr>
          <w:b/>
          <w:sz w:val="28"/>
          <w:szCs w:val="28"/>
        </w:rPr>
        <w:t>6</w:t>
      </w:r>
    </w:p>
    <w:p w:rsidR="00CD618A" w:rsidRPr="006A4A6F" w:rsidRDefault="00CD618A" w:rsidP="00BB60FB">
      <w:pPr>
        <w:jc w:val="center"/>
        <w:rPr>
          <w:b/>
          <w:sz w:val="28"/>
          <w:szCs w:val="28"/>
        </w:rPr>
      </w:pPr>
    </w:p>
    <w:p w:rsidR="00CD618A" w:rsidRDefault="00D427B6" w:rsidP="00BB60FB">
      <w:pPr>
        <w:jc w:val="center"/>
        <w:rPr>
          <w:b/>
          <w:sz w:val="28"/>
          <w:szCs w:val="28"/>
        </w:rPr>
      </w:pPr>
      <w:r>
        <w:rPr>
          <w:b/>
          <w:sz w:val="28"/>
          <w:szCs w:val="28"/>
        </w:rPr>
        <w:t>Funding Streams for Education Functions</w:t>
      </w:r>
    </w:p>
    <w:p w:rsidR="00544F5B" w:rsidRDefault="00544F5B" w:rsidP="00BB60FB">
      <w:pPr>
        <w:jc w:val="center"/>
        <w:rPr>
          <w:b/>
          <w:sz w:val="28"/>
          <w:szCs w:val="28"/>
        </w:rPr>
      </w:pPr>
    </w:p>
    <w:p w:rsidR="00544F5B" w:rsidRDefault="00544F5B" w:rsidP="00BB60FB">
      <w:pPr>
        <w:jc w:val="center"/>
        <w:rPr>
          <w:b/>
        </w:rPr>
      </w:pPr>
    </w:p>
    <w:p w:rsidR="00CD618A" w:rsidRPr="009A5352" w:rsidRDefault="00CD618A" w:rsidP="00BB60FB">
      <w:pPr>
        <w:jc w:val="center"/>
        <w:rPr>
          <w:b/>
          <w:sz w:val="12"/>
        </w:rPr>
      </w:pPr>
    </w:p>
    <w:p w:rsidR="00F67960" w:rsidRPr="009A5352" w:rsidRDefault="00F67960" w:rsidP="00BB60FB">
      <w:pPr>
        <w:jc w:val="center"/>
        <w:rPr>
          <w:b/>
          <w:sz w:val="12"/>
        </w:rPr>
      </w:pPr>
    </w:p>
    <w:p w:rsidR="00CD618A" w:rsidRPr="00754550" w:rsidRDefault="00CD618A" w:rsidP="00BB60FB">
      <w:pPr>
        <w:rPr>
          <w:b/>
        </w:rPr>
      </w:pPr>
      <w:r w:rsidRPr="00754550">
        <w:rPr>
          <w:b/>
        </w:rPr>
        <w:t>1.</w:t>
      </w:r>
      <w:r w:rsidRPr="00754550">
        <w:rPr>
          <w:b/>
        </w:rPr>
        <w:tab/>
      </w:r>
      <w:r w:rsidR="00D427B6">
        <w:rPr>
          <w:b/>
        </w:rPr>
        <w:t>Recommendation</w:t>
      </w:r>
    </w:p>
    <w:p w:rsidR="00CD618A" w:rsidRDefault="00CD618A" w:rsidP="00BB60FB">
      <w:pPr>
        <w:ind w:left="720"/>
      </w:pPr>
    </w:p>
    <w:p w:rsidR="00B82ABA" w:rsidRDefault="00862C6B" w:rsidP="00862C6B">
      <w:pPr>
        <w:ind w:left="720" w:hanging="720"/>
      </w:pPr>
      <w:r>
        <w:t>1.1</w:t>
      </w:r>
      <w:r>
        <w:tab/>
      </w:r>
      <w:r w:rsidR="00D427B6">
        <w:t>That the Schools Forum notes the information on the funding streams as conte</w:t>
      </w:r>
      <w:r w:rsidR="00786EBC">
        <w:t>x</w:t>
      </w:r>
      <w:r w:rsidR="00D427B6">
        <w:t>t for the National Funding Formula changes.</w:t>
      </w:r>
    </w:p>
    <w:p w:rsidR="00544F5B" w:rsidRPr="00793397" w:rsidRDefault="00544F5B" w:rsidP="00544F5B">
      <w:pPr>
        <w:pStyle w:val="ListParagraph"/>
        <w:ind w:left="360"/>
      </w:pPr>
    </w:p>
    <w:p w:rsidR="00CD618A" w:rsidRDefault="00CD618A" w:rsidP="00BB60FB">
      <w:pPr>
        <w:ind w:left="720"/>
      </w:pPr>
    </w:p>
    <w:p w:rsidR="00D427B6" w:rsidRDefault="00CD618A" w:rsidP="00D427B6">
      <w:pPr>
        <w:rPr>
          <w:b/>
        </w:rPr>
      </w:pPr>
      <w:r w:rsidRPr="00161899">
        <w:rPr>
          <w:b/>
        </w:rPr>
        <w:t>2.</w:t>
      </w:r>
      <w:r w:rsidRPr="00161899">
        <w:rPr>
          <w:b/>
        </w:rPr>
        <w:tab/>
      </w:r>
      <w:r w:rsidR="00D427B6">
        <w:rPr>
          <w:b/>
        </w:rPr>
        <w:t>Background</w:t>
      </w:r>
    </w:p>
    <w:p w:rsidR="00D427B6" w:rsidRDefault="00D427B6" w:rsidP="00D427B6">
      <w:pPr>
        <w:rPr>
          <w:b/>
        </w:rPr>
      </w:pPr>
    </w:p>
    <w:p w:rsidR="00D427B6" w:rsidRDefault="00D427B6" w:rsidP="00D427B6">
      <w:pPr>
        <w:ind w:left="720" w:hanging="720"/>
      </w:pPr>
      <w:r>
        <w:t xml:space="preserve">2.1 </w:t>
      </w:r>
      <w:r>
        <w:tab/>
        <w:t xml:space="preserve">As noted at previous Forum meetings, the </w:t>
      </w:r>
      <w:r w:rsidR="00786EBC">
        <w:t>local authority (</w:t>
      </w:r>
      <w:r>
        <w:t>LA</w:t>
      </w:r>
      <w:r w:rsidR="00786EBC">
        <w:t>)</w:t>
      </w:r>
      <w:r>
        <w:t xml:space="preserve"> is working with the Forum to undertake a review of Dedicated Schools Grant (DSG) funding.  The Forum requires information on all the funding streams relating to education functions in order to provide some context to the review.</w:t>
      </w:r>
    </w:p>
    <w:p w:rsidR="00D427B6" w:rsidRDefault="00D427B6" w:rsidP="00D427B6">
      <w:pPr>
        <w:ind w:left="720" w:hanging="720"/>
      </w:pPr>
    </w:p>
    <w:p w:rsidR="00D427B6" w:rsidRDefault="00D427B6" w:rsidP="00D427B6">
      <w:pPr>
        <w:ind w:left="720" w:hanging="720"/>
      </w:pPr>
      <w:r>
        <w:t>2.2</w:t>
      </w:r>
      <w:r>
        <w:tab/>
        <w:t xml:space="preserve">The report identifies the funding streams and discusses the functions that are delivered using the funding.  </w:t>
      </w:r>
    </w:p>
    <w:p w:rsidR="00D427B6" w:rsidRDefault="00D427B6" w:rsidP="00D427B6">
      <w:pPr>
        <w:ind w:left="720" w:hanging="720"/>
      </w:pPr>
    </w:p>
    <w:p w:rsidR="00D427B6" w:rsidRDefault="00D427B6" w:rsidP="00D427B6">
      <w:pPr>
        <w:ind w:left="720" w:hanging="720"/>
      </w:pPr>
      <w:r>
        <w:t>2.3</w:t>
      </w:r>
      <w:r>
        <w:tab/>
        <w:t xml:space="preserve">There is a distinction between DSG and the other funding streams that the Council receives for its statutory responsibilities.  DSG is a ring fenced grant and the functions it can be used for are tightly prescribed in regulations.  The Education Services Grant is not ring fenced, and like Council Tax and other government grants that fund the remainder of the education budget, the Council </w:t>
      </w:r>
      <w:r w:rsidR="00786EBC">
        <w:t>has</w:t>
      </w:r>
      <w:r>
        <w:t xml:space="preserve"> discretion over the way in which it spends the funding and the level of service it delivers, as long as it complies with its statutory minimum responsibilities.</w:t>
      </w:r>
    </w:p>
    <w:p w:rsidR="00544F5B" w:rsidRPr="00D427B6" w:rsidRDefault="00544F5B" w:rsidP="00D427B6">
      <w:pPr>
        <w:ind w:left="720" w:hanging="720"/>
      </w:pPr>
    </w:p>
    <w:p w:rsidR="001A0337" w:rsidRDefault="001A0337" w:rsidP="00BB60FB">
      <w:pPr>
        <w:ind w:left="720" w:hanging="720"/>
      </w:pPr>
    </w:p>
    <w:p w:rsidR="001A0337" w:rsidRDefault="001A0337" w:rsidP="00BB60FB">
      <w:pPr>
        <w:ind w:left="720" w:hanging="720"/>
        <w:rPr>
          <w:b/>
        </w:rPr>
      </w:pPr>
      <w:r w:rsidRPr="001A0337">
        <w:rPr>
          <w:b/>
        </w:rPr>
        <w:t>3</w:t>
      </w:r>
      <w:r>
        <w:rPr>
          <w:b/>
        </w:rPr>
        <w:t>.</w:t>
      </w:r>
      <w:r>
        <w:rPr>
          <w:b/>
        </w:rPr>
        <w:tab/>
      </w:r>
      <w:r w:rsidR="00EF30F0">
        <w:rPr>
          <w:b/>
        </w:rPr>
        <w:t>Information</w:t>
      </w:r>
    </w:p>
    <w:p w:rsidR="001A0337" w:rsidRDefault="001A0337" w:rsidP="00BB60FB">
      <w:pPr>
        <w:ind w:left="720" w:hanging="720"/>
        <w:rPr>
          <w:b/>
        </w:rPr>
      </w:pPr>
    </w:p>
    <w:p w:rsidR="001A0337" w:rsidRDefault="00786EBC" w:rsidP="00786EBC">
      <w:pPr>
        <w:ind w:left="720" w:hanging="720"/>
      </w:pPr>
      <w:r w:rsidRPr="00786EBC">
        <w:t>3.1</w:t>
      </w:r>
      <w:r w:rsidRPr="00786EBC">
        <w:tab/>
      </w:r>
      <w:r>
        <w:t>The following table provides a breakdown of the main funding streams received by the LA.  It includes the separate blocks within the DSG. The NQT al</w:t>
      </w:r>
      <w:r w:rsidR="00427111">
        <w:t>location is described as a non-</w:t>
      </w:r>
      <w:r>
        <w:t>block allocation but since</w:t>
      </w:r>
      <w:r w:rsidR="00427111">
        <w:t xml:space="preserve"> this is delegated to schools it</w:t>
      </w:r>
      <w:bookmarkStart w:id="0" w:name="_GoBack"/>
      <w:bookmarkEnd w:id="0"/>
      <w:r>
        <w:t xml:space="preserve"> should be regarded as a Schools Block item.</w:t>
      </w:r>
    </w:p>
    <w:p w:rsidR="00786EBC" w:rsidRDefault="00786EBC" w:rsidP="00786EBC">
      <w:pPr>
        <w:ind w:left="720" w:hanging="720"/>
      </w:pPr>
    </w:p>
    <w:p w:rsidR="00544F5B" w:rsidRDefault="00544F5B" w:rsidP="00786EBC">
      <w:pPr>
        <w:ind w:left="720" w:hanging="720"/>
      </w:pPr>
    </w:p>
    <w:p w:rsidR="00544F5B" w:rsidRDefault="00544F5B" w:rsidP="00786EBC">
      <w:pPr>
        <w:ind w:left="720" w:hanging="720"/>
      </w:pPr>
    </w:p>
    <w:p w:rsidR="00544F5B" w:rsidRDefault="00544F5B" w:rsidP="00786EBC">
      <w:pPr>
        <w:ind w:left="720" w:hanging="720"/>
      </w:pPr>
    </w:p>
    <w:p w:rsidR="00544F5B" w:rsidRDefault="00544F5B" w:rsidP="00786EBC">
      <w:pPr>
        <w:ind w:left="720" w:hanging="720"/>
      </w:pPr>
    </w:p>
    <w:p w:rsidR="00544F5B" w:rsidRDefault="00544F5B" w:rsidP="00786EBC">
      <w:pPr>
        <w:ind w:left="720" w:hanging="720"/>
      </w:pPr>
    </w:p>
    <w:p w:rsidR="00544F5B" w:rsidRDefault="00544F5B" w:rsidP="00786EBC">
      <w:pPr>
        <w:ind w:left="720" w:hanging="720"/>
      </w:pPr>
    </w:p>
    <w:p w:rsidR="00786EBC" w:rsidRPr="00786EBC" w:rsidRDefault="00786EBC" w:rsidP="00786EBC">
      <w:pPr>
        <w:ind w:left="720" w:hanging="720"/>
      </w:pPr>
      <w:r>
        <w:tab/>
      </w:r>
    </w:p>
    <w:tbl>
      <w:tblPr>
        <w:tblStyle w:val="TableGrid"/>
        <w:tblW w:w="4575" w:type="pct"/>
        <w:tblInd w:w="720" w:type="dxa"/>
        <w:tblLook w:val="04A0" w:firstRow="1" w:lastRow="0" w:firstColumn="1" w:lastColumn="0" w:noHBand="0" w:noVBand="1"/>
      </w:tblPr>
      <w:tblGrid>
        <w:gridCol w:w="1207"/>
        <w:gridCol w:w="1204"/>
        <w:gridCol w:w="1208"/>
        <w:gridCol w:w="1206"/>
        <w:gridCol w:w="1208"/>
        <w:gridCol w:w="1206"/>
        <w:gridCol w:w="1220"/>
      </w:tblGrid>
      <w:tr w:rsidR="00786EBC" w:rsidTr="00786EBC">
        <w:tc>
          <w:tcPr>
            <w:tcW w:w="5000" w:type="pct"/>
            <w:gridSpan w:val="7"/>
          </w:tcPr>
          <w:p w:rsidR="00786EBC" w:rsidRDefault="00786EBC" w:rsidP="00544F5B">
            <w:pPr>
              <w:jc w:val="center"/>
            </w:pPr>
            <w:r>
              <w:lastRenderedPageBreak/>
              <w:t>Table 1: Provisional Funding Streams 2016/17</w:t>
            </w:r>
          </w:p>
        </w:tc>
      </w:tr>
      <w:tr w:rsidR="00544F5B" w:rsidTr="00544F5B">
        <w:tc>
          <w:tcPr>
            <w:tcW w:w="713" w:type="pct"/>
          </w:tcPr>
          <w:p w:rsidR="00786EBC" w:rsidRDefault="00544F5B" w:rsidP="00544F5B">
            <w:pPr>
              <w:jc w:val="center"/>
            </w:pPr>
            <w:r>
              <w:t>Dedicated Schools Grant</w:t>
            </w:r>
          </w:p>
        </w:tc>
        <w:tc>
          <w:tcPr>
            <w:tcW w:w="712" w:type="pct"/>
          </w:tcPr>
          <w:p w:rsidR="00786EBC" w:rsidRDefault="00544F5B" w:rsidP="00544F5B">
            <w:pPr>
              <w:jc w:val="center"/>
            </w:pPr>
            <w:r>
              <w:t>Original  £m</w:t>
            </w:r>
          </w:p>
        </w:tc>
        <w:tc>
          <w:tcPr>
            <w:tcW w:w="714" w:type="pct"/>
          </w:tcPr>
          <w:p w:rsidR="00786EBC" w:rsidRDefault="00544F5B" w:rsidP="00544F5B">
            <w:pPr>
              <w:jc w:val="center"/>
            </w:pPr>
            <w:proofErr w:type="spellStart"/>
            <w:r>
              <w:t>Adj</w:t>
            </w:r>
            <w:proofErr w:type="spellEnd"/>
            <w:r>
              <w:t xml:space="preserve">         £m</w:t>
            </w:r>
          </w:p>
        </w:tc>
        <w:tc>
          <w:tcPr>
            <w:tcW w:w="713" w:type="pct"/>
          </w:tcPr>
          <w:p w:rsidR="00786EBC" w:rsidRDefault="00544F5B" w:rsidP="00544F5B">
            <w:pPr>
              <w:jc w:val="center"/>
            </w:pPr>
            <w:r>
              <w:t>EFA         £m</w:t>
            </w:r>
          </w:p>
        </w:tc>
        <w:tc>
          <w:tcPr>
            <w:tcW w:w="714" w:type="pct"/>
          </w:tcPr>
          <w:p w:rsidR="00786EBC" w:rsidRDefault="00544F5B" w:rsidP="00544F5B">
            <w:pPr>
              <w:jc w:val="center"/>
            </w:pPr>
            <w:r>
              <w:t>Revised £m</w:t>
            </w:r>
          </w:p>
        </w:tc>
        <w:tc>
          <w:tcPr>
            <w:tcW w:w="713" w:type="pct"/>
          </w:tcPr>
          <w:p w:rsidR="00786EBC" w:rsidRDefault="00544F5B" w:rsidP="00544F5B">
            <w:pPr>
              <w:jc w:val="center"/>
            </w:pPr>
            <w:r>
              <w:t>Budgeted Spend £m</w:t>
            </w:r>
          </w:p>
        </w:tc>
        <w:tc>
          <w:tcPr>
            <w:tcW w:w="721" w:type="pct"/>
          </w:tcPr>
          <w:p w:rsidR="00786EBC" w:rsidRDefault="00544F5B" w:rsidP="00544F5B">
            <w:pPr>
              <w:jc w:val="center"/>
            </w:pPr>
            <w:r>
              <w:t>Difference £m</w:t>
            </w:r>
          </w:p>
        </w:tc>
      </w:tr>
      <w:tr w:rsidR="00544F5B" w:rsidTr="00544F5B">
        <w:tc>
          <w:tcPr>
            <w:tcW w:w="713" w:type="pct"/>
          </w:tcPr>
          <w:p w:rsidR="00786EBC" w:rsidRDefault="00544F5B" w:rsidP="00786EBC">
            <w:r>
              <w:t>Schools Block</w:t>
            </w:r>
          </w:p>
        </w:tc>
        <w:tc>
          <w:tcPr>
            <w:tcW w:w="712" w:type="pct"/>
          </w:tcPr>
          <w:p w:rsidR="00786EBC" w:rsidRDefault="00544F5B" w:rsidP="00544F5B">
            <w:pPr>
              <w:jc w:val="center"/>
            </w:pPr>
            <w:r>
              <w:t>176.681</w:t>
            </w:r>
          </w:p>
        </w:tc>
        <w:tc>
          <w:tcPr>
            <w:tcW w:w="714" w:type="pct"/>
          </w:tcPr>
          <w:p w:rsidR="00786EBC" w:rsidRDefault="00544F5B" w:rsidP="00544F5B">
            <w:pPr>
              <w:jc w:val="center"/>
            </w:pPr>
            <w:r>
              <w:t>0.555</w:t>
            </w:r>
          </w:p>
        </w:tc>
        <w:tc>
          <w:tcPr>
            <w:tcW w:w="713" w:type="pct"/>
          </w:tcPr>
          <w:p w:rsidR="00786EBC" w:rsidRDefault="00786EBC" w:rsidP="00544F5B">
            <w:pPr>
              <w:jc w:val="center"/>
            </w:pPr>
          </w:p>
        </w:tc>
        <w:tc>
          <w:tcPr>
            <w:tcW w:w="714" w:type="pct"/>
          </w:tcPr>
          <w:p w:rsidR="00786EBC" w:rsidRDefault="00544F5B" w:rsidP="00786EBC">
            <w:r>
              <w:t>177.236</w:t>
            </w:r>
          </w:p>
        </w:tc>
        <w:tc>
          <w:tcPr>
            <w:tcW w:w="713" w:type="pct"/>
          </w:tcPr>
          <w:p w:rsidR="00786EBC" w:rsidRDefault="00544F5B" w:rsidP="00786EBC">
            <w:r>
              <w:t>177.242</w:t>
            </w:r>
          </w:p>
        </w:tc>
        <w:tc>
          <w:tcPr>
            <w:tcW w:w="721" w:type="pct"/>
          </w:tcPr>
          <w:p w:rsidR="00786EBC" w:rsidRDefault="00544F5B" w:rsidP="00786EBC">
            <w:r>
              <w:t>0.06</w:t>
            </w:r>
          </w:p>
        </w:tc>
      </w:tr>
      <w:tr w:rsidR="00544F5B" w:rsidTr="00544F5B">
        <w:tc>
          <w:tcPr>
            <w:tcW w:w="713" w:type="pct"/>
          </w:tcPr>
          <w:p w:rsidR="00786EBC" w:rsidRDefault="00544F5B" w:rsidP="00786EBC">
            <w:r>
              <w:t>Early Years Block</w:t>
            </w:r>
          </w:p>
        </w:tc>
        <w:tc>
          <w:tcPr>
            <w:tcW w:w="712" w:type="pct"/>
          </w:tcPr>
          <w:p w:rsidR="00786EBC" w:rsidRDefault="00544F5B" w:rsidP="00544F5B">
            <w:pPr>
              <w:jc w:val="center"/>
            </w:pPr>
            <w:r>
              <w:t>9.021</w:t>
            </w:r>
          </w:p>
        </w:tc>
        <w:tc>
          <w:tcPr>
            <w:tcW w:w="714" w:type="pct"/>
          </w:tcPr>
          <w:p w:rsidR="00786EBC" w:rsidRDefault="00786EBC" w:rsidP="00544F5B">
            <w:pPr>
              <w:jc w:val="center"/>
            </w:pPr>
          </w:p>
        </w:tc>
        <w:tc>
          <w:tcPr>
            <w:tcW w:w="713" w:type="pct"/>
          </w:tcPr>
          <w:p w:rsidR="00786EBC" w:rsidRDefault="00786EBC" w:rsidP="00544F5B">
            <w:pPr>
              <w:jc w:val="center"/>
            </w:pPr>
          </w:p>
        </w:tc>
        <w:tc>
          <w:tcPr>
            <w:tcW w:w="714" w:type="pct"/>
          </w:tcPr>
          <w:p w:rsidR="00786EBC" w:rsidRDefault="00544F5B" w:rsidP="00786EBC">
            <w:r>
              <w:t>9.021</w:t>
            </w:r>
          </w:p>
        </w:tc>
        <w:tc>
          <w:tcPr>
            <w:tcW w:w="713" w:type="pct"/>
          </w:tcPr>
          <w:p w:rsidR="00786EBC" w:rsidRDefault="00544F5B" w:rsidP="00786EBC">
            <w:r>
              <w:t>9.021</w:t>
            </w:r>
          </w:p>
        </w:tc>
        <w:tc>
          <w:tcPr>
            <w:tcW w:w="721" w:type="pct"/>
          </w:tcPr>
          <w:p w:rsidR="00786EBC" w:rsidRDefault="00544F5B" w:rsidP="00786EBC">
            <w:r>
              <w:t>0.00</w:t>
            </w:r>
          </w:p>
        </w:tc>
      </w:tr>
      <w:tr w:rsidR="00544F5B" w:rsidTr="00544F5B">
        <w:tc>
          <w:tcPr>
            <w:tcW w:w="713" w:type="pct"/>
          </w:tcPr>
          <w:p w:rsidR="00786EBC" w:rsidRDefault="00544F5B" w:rsidP="00786EBC">
            <w:r>
              <w:t>High Needs Block</w:t>
            </w:r>
          </w:p>
        </w:tc>
        <w:tc>
          <w:tcPr>
            <w:tcW w:w="712" w:type="pct"/>
          </w:tcPr>
          <w:p w:rsidR="00786EBC" w:rsidRDefault="00544F5B" w:rsidP="00544F5B">
            <w:pPr>
              <w:jc w:val="center"/>
            </w:pPr>
            <w:r>
              <w:t>30.615</w:t>
            </w:r>
          </w:p>
        </w:tc>
        <w:tc>
          <w:tcPr>
            <w:tcW w:w="714" w:type="pct"/>
          </w:tcPr>
          <w:p w:rsidR="00786EBC" w:rsidRDefault="00544F5B" w:rsidP="00544F5B">
            <w:pPr>
              <w:jc w:val="center"/>
            </w:pPr>
            <w:r>
              <w:t>-0.555</w:t>
            </w:r>
          </w:p>
        </w:tc>
        <w:tc>
          <w:tcPr>
            <w:tcW w:w="713" w:type="pct"/>
          </w:tcPr>
          <w:p w:rsidR="00786EBC" w:rsidRDefault="00544F5B" w:rsidP="00544F5B">
            <w:pPr>
              <w:jc w:val="center"/>
            </w:pPr>
            <w:r>
              <w:t>-2.666</w:t>
            </w:r>
          </w:p>
        </w:tc>
        <w:tc>
          <w:tcPr>
            <w:tcW w:w="714" w:type="pct"/>
          </w:tcPr>
          <w:p w:rsidR="00786EBC" w:rsidRDefault="00E424CE" w:rsidP="00786EBC">
            <w:r>
              <w:t>27.394</w:t>
            </w:r>
          </w:p>
        </w:tc>
        <w:tc>
          <w:tcPr>
            <w:tcW w:w="713" w:type="pct"/>
          </w:tcPr>
          <w:p w:rsidR="00786EBC" w:rsidRDefault="00E424CE" w:rsidP="00786EBC">
            <w:r>
              <w:t>28.133</w:t>
            </w:r>
          </w:p>
        </w:tc>
        <w:tc>
          <w:tcPr>
            <w:tcW w:w="721" w:type="pct"/>
          </w:tcPr>
          <w:p w:rsidR="00786EBC" w:rsidRDefault="00E424CE" w:rsidP="00786EBC">
            <w:r>
              <w:t>0.739</w:t>
            </w:r>
          </w:p>
        </w:tc>
      </w:tr>
      <w:tr w:rsidR="00544F5B" w:rsidTr="00544F5B">
        <w:tc>
          <w:tcPr>
            <w:tcW w:w="713" w:type="pct"/>
          </w:tcPr>
          <w:p w:rsidR="00786EBC" w:rsidRDefault="00544F5B" w:rsidP="00786EBC">
            <w:r>
              <w:t>NQT Induction</w:t>
            </w:r>
          </w:p>
        </w:tc>
        <w:tc>
          <w:tcPr>
            <w:tcW w:w="712" w:type="pct"/>
          </w:tcPr>
          <w:p w:rsidR="00786EBC" w:rsidRDefault="00544F5B" w:rsidP="00544F5B">
            <w:pPr>
              <w:jc w:val="center"/>
            </w:pPr>
            <w:r>
              <w:t>0.056</w:t>
            </w:r>
          </w:p>
        </w:tc>
        <w:tc>
          <w:tcPr>
            <w:tcW w:w="714" w:type="pct"/>
          </w:tcPr>
          <w:p w:rsidR="00786EBC" w:rsidRDefault="00786EBC" w:rsidP="00544F5B">
            <w:pPr>
              <w:jc w:val="center"/>
            </w:pPr>
          </w:p>
        </w:tc>
        <w:tc>
          <w:tcPr>
            <w:tcW w:w="713" w:type="pct"/>
          </w:tcPr>
          <w:p w:rsidR="00786EBC" w:rsidRDefault="00786EBC" w:rsidP="00544F5B">
            <w:pPr>
              <w:jc w:val="center"/>
            </w:pPr>
          </w:p>
        </w:tc>
        <w:tc>
          <w:tcPr>
            <w:tcW w:w="714" w:type="pct"/>
          </w:tcPr>
          <w:p w:rsidR="00786EBC" w:rsidRDefault="00E424CE" w:rsidP="00786EBC">
            <w:r>
              <w:t>0.056</w:t>
            </w:r>
          </w:p>
        </w:tc>
        <w:tc>
          <w:tcPr>
            <w:tcW w:w="713" w:type="pct"/>
          </w:tcPr>
          <w:p w:rsidR="00786EBC" w:rsidRDefault="00E424CE" w:rsidP="00786EBC">
            <w:r>
              <w:t>0.056</w:t>
            </w:r>
          </w:p>
        </w:tc>
        <w:tc>
          <w:tcPr>
            <w:tcW w:w="721" w:type="pct"/>
          </w:tcPr>
          <w:p w:rsidR="00786EBC" w:rsidRDefault="00E424CE" w:rsidP="00786EBC">
            <w:r>
              <w:t>0.00</w:t>
            </w:r>
          </w:p>
        </w:tc>
      </w:tr>
      <w:tr w:rsidR="00544F5B" w:rsidTr="00544F5B">
        <w:tc>
          <w:tcPr>
            <w:tcW w:w="713" w:type="pct"/>
          </w:tcPr>
          <w:p w:rsidR="00786EBC" w:rsidRDefault="00544F5B" w:rsidP="00786EBC">
            <w:r>
              <w:t>Early Years Pupil Premium</w:t>
            </w:r>
          </w:p>
        </w:tc>
        <w:tc>
          <w:tcPr>
            <w:tcW w:w="712" w:type="pct"/>
          </w:tcPr>
          <w:p w:rsidR="00786EBC" w:rsidRDefault="00544F5B" w:rsidP="00544F5B">
            <w:pPr>
              <w:jc w:val="center"/>
            </w:pPr>
            <w:r>
              <w:t>0.219</w:t>
            </w:r>
          </w:p>
        </w:tc>
        <w:tc>
          <w:tcPr>
            <w:tcW w:w="714" w:type="pct"/>
          </w:tcPr>
          <w:p w:rsidR="00786EBC" w:rsidRDefault="00786EBC" w:rsidP="00544F5B">
            <w:pPr>
              <w:jc w:val="center"/>
            </w:pPr>
          </w:p>
        </w:tc>
        <w:tc>
          <w:tcPr>
            <w:tcW w:w="713" w:type="pct"/>
          </w:tcPr>
          <w:p w:rsidR="00786EBC" w:rsidRDefault="00786EBC" w:rsidP="00544F5B">
            <w:pPr>
              <w:jc w:val="center"/>
            </w:pPr>
          </w:p>
        </w:tc>
        <w:tc>
          <w:tcPr>
            <w:tcW w:w="714" w:type="pct"/>
          </w:tcPr>
          <w:p w:rsidR="00786EBC" w:rsidRDefault="00E424CE" w:rsidP="00786EBC">
            <w:r>
              <w:t>0.219</w:t>
            </w:r>
          </w:p>
        </w:tc>
        <w:tc>
          <w:tcPr>
            <w:tcW w:w="713" w:type="pct"/>
          </w:tcPr>
          <w:p w:rsidR="00786EBC" w:rsidRDefault="00E424CE" w:rsidP="00786EBC">
            <w:r>
              <w:t>0.219</w:t>
            </w:r>
          </w:p>
        </w:tc>
        <w:tc>
          <w:tcPr>
            <w:tcW w:w="721" w:type="pct"/>
          </w:tcPr>
          <w:p w:rsidR="00786EBC" w:rsidRDefault="00E424CE" w:rsidP="00786EBC">
            <w:r>
              <w:t>0.00</w:t>
            </w:r>
          </w:p>
        </w:tc>
      </w:tr>
      <w:tr w:rsidR="00544F5B" w:rsidTr="00544F5B">
        <w:tc>
          <w:tcPr>
            <w:tcW w:w="713" w:type="pct"/>
          </w:tcPr>
          <w:p w:rsidR="00786EBC" w:rsidRDefault="00544F5B" w:rsidP="00786EBC">
            <w:r>
              <w:t>2 year old funding</w:t>
            </w:r>
          </w:p>
        </w:tc>
        <w:tc>
          <w:tcPr>
            <w:tcW w:w="712" w:type="pct"/>
          </w:tcPr>
          <w:p w:rsidR="00786EBC" w:rsidRDefault="00544F5B" w:rsidP="00544F5B">
            <w:pPr>
              <w:jc w:val="center"/>
            </w:pPr>
            <w:r>
              <w:t>2.331</w:t>
            </w:r>
          </w:p>
        </w:tc>
        <w:tc>
          <w:tcPr>
            <w:tcW w:w="714" w:type="pct"/>
          </w:tcPr>
          <w:p w:rsidR="00786EBC" w:rsidRDefault="00786EBC" w:rsidP="00544F5B">
            <w:pPr>
              <w:jc w:val="center"/>
            </w:pPr>
          </w:p>
        </w:tc>
        <w:tc>
          <w:tcPr>
            <w:tcW w:w="713" w:type="pct"/>
          </w:tcPr>
          <w:p w:rsidR="00786EBC" w:rsidRDefault="00786EBC" w:rsidP="00544F5B">
            <w:pPr>
              <w:jc w:val="center"/>
            </w:pPr>
          </w:p>
        </w:tc>
        <w:tc>
          <w:tcPr>
            <w:tcW w:w="714" w:type="pct"/>
          </w:tcPr>
          <w:p w:rsidR="00786EBC" w:rsidRDefault="00E424CE" w:rsidP="00786EBC">
            <w:r>
              <w:t>2.331</w:t>
            </w:r>
          </w:p>
        </w:tc>
        <w:tc>
          <w:tcPr>
            <w:tcW w:w="713" w:type="pct"/>
          </w:tcPr>
          <w:p w:rsidR="00786EBC" w:rsidRDefault="00E424CE" w:rsidP="00786EBC">
            <w:r>
              <w:t>2.331</w:t>
            </w:r>
          </w:p>
        </w:tc>
        <w:tc>
          <w:tcPr>
            <w:tcW w:w="721" w:type="pct"/>
          </w:tcPr>
          <w:p w:rsidR="00786EBC" w:rsidRDefault="00E424CE" w:rsidP="00786EBC">
            <w:r>
              <w:t>0.00</w:t>
            </w:r>
          </w:p>
        </w:tc>
      </w:tr>
      <w:tr w:rsidR="00544F5B" w:rsidTr="00544F5B">
        <w:tc>
          <w:tcPr>
            <w:tcW w:w="713" w:type="pct"/>
          </w:tcPr>
          <w:p w:rsidR="00786EBC" w:rsidRDefault="00544F5B" w:rsidP="00786EBC">
            <w:r>
              <w:t>Total</w:t>
            </w:r>
          </w:p>
        </w:tc>
        <w:tc>
          <w:tcPr>
            <w:tcW w:w="712" w:type="pct"/>
          </w:tcPr>
          <w:p w:rsidR="00786EBC" w:rsidRDefault="00544F5B" w:rsidP="00544F5B">
            <w:pPr>
              <w:jc w:val="center"/>
            </w:pPr>
            <w:r>
              <w:t>218.923</w:t>
            </w:r>
          </w:p>
        </w:tc>
        <w:tc>
          <w:tcPr>
            <w:tcW w:w="714" w:type="pct"/>
          </w:tcPr>
          <w:p w:rsidR="00786EBC" w:rsidRDefault="00544F5B" w:rsidP="00544F5B">
            <w:pPr>
              <w:jc w:val="center"/>
            </w:pPr>
            <w:r>
              <w:t>0</w:t>
            </w:r>
          </w:p>
        </w:tc>
        <w:tc>
          <w:tcPr>
            <w:tcW w:w="713" w:type="pct"/>
          </w:tcPr>
          <w:p w:rsidR="00786EBC" w:rsidRDefault="00E424CE" w:rsidP="00544F5B">
            <w:pPr>
              <w:jc w:val="center"/>
            </w:pPr>
            <w:r>
              <w:t>-2.666</w:t>
            </w:r>
          </w:p>
        </w:tc>
        <w:tc>
          <w:tcPr>
            <w:tcW w:w="714" w:type="pct"/>
          </w:tcPr>
          <w:p w:rsidR="00786EBC" w:rsidRDefault="00E424CE" w:rsidP="00786EBC">
            <w:r>
              <w:t>216.257</w:t>
            </w:r>
          </w:p>
        </w:tc>
        <w:tc>
          <w:tcPr>
            <w:tcW w:w="713" w:type="pct"/>
          </w:tcPr>
          <w:p w:rsidR="00786EBC" w:rsidRDefault="00E424CE" w:rsidP="00786EBC">
            <w:r>
              <w:t>217.002</w:t>
            </w:r>
          </w:p>
        </w:tc>
        <w:tc>
          <w:tcPr>
            <w:tcW w:w="721" w:type="pct"/>
          </w:tcPr>
          <w:p w:rsidR="00786EBC" w:rsidRDefault="00E424CE" w:rsidP="00786EBC">
            <w:r>
              <w:t>0.744</w:t>
            </w:r>
          </w:p>
        </w:tc>
      </w:tr>
      <w:tr w:rsidR="00544F5B" w:rsidTr="00544F5B">
        <w:tc>
          <w:tcPr>
            <w:tcW w:w="713" w:type="pct"/>
          </w:tcPr>
          <w:p w:rsidR="00544F5B" w:rsidRDefault="00544F5B" w:rsidP="00786EBC"/>
        </w:tc>
        <w:tc>
          <w:tcPr>
            <w:tcW w:w="712" w:type="pct"/>
          </w:tcPr>
          <w:p w:rsidR="00544F5B" w:rsidRDefault="00544F5B" w:rsidP="00544F5B">
            <w:pPr>
              <w:jc w:val="center"/>
            </w:pPr>
          </w:p>
        </w:tc>
        <w:tc>
          <w:tcPr>
            <w:tcW w:w="714" w:type="pct"/>
          </w:tcPr>
          <w:p w:rsidR="00544F5B" w:rsidRDefault="00544F5B" w:rsidP="00544F5B">
            <w:pPr>
              <w:jc w:val="center"/>
            </w:pPr>
          </w:p>
        </w:tc>
        <w:tc>
          <w:tcPr>
            <w:tcW w:w="713" w:type="pct"/>
          </w:tcPr>
          <w:p w:rsidR="00544F5B" w:rsidRDefault="00544F5B" w:rsidP="00544F5B">
            <w:pPr>
              <w:jc w:val="center"/>
            </w:pPr>
          </w:p>
        </w:tc>
        <w:tc>
          <w:tcPr>
            <w:tcW w:w="714" w:type="pct"/>
          </w:tcPr>
          <w:p w:rsidR="00544F5B" w:rsidRDefault="00544F5B" w:rsidP="00786EBC"/>
        </w:tc>
        <w:tc>
          <w:tcPr>
            <w:tcW w:w="713" w:type="pct"/>
          </w:tcPr>
          <w:p w:rsidR="00544F5B" w:rsidRDefault="00544F5B" w:rsidP="00786EBC"/>
        </w:tc>
        <w:tc>
          <w:tcPr>
            <w:tcW w:w="721" w:type="pct"/>
          </w:tcPr>
          <w:p w:rsidR="00544F5B" w:rsidRDefault="00544F5B" w:rsidP="00786EBC"/>
        </w:tc>
      </w:tr>
      <w:tr w:rsidR="00544F5B" w:rsidTr="00544F5B">
        <w:tc>
          <w:tcPr>
            <w:tcW w:w="713" w:type="pct"/>
          </w:tcPr>
          <w:p w:rsidR="00544F5B" w:rsidRDefault="00E424CE" w:rsidP="00786EBC">
            <w:r>
              <w:t>Education Services Grant</w:t>
            </w:r>
          </w:p>
        </w:tc>
        <w:tc>
          <w:tcPr>
            <w:tcW w:w="712" w:type="pct"/>
          </w:tcPr>
          <w:p w:rsidR="00544F5B" w:rsidRDefault="00E424CE" w:rsidP="00544F5B">
            <w:pPr>
              <w:jc w:val="center"/>
            </w:pPr>
            <w:r>
              <w:t>3.231</w:t>
            </w:r>
          </w:p>
        </w:tc>
        <w:tc>
          <w:tcPr>
            <w:tcW w:w="714" w:type="pct"/>
          </w:tcPr>
          <w:p w:rsidR="00544F5B" w:rsidRDefault="00544F5B" w:rsidP="00544F5B">
            <w:pPr>
              <w:jc w:val="center"/>
            </w:pPr>
          </w:p>
        </w:tc>
        <w:tc>
          <w:tcPr>
            <w:tcW w:w="713" w:type="pct"/>
          </w:tcPr>
          <w:p w:rsidR="00544F5B" w:rsidRDefault="00544F5B" w:rsidP="00544F5B">
            <w:pPr>
              <w:jc w:val="center"/>
            </w:pPr>
          </w:p>
        </w:tc>
        <w:tc>
          <w:tcPr>
            <w:tcW w:w="714" w:type="pct"/>
          </w:tcPr>
          <w:p w:rsidR="00544F5B" w:rsidRDefault="00E424CE" w:rsidP="00786EBC">
            <w:r>
              <w:t>3.231</w:t>
            </w:r>
          </w:p>
        </w:tc>
        <w:tc>
          <w:tcPr>
            <w:tcW w:w="713" w:type="pct"/>
          </w:tcPr>
          <w:p w:rsidR="00544F5B" w:rsidRDefault="00E424CE" w:rsidP="00786EBC">
            <w:r>
              <w:t>3.231</w:t>
            </w:r>
          </w:p>
        </w:tc>
        <w:tc>
          <w:tcPr>
            <w:tcW w:w="721" w:type="pct"/>
          </w:tcPr>
          <w:p w:rsidR="00544F5B" w:rsidRDefault="00E424CE" w:rsidP="00786EBC">
            <w:r>
              <w:t>0.00</w:t>
            </w:r>
          </w:p>
        </w:tc>
      </w:tr>
    </w:tbl>
    <w:p w:rsidR="00407AE0" w:rsidRDefault="00407AE0" w:rsidP="00786EBC">
      <w:pPr>
        <w:ind w:left="720" w:hanging="720"/>
      </w:pPr>
    </w:p>
    <w:p w:rsidR="00E77449" w:rsidRDefault="00E77449" w:rsidP="00786EBC">
      <w:pPr>
        <w:ind w:left="720" w:hanging="720"/>
      </w:pPr>
    </w:p>
    <w:p w:rsidR="00407AE0" w:rsidRDefault="00407AE0" w:rsidP="00786EBC">
      <w:pPr>
        <w:ind w:left="720" w:hanging="720"/>
      </w:pPr>
      <w:r>
        <w:t>3.2</w:t>
      </w:r>
      <w:r>
        <w:tab/>
        <w:t>The Early Years allocation is provisional, since the funding for 2,3 and 4 year olds is finalised during the year based on updated census data for January 2016 ( for Summer term 2016) and January 2017 (for Autumn 2015 and Spring 2017).</w:t>
      </w:r>
    </w:p>
    <w:p w:rsidR="00407AE0" w:rsidRDefault="00407AE0" w:rsidP="00786EBC">
      <w:pPr>
        <w:ind w:left="720" w:hanging="720"/>
      </w:pPr>
    </w:p>
    <w:p w:rsidR="00407AE0" w:rsidRDefault="00407AE0" w:rsidP="00786EBC">
      <w:pPr>
        <w:ind w:left="720" w:hanging="720"/>
      </w:pPr>
      <w:r>
        <w:t>3.3</w:t>
      </w:r>
      <w:r>
        <w:tab/>
        <w:t>As members will be aware</w:t>
      </w:r>
      <w:r w:rsidR="008D031A">
        <w:t xml:space="preserve"> the oversight of the DSG falls between the LA and the Schools Forum.  Below is reminder of the sections relating to expenditure in the </w:t>
      </w:r>
      <w:proofErr w:type="spellStart"/>
      <w:r w:rsidR="008D031A">
        <w:t>DfE</w:t>
      </w:r>
      <w:proofErr w:type="spellEnd"/>
      <w:r w:rsidR="008D031A">
        <w:t xml:space="preserve"> guidance on Schools Forum powers and </w:t>
      </w:r>
      <w:proofErr w:type="gramStart"/>
      <w:r w:rsidR="008D031A">
        <w:t>responsibilities:</w:t>
      </w:r>
      <w:proofErr w:type="gramEnd"/>
    </w:p>
    <w:p w:rsidR="008D031A" w:rsidRDefault="008D031A" w:rsidP="00786EBC">
      <w:pPr>
        <w:ind w:left="720" w:hanging="720"/>
      </w:pPr>
    </w:p>
    <w:tbl>
      <w:tblPr>
        <w:tblStyle w:val="TableGrid"/>
        <w:tblW w:w="5000" w:type="pct"/>
        <w:tblInd w:w="720" w:type="dxa"/>
        <w:tblLook w:val="04A0" w:firstRow="1" w:lastRow="0" w:firstColumn="1" w:lastColumn="0" w:noHBand="0" w:noVBand="1"/>
      </w:tblPr>
      <w:tblGrid>
        <w:gridCol w:w="806"/>
        <w:gridCol w:w="3543"/>
        <w:gridCol w:w="2585"/>
        <w:gridCol w:w="2311"/>
      </w:tblGrid>
      <w:tr w:rsidR="008D031A" w:rsidTr="008D031A">
        <w:tc>
          <w:tcPr>
            <w:tcW w:w="436" w:type="pct"/>
          </w:tcPr>
          <w:p w:rsidR="008D031A" w:rsidRDefault="008D031A" w:rsidP="00786EBC"/>
        </w:tc>
        <w:tc>
          <w:tcPr>
            <w:tcW w:w="1916" w:type="pct"/>
          </w:tcPr>
          <w:p w:rsidR="008D031A" w:rsidRDefault="008D031A" w:rsidP="00786EBC">
            <w:r>
              <w:t>Function</w:t>
            </w:r>
          </w:p>
        </w:tc>
        <w:tc>
          <w:tcPr>
            <w:tcW w:w="1398" w:type="pct"/>
          </w:tcPr>
          <w:p w:rsidR="008D031A" w:rsidRDefault="008D031A" w:rsidP="00786EBC">
            <w:r>
              <w:t>Local Authority</w:t>
            </w:r>
          </w:p>
        </w:tc>
        <w:tc>
          <w:tcPr>
            <w:tcW w:w="1250" w:type="pct"/>
          </w:tcPr>
          <w:p w:rsidR="008D031A" w:rsidRDefault="008D031A" w:rsidP="00786EBC">
            <w:r>
              <w:t>Schools Forum</w:t>
            </w:r>
          </w:p>
        </w:tc>
      </w:tr>
      <w:tr w:rsidR="008D031A" w:rsidTr="008D031A">
        <w:tc>
          <w:tcPr>
            <w:tcW w:w="436" w:type="pct"/>
          </w:tcPr>
          <w:p w:rsidR="008D031A" w:rsidRDefault="008D031A" w:rsidP="00786EBC">
            <w:r>
              <w:t>1</w:t>
            </w:r>
          </w:p>
        </w:tc>
        <w:tc>
          <w:tcPr>
            <w:tcW w:w="1916" w:type="pct"/>
          </w:tcPr>
          <w:p w:rsidR="008D031A" w:rsidRDefault="008D031A" w:rsidP="00786EBC">
            <w:r>
              <w:t>Formula change (including redistributions</w:t>
            </w:r>
          </w:p>
        </w:tc>
        <w:tc>
          <w:tcPr>
            <w:tcW w:w="1398" w:type="pct"/>
          </w:tcPr>
          <w:p w:rsidR="008D031A" w:rsidRDefault="008D031A" w:rsidP="00786EBC">
            <w:r>
              <w:t>Proposes and decides</w:t>
            </w:r>
          </w:p>
        </w:tc>
        <w:tc>
          <w:tcPr>
            <w:tcW w:w="1250" w:type="pct"/>
          </w:tcPr>
          <w:p w:rsidR="008D031A" w:rsidRDefault="008D031A" w:rsidP="00786EBC">
            <w:r>
              <w:t>Must be consulted</w:t>
            </w:r>
          </w:p>
        </w:tc>
      </w:tr>
      <w:tr w:rsidR="008D031A" w:rsidTr="008D031A">
        <w:tc>
          <w:tcPr>
            <w:tcW w:w="436" w:type="pct"/>
          </w:tcPr>
          <w:p w:rsidR="008D031A" w:rsidRDefault="008D031A" w:rsidP="00786EBC">
            <w:r>
              <w:t>2</w:t>
            </w:r>
          </w:p>
        </w:tc>
        <w:tc>
          <w:tcPr>
            <w:tcW w:w="1916" w:type="pct"/>
          </w:tcPr>
          <w:p w:rsidR="008D031A" w:rsidRDefault="008D031A" w:rsidP="00786EBC">
            <w:r>
              <w:t>Contracts</w:t>
            </w:r>
          </w:p>
        </w:tc>
        <w:tc>
          <w:tcPr>
            <w:tcW w:w="1398" w:type="pct"/>
          </w:tcPr>
          <w:p w:rsidR="008D031A" w:rsidRDefault="008D031A" w:rsidP="00786EBC">
            <w:r>
              <w:t>Proposes</w:t>
            </w:r>
          </w:p>
        </w:tc>
        <w:tc>
          <w:tcPr>
            <w:tcW w:w="1250" w:type="pct"/>
          </w:tcPr>
          <w:p w:rsidR="008D031A" w:rsidRDefault="008D031A" w:rsidP="00786EBC">
            <w:r>
              <w:t>Gives a view</w:t>
            </w:r>
          </w:p>
        </w:tc>
      </w:tr>
      <w:tr w:rsidR="008D031A" w:rsidTr="008D031A">
        <w:tc>
          <w:tcPr>
            <w:tcW w:w="436" w:type="pct"/>
          </w:tcPr>
          <w:p w:rsidR="008D031A" w:rsidRDefault="008D031A" w:rsidP="00786EBC">
            <w:r>
              <w:t>3</w:t>
            </w:r>
          </w:p>
        </w:tc>
        <w:tc>
          <w:tcPr>
            <w:tcW w:w="1916" w:type="pct"/>
          </w:tcPr>
          <w:p w:rsidR="008D031A" w:rsidRDefault="00D054BE" w:rsidP="00D054BE">
            <w:r>
              <w:t>Financial issues relating to arrangements for:</w:t>
            </w:r>
          </w:p>
          <w:p w:rsidR="00D054BE" w:rsidRDefault="00D054BE" w:rsidP="00D054BE">
            <w:pPr>
              <w:pStyle w:val="ListParagraph"/>
              <w:numPr>
                <w:ilvl w:val="0"/>
                <w:numId w:val="16"/>
              </w:numPr>
            </w:pPr>
            <w:r>
              <w:t>Pupils with SEN</w:t>
            </w:r>
          </w:p>
          <w:p w:rsidR="00D054BE" w:rsidRDefault="00D054BE" w:rsidP="00D054BE">
            <w:pPr>
              <w:pStyle w:val="ListParagraph"/>
              <w:numPr>
                <w:ilvl w:val="0"/>
                <w:numId w:val="16"/>
              </w:numPr>
            </w:pPr>
            <w:r>
              <w:t>Use of PRU’s and EOTAS</w:t>
            </w:r>
          </w:p>
          <w:p w:rsidR="00D054BE" w:rsidRDefault="00D054BE" w:rsidP="00D054BE">
            <w:pPr>
              <w:pStyle w:val="ListParagraph"/>
              <w:numPr>
                <w:ilvl w:val="0"/>
                <w:numId w:val="16"/>
              </w:numPr>
            </w:pPr>
            <w:r>
              <w:t>Early Years provision</w:t>
            </w:r>
          </w:p>
          <w:p w:rsidR="00D054BE" w:rsidRDefault="00D054BE" w:rsidP="00D054BE">
            <w:pPr>
              <w:pStyle w:val="ListParagraph"/>
              <w:numPr>
                <w:ilvl w:val="0"/>
                <w:numId w:val="16"/>
              </w:numPr>
            </w:pPr>
            <w:r>
              <w:t>Administration of central government grants</w:t>
            </w:r>
          </w:p>
        </w:tc>
        <w:tc>
          <w:tcPr>
            <w:tcW w:w="1398" w:type="pct"/>
          </w:tcPr>
          <w:p w:rsidR="008D031A" w:rsidRDefault="00D054BE" w:rsidP="00786EBC">
            <w:r>
              <w:t>Consults annually</w:t>
            </w:r>
          </w:p>
        </w:tc>
        <w:tc>
          <w:tcPr>
            <w:tcW w:w="1250" w:type="pct"/>
          </w:tcPr>
          <w:p w:rsidR="008D031A" w:rsidRDefault="00D054BE" w:rsidP="00786EBC">
            <w:r>
              <w:t>Gives a view and informs governing bodies of all consultations carried out in lines 1,2 and 3</w:t>
            </w:r>
          </w:p>
        </w:tc>
      </w:tr>
      <w:tr w:rsidR="008D031A" w:rsidTr="008D031A">
        <w:tc>
          <w:tcPr>
            <w:tcW w:w="436" w:type="pct"/>
          </w:tcPr>
          <w:p w:rsidR="008D031A" w:rsidRDefault="00D054BE" w:rsidP="00786EBC">
            <w:r>
              <w:t>4</w:t>
            </w:r>
          </w:p>
        </w:tc>
        <w:tc>
          <w:tcPr>
            <w:tcW w:w="1916" w:type="pct"/>
          </w:tcPr>
          <w:p w:rsidR="008D031A" w:rsidRDefault="00D054BE" w:rsidP="00D054BE">
            <w:r>
              <w:t>Minimum Funding Guarantee</w:t>
            </w:r>
          </w:p>
        </w:tc>
        <w:tc>
          <w:tcPr>
            <w:tcW w:w="1398" w:type="pct"/>
          </w:tcPr>
          <w:p w:rsidR="008D031A" w:rsidRDefault="00D054BE" w:rsidP="00786EBC">
            <w:r>
              <w:t xml:space="preserve">Proposes any exclusions from MFG for application to </w:t>
            </w:r>
            <w:proofErr w:type="spellStart"/>
            <w:r>
              <w:t>DfE</w:t>
            </w:r>
            <w:proofErr w:type="spellEnd"/>
          </w:p>
        </w:tc>
        <w:tc>
          <w:tcPr>
            <w:tcW w:w="1250" w:type="pct"/>
          </w:tcPr>
          <w:p w:rsidR="008D031A" w:rsidRDefault="00D054BE" w:rsidP="00786EBC">
            <w:r>
              <w:t>Gives a view</w:t>
            </w:r>
          </w:p>
        </w:tc>
      </w:tr>
      <w:tr w:rsidR="008D031A" w:rsidTr="008D031A">
        <w:tc>
          <w:tcPr>
            <w:tcW w:w="436" w:type="pct"/>
          </w:tcPr>
          <w:p w:rsidR="008D031A" w:rsidRDefault="00D054BE" w:rsidP="00786EBC">
            <w:r>
              <w:t>5</w:t>
            </w:r>
          </w:p>
        </w:tc>
        <w:tc>
          <w:tcPr>
            <w:tcW w:w="1916" w:type="pct"/>
          </w:tcPr>
          <w:p w:rsidR="008D031A" w:rsidRDefault="00D054BE" w:rsidP="00786EBC">
            <w:r>
              <w:t>De-delegation for mainstream schools</w:t>
            </w:r>
          </w:p>
        </w:tc>
        <w:tc>
          <w:tcPr>
            <w:tcW w:w="1398" w:type="pct"/>
          </w:tcPr>
          <w:p w:rsidR="008D031A" w:rsidRDefault="00D054BE" w:rsidP="00786EBC">
            <w:r>
              <w:t>Proposes</w:t>
            </w:r>
          </w:p>
        </w:tc>
        <w:tc>
          <w:tcPr>
            <w:tcW w:w="1250" w:type="pct"/>
          </w:tcPr>
          <w:p w:rsidR="008D031A" w:rsidRDefault="00D054BE" w:rsidP="00786EBC">
            <w:r>
              <w:t>Gives a view</w:t>
            </w:r>
          </w:p>
        </w:tc>
      </w:tr>
      <w:tr w:rsidR="008D031A" w:rsidTr="008D031A">
        <w:tc>
          <w:tcPr>
            <w:tcW w:w="436" w:type="pct"/>
          </w:tcPr>
          <w:p w:rsidR="008D031A" w:rsidRDefault="00D054BE" w:rsidP="00786EBC">
            <w:r>
              <w:t>6 &amp; 7</w:t>
            </w:r>
          </w:p>
        </w:tc>
        <w:tc>
          <w:tcPr>
            <w:tcW w:w="1916" w:type="pct"/>
          </w:tcPr>
          <w:p w:rsidR="008D031A" w:rsidRDefault="00D054BE" w:rsidP="00786EBC">
            <w:r>
              <w:t>Central spend on specified services</w:t>
            </w:r>
          </w:p>
        </w:tc>
        <w:tc>
          <w:tcPr>
            <w:tcW w:w="1398" w:type="pct"/>
          </w:tcPr>
          <w:p w:rsidR="008D031A" w:rsidRDefault="00E77449" w:rsidP="00786EBC">
            <w:r>
              <w:t>Proposes</w:t>
            </w:r>
          </w:p>
        </w:tc>
        <w:tc>
          <w:tcPr>
            <w:tcW w:w="1250" w:type="pct"/>
          </w:tcPr>
          <w:p w:rsidR="008D031A" w:rsidRDefault="00E77449" w:rsidP="00786EBC">
            <w:r>
              <w:t>Decides for each line</w:t>
            </w:r>
          </w:p>
        </w:tc>
      </w:tr>
      <w:tr w:rsidR="008D031A" w:rsidTr="008D031A">
        <w:tc>
          <w:tcPr>
            <w:tcW w:w="436" w:type="pct"/>
          </w:tcPr>
          <w:p w:rsidR="008D031A" w:rsidRDefault="00E77449" w:rsidP="00786EBC">
            <w:r>
              <w:t>8</w:t>
            </w:r>
          </w:p>
        </w:tc>
        <w:tc>
          <w:tcPr>
            <w:tcW w:w="1916" w:type="pct"/>
          </w:tcPr>
          <w:p w:rsidR="008D031A" w:rsidRDefault="00E77449" w:rsidP="00786EBC">
            <w:r>
              <w:t>Carry forward deficit on central expenditure to next year to be funded from schools budget</w:t>
            </w:r>
          </w:p>
        </w:tc>
        <w:tc>
          <w:tcPr>
            <w:tcW w:w="1398" w:type="pct"/>
          </w:tcPr>
          <w:p w:rsidR="008D031A" w:rsidRDefault="00E77449" w:rsidP="00786EBC">
            <w:r>
              <w:t>Proposes</w:t>
            </w:r>
          </w:p>
        </w:tc>
        <w:tc>
          <w:tcPr>
            <w:tcW w:w="1250" w:type="pct"/>
          </w:tcPr>
          <w:p w:rsidR="008D031A" w:rsidRDefault="00E77449" w:rsidP="00786EBC">
            <w:r>
              <w:t>Decides</w:t>
            </w:r>
          </w:p>
        </w:tc>
      </w:tr>
      <w:tr w:rsidR="008D031A" w:rsidTr="008D031A">
        <w:tc>
          <w:tcPr>
            <w:tcW w:w="436" w:type="pct"/>
          </w:tcPr>
          <w:p w:rsidR="008D031A" w:rsidRDefault="00E77449" w:rsidP="00786EBC">
            <w:r>
              <w:lastRenderedPageBreak/>
              <w:t>9</w:t>
            </w:r>
          </w:p>
        </w:tc>
        <w:tc>
          <w:tcPr>
            <w:tcW w:w="1916" w:type="pct"/>
          </w:tcPr>
          <w:p w:rsidR="008D031A" w:rsidRDefault="00E77449" w:rsidP="00786EBC">
            <w:r>
              <w:t>Scheme for Financing schools</w:t>
            </w:r>
          </w:p>
        </w:tc>
        <w:tc>
          <w:tcPr>
            <w:tcW w:w="1398" w:type="pct"/>
          </w:tcPr>
          <w:p w:rsidR="008D031A" w:rsidRDefault="00E77449" w:rsidP="00E77449">
            <w:r>
              <w:t>Proposes and consults GB and Head of every school.</w:t>
            </w:r>
          </w:p>
        </w:tc>
        <w:tc>
          <w:tcPr>
            <w:tcW w:w="1250" w:type="pct"/>
          </w:tcPr>
          <w:p w:rsidR="008D031A" w:rsidRDefault="00E77449" w:rsidP="00786EBC">
            <w:r>
              <w:t>Approves</w:t>
            </w:r>
          </w:p>
        </w:tc>
      </w:tr>
    </w:tbl>
    <w:p w:rsidR="008D031A" w:rsidRDefault="008D031A" w:rsidP="00786EBC">
      <w:pPr>
        <w:ind w:left="720" w:hanging="720"/>
      </w:pPr>
    </w:p>
    <w:p w:rsidR="00E77449" w:rsidRDefault="00E77449" w:rsidP="00786EBC">
      <w:pPr>
        <w:ind w:left="720" w:hanging="720"/>
      </w:pPr>
      <w:r>
        <w:t>3.5</w:t>
      </w:r>
      <w:r>
        <w:tab/>
        <w:t>The LA has full responsibility</w:t>
      </w:r>
      <w:r w:rsidR="003B4C74">
        <w:t xml:space="preserve"> for deciding on how the non-schools budget is spent.  This is partly funded from Education Services Grant and partly from Council resources </w:t>
      </w:r>
      <w:proofErr w:type="gramStart"/>
      <w:r w:rsidR="003B4C74">
        <w:t>( a</w:t>
      </w:r>
      <w:proofErr w:type="gramEnd"/>
      <w:r w:rsidR="003B4C74">
        <w:t xml:space="preserve"> mix of government grant and Council Tax income).</w:t>
      </w:r>
    </w:p>
    <w:p w:rsidR="008D031A" w:rsidRDefault="008D031A" w:rsidP="00786EBC">
      <w:pPr>
        <w:ind w:left="720" w:hanging="720"/>
      </w:pPr>
    </w:p>
    <w:p w:rsidR="008A6A1E" w:rsidRDefault="001A0337" w:rsidP="00BB60FB">
      <w:pPr>
        <w:rPr>
          <w:b/>
        </w:rPr>
      </w:pPr>
      <w:r>
        <w:rPr>
          <w:b/>
        </w:rPr>
        <w:t>4</w:t>
      </w:r>
      <w:r w:rsidR="00CD618A" w:rsidRPr="00B82ABA">
        <w:rPr>
          <w:b/>
        </w:rPr>
        <w:t>.</w:t>
      </w:r>
      <w:r w:rsidR="00CD618A" w:rsidRPr="00B82ABA">
        <w:rPr>
          <w:b/>
        </w:rPr>
        <w:tab/>
      </w:r>
      <w:r w:rsidR="003B4C74">
        <w:rPr>
          <w:b/>
        </w:rPr>
        <w:t>Schools Budget Expenditure</w:t>
      </w:r>
    </w:p>
    <w:p w:rsidR="004A4CD4" w:rsidRDefault="004A4CD4" w:rsidP="00BB60FB">
      <w:pPr>
        <w:rPr>
          <w:b/>
        </w:rPr>
      </w:pPr>
    </w:p>
    <w:p w:rsidR="00420401" w:rsidRDefault="001A0337" w:rsidP="00D55CAE">
      <w:pPr>
        <w:ind w:left="720" w:hanging="720"/>
      </w:pPr>
      <w:r>
        <w:t>4</w:t>
      </w:r>
      <w:r w:rsidR="00D55CAE">
        <w:t>.1</w:t>
      </w:r>
      <w:r w:rsidR="00D55CAE">
        <w:tab/>
      </w:r>
      <w:r w:rsidR="003B4C74">
        <w:t xml:space="preserve">The Section 251 return provides clear information on the key headings of expenditure that </w:t>
      </w:r>
      <w:proofErr w:type="gramStart"/>
      <w:r w:rsidR="003B4C74">
        <w:t>are</w:t>
      </w:r>
      <w:proofErr w:type="gramEnd"/>
      <w:r w:rsidR="003B4C74">
        <w:t xml:space="preserve"> funded from the DSG.  The Schools and Early Years Finance Regulations provide a more detailed list of functions.  Not all of these are relevant to Northumberland; they depend on local decisions</w:t>
      </w:r>
    </w:p>
    <w:p w:rsidR="003B4C74" w:rsidRDefault="003B4C74" w:rsidP="00D55CAE">
      <w:pPr>
        <w:ind w:left="720" w:hanging="720"/>
      </w:pPr>
    </w:p>
    <w:p w:rsidR="00BB60FB" w:rsidRDefault="00BB60FB" w:rsidP="00BB60FB">
      <w:pPr>
        <w:ind w:left="720"/>
      </w:pPr>
    </w:p>
    <w:p w:rsidR="0016617F" w:rsidRDefault="001A0337" w:rsidP="003B4C74">
      <w:pPr>
        <w:ind w:left="720" w:hanging="720"/>
      </w:pPr>
      <w:r>
        <w:t>4</w:t>
      </w:r>
      <w:r w:rsidR="00D55CAE">
        <w:t>.2</w:t>
      </w:r>
      <w:r w:rsidR="00D55CAE">
        <w:tab/>
      </w:r>
      <w:r w:rsidR="003B4C74">
        <w:t>The following headings come within the Schools Block</w:t>
      </w:r>
      <w:r w:rsidR="000331D8">
        <w:t>:</w:t>
      </w:r>
    </w:p>
    <w:p w:rsidR="001035E8" w:rsidRDefault="001035E8" w:rsidP="003B4C74">
      <w:pPr>
        <w:ind w:left="720" w:hanging="720"/>
      </w:pPr>
    </w:p>
    <w:p w:rsidR="000331D8" w:rsidRDefault="000331D8" w:rsidP="000331D8">
      <w:pPr>
        <w:pStyle w:val="ListParagraph"/>
        <w:numPr>
          <w:ilvl w:val="0"/>
          <w:numId w:val="17"/>
        </w:numPr>
      </w:pPr>
      <w:r>
        <w:t>Individual Schools Budgets (delegated budgets)</w:t>
      </w:r>
    </w:p>
    <w:p w:rsidR="000331D8" w:rsidRDefault="000331D8" w:rsidP="000331D8">
      <w:pPr>
        <w:pStyle w:val="ListParagraph"/>
        <w:numPr>
          <w:ilvl w:val="0"/>
          <w:numId w:val="17"/>
        </w:numPr>
      </w:pPr>
      <w:r>
        <w:t>Contingencies</w:t>
      </w:r>
    </w:p>
    <w:p w:rsidR="000331D8" w:rsidRDefault="000331D8" w:rsidP="000331D8">
      <w:pPr>
        <w:pStyle w:val="ListParagraph"/>
        <w:numPr>
          <w:ilvl w:val="0"/>
          <w:numId w:val="17"/>
        </w:numPr>
      </w:pPr>
      <w:r>
        <w:t>Behaviour support services</w:t>
      </w:r>
    </w:p>
    <w:p w:rsidR="000331D8" w:rsidRDefault="000331D8" w:rsidP="000331D8">
      <w:pPr>
        <w:pStyle w:val="ListParagraph"/>
        <w:numPr>
          <w:ilvl w:val="0"/>
          <w:numId w:val="17"/>
        </w:numPr>
      </w:pPr>
      <w:r>
        <w:t>Support to underperforming ethnic groups and bilingual learners</w:t>
      </w:r>
    </w:p>
    <w:p w:rsidR="000331D8" w:rsidRDefault="000331D8" w:rsidP="000331D8">
      <w:pPr>
        <w:pStyle w:val="ListParagraph"/>
        <w:numPr>
          <w:ilvl w:val="0"/>
          <w:numId w:val="17"/>
        </w:numPr>
      </w:pPr>
      <w:r>
        <w:t>Free school meal eligibility checks</w:t>
      </w:r>
    </w:p>
    <w:p w:rsidR="000331D8" w:rsidRDefault="000331D8" w:rsidP="000331D8">
      <w:pPr>
        <w:pStyle w:val="ListParagraph"/>
        <w:numPr>
          <w:ilvl w:val="0"/>
          <w:numId w:val="17"/>
        </w:numPr>
      </w:pPr>
      <w:r>
        <w:t>Insurance</w:t>
      </w:r>
    </w:p>
    <w:p w:rsidR="000331D8" w:rsidRDefault="000331D8" w:rsidP="000331D8">
      <w:pPr>
        <w:pStyle w:val="ListParagraph"/>
        <w:numPr>
          <w:ilvl w:val="0"/>
          <w:numId w:val="17"/>
        </w:numPr>
      </w:pPr>
      <w:r>
        <w:t>Museum and library service</w:t>
      </w:r>
    </w:p>
    <w:p w:rsidR="000331D8" w:rsidRDefault="000331D8" w:rsidP="000331D8">
      <w:pPr>
        <w:pStyle w:val="ListParagraph"/>
        <w:numPr>
          <w:ilvl w:val="0"/>
          <w:numId w:val="17"/>
        </w:numPr>
      </w:pPr>
      <w:r>
        <w:t>Licenses/subscriptions</w:t>
      </w:r>
    </w:p>
    <w:p w:rsidR="000331D8" w:rsidRDefault="000331D8" w:rsidP="000331D8">
      <w:pPr>
        <w:pStyle w:val="ListParagraph"/>
        <w:numPr>
          <w:ilvl w:val="0"/>
          <w:numId w:val="17"/>
        </w:numPr>
      </w:pPr>
      <w:r>
        <w:t xml:space="preserve">Staff costs – supply cover (jury service, reserve forces members </w:t>
      </w:r>
      <w:proofErr w:type="spellStart"/>
      <w:r>
        <w:t>etc</w:t>
      </w:r>
      <w:proofErr w:type="spellEnd"/>
      <w:r>
        <w:t>)</w:t>
      </w:r>
    </w:p>
    <w:p w:rsidR="000331D8" w:rsidRDefault="000331D8" w:rsidP="000331D8">
      <w:pPr>
        <w:pStyle w:val="ListParagraph"/>
        <w:numPr>
          <w:ilvl w:val="0"/>
          <w:numId w:val="17"/>
        </w:numPr>
      </w:pPr>
      <w:r>
        <w:t>Staff costs – supply cover for trade union facility time</w:t>
      </w:r>
    </w:p>
    <w:p w:rsidR="000331D8" w:rsidRDefault="000331D8" w:rsidP="000331D8">
      <w:pPr>
        <w:pStyle w:val="ListParagraph"/>
        <w:numPr>
          <w:ilvl w:val="0"/>
          <w:numId w:val="17"/>
        </w:numPr>
      </w:pPr>
      <w:r>
        <w:t>Contribution to combined budgets (central expenditure agreed by Forum)</w:t>
      </w:r>
    </w:p>
    <w:p w:rsidR="000331D8" w:rsidRDefault="000331D8" w:rsidP="000331D8">
      <w:pPr>
        <w:pStyle w:val="ListParagraph"/>
        <w:numPr>
          <w:ilvl w:val="0"/>
          <w:numId w:val="17"/>
        </w:numPr>
      </w:pPr>
      <w:r>
        <w:t>School admissions</w:t>
      </w:r>
    </w:p>
    <w:p w:rsidR="000331D8" w:rsidRDefault="000331D8" w:rsidP="000331D8">
      <w:pPr>
        <w:pStyle w:val="ListParagraph"/>
        <w:numPr>
          <w:ilvl w:val="0"/>
          <w:numId w:val="17"/>
        </w:numPr>
      </w:pPr>
      <w:r>
        <w:t>Servicing of schools forum</w:t>
      </w:r>
    </w:p>
    <w:p w:rsidR="000331D8" w:rsidRDefault="000331D8" w:rsidP="000331D8">
      <w:pPr>
        <w:pStyle w:val="ListParagraph"/>
        <w:numPr>
          <w:ilvl w:val="0"/>
          <w:numId w:val="17"/>
        </w:numPr>
      </w:pPr>
      <w:r>
        <w:t>Termination of employment costs where there are savings to the schools</w:t>
      </w:r>
      <w:r w:rsidR="00F56787">
        <w:t xml:space="preserve"> budget and costs approved by the Schools Forum</w:t>
      </w:r>
    </w:p>
    <w:p w:rsidR="00F56787" w:rsidRDefault="00F56787" w:rsidP="000331D8">
      <w:pPr>
        <w:pStyle w:val="ListParagraph"/>
        <w:numPr>
          <w:ilvl w:val="0"/>
          <w:numId w:val="17"/>
        </w:numPr>
      </w:pPr>
      <w:r>
        <w:t>Falling Rolls Fund</w:t>
      </w:r>
    </w:p>
    <w:p w:rsidR="00F56787" w:rsidRDefault="00F56787" w:rsidP="000331D8">
      <w:pPr>
        <w:pStyle w:val="ListParagraph"/>
        <w:numPr>
          <w:ilvl w:val="0"/>
          <w:numId w:val="17"/>
        </w:numPr>
      </w:pPr>
      <w:r>
        <w:t>Pupil Growth Fund and Infant Class Size funding</w:t>
      </w:r>
    </w:p>
    <w:p w:rsidR="00F56787" w:rsidRDefault="00F56787" w:rsidP="000331D8">
      <w:pPr>
        <w:pStyle w:val="ListParagraph"/>
        <w:numPr>
          <w:ilvl w:val="0"/>
          <w:numId w:val="17"/>
        </w:numPr>
      </w:pPr>
      <w:r>
        <w:t>Capital Expenditure from Revenue (CERA)</w:t>
      </w:r>
    </w:p>
    <w:p w:rsidR="00F56787" w:rsidRDefault="00F56787" w:rsidP="000331D8">
      <w:pPr>
        <w:pStyle w:val="ListParagraph"/>
        <w:numPr>
          <w:ilvl w:val="0"/>
          <w:numId w:val="17"/>
        </w:numPr>
      </w:pPr>
      <w:r>
        <w:t>Prudential Borrowing costs where loans previously taken out</w:t>
      </w:r>
    </w:p>
    <w:p w:rsidR="00F56787" w:rsidRDefault="00F56787" w:rsidP="000331D8">
      <w:pPr>
        <w:pStyle w:val="ListParagraph"/>
        <w:numPr>
          <w:ilvl w:val="0"/>
          <w:numId w:val="17"/>
        </w:numPr>
      </w:pPr>
      <w:r>
        <w:t>Fees to Independent Schools for pupils without SEN</w:t>
      </w:r>
    </w:p>
    <w:p w:rsidR="00F56787" w:rsidRDefault="00F56787" w:rsidP="000331D8">
      <w:pPr>
        <w:pStyle w:val="ListParagraph"/>
        <w:numPr>
          <w:ilvl w:val="0"/>
          <w:numId w:val="17"/>
        </w:numPr>
      </w:pPr>
      <w:r>
        <w:t>Equal pay/back pay – centrally retained provision for meeting the cost of settlements</w:t>
      </w:r>
    </w:p>
    <w:p w:rsidR="00F56787" w:rsidRDefault="00F56787" w:rsidP="000331D8">
      <w:pPr>
        <w:pStyle w:val="ListParagraph"/>
        <w:numPr>
          <w:ilvl w:val="0"/>
          <w:numId w:val="17"/>
        </w:numPr>
      </w:pPr>
      <w:r>
        <w:t>SEN transport – only where expenditure is offset by savings to the schools budget (</w:t>
      </w:r>
      <w:proofErr w:type="spellStart"/>
      <w:r>
        <w:t>e.g</w:t>
      </w:r>
      <w:proofErr w:type="spellEnd"/>
      <w:r>
        <w:t xml:space="preserve"> pupils returning to local area from Independent Special Schools) and approved by Schools Forum</w:t>
      </w:r>
    </w:p>
    <w:p w:rsidR="00F56787" w:rsidRDefault="00F56787" w:rsidP="000331D8">
      <w:pPr>
        <w:pStyle w:val="ListParagraph"/>
        <w:numPr>
          <w:ilvl w:val="0"/>
          <w:numId w:val="17"/>
        </w:numPr>
      </w:pPr>
      <w:r>
        <w:t>Exceptions agreed by the Secretary of State</w:t>
      </w:r>
    </w:p>
    <w:p w:rsidR="00F56787" w:rsidRDefault="00F56787" w:rsidP="000331D8">
      <w:pPr>
        <w:pStyle w:val="ListParagraph"/>
        <w:numPr>
          <w:ilvl w:val="0"/>
          <w:numId w:val="17"/>
        </w:numPr>
      </w:pPr>
      <w:r>
        <w:t>Copyright licences negotiated nationally for all publicly funded schools</w:t>
      </w:r>
    </w:p>
    <w:p w:rsidR="00F56787" w:rsidRDefault="00F56787" w:rsidP="000331D8">
      <w:pPr>
        <w:pStyle w:val="ListParagraph"/>
        <w:numPr>
          <w:ilvl w:val="0"/>
          <w:numId w:val="17"/>
        </w:numPr>
      </w:pPr>
      <w:r>
        <w:t>Other specific grants whether devolved to schools or not (not Pupil premium)</w:t>
      </w:r>
    </w:p>
    <w:p w:rsidR="00F56787" w:rsidRDefault="00F56787" w:rsidP="00F56787"/>
    <w:p w:rsidR="00F56787" w:rsidRDefault="00F56787" w:rsidP="00F56787">
      <w:r>
        <w:t>4.3</w:t>
      </w:r>
      <w:r>
        <w:tab/>
        <w:t>The following headings</w:t>
      </w:r>
      <w:r w:rsidR="007A3488">
        <w:t xml:space="preserve"> are classified as </w:t>
      </w:r>
      <w:proofErr w:type="gramStart"/>
      <w:r w:rsidR="007A3488">
        <w:t>Early</w:t>
      </w:r>
      <w:proofErr w:type="gramEnd"/>
      <w:r w:rsidR="007A3488">
        <w:t xml:space="preserve"> years expenditure:</w:t>
      </w:r>
    </w:p>
    <w:p w:rsidR="001035E8" w:rsidRDefault="001035E8" w:rsidP="00F56787"/>
    <w:p w:rsidR="00BE5483" w:rsidRDefault="00BE5483" w:rsidP="00BE5483">
      <w:pPr>
        <w:pStyle w:val="ListParagraph"/>
        <w:numPr>
          <w:ilvl w:val="0"/>
          <w:numId w:val="19"/>
        </w:numPr>
      </w:pPr>
      <w:r>
        <w:t>Free entitlement for 2,3 and 4 year olds</w:t>
      </w:r>
    </w:p>
    <w:p w:rsidR="00BE5483" w:rsidRDefault="00BE5483" w:rsidP="00BE5483">
      <w:pPr>
        <w:pStyle w:val="ListParagraph"/>
        <w:numPr>
          <w:ilvl w:val="0"/>
          <w:numId w:val="19"/>
        </w:numPr>
      </w:pPr>
      <w:r>
        <w:t>Central expenditure on children under 5</w:t>
      </w:r>
    </w:p>
    <w:p w:rsidR="00BE5483" w:rsidRDefault="00BE5483" w:rsidP="00BE5483"/>
    <w:p w:rsidR="001035E8" w:rsidRDefault="001035E8" w:rsidP="00BE5483"/>
    <w:p w:rsidR="001035E8" w:rsidRDefault="001035E8" w:rsidP="00BE5483"/>
    <w:p w:rsidR="001035E8" w:rsidRDefault="001035E8" w:rsidP="00BE5483"/>
    <w:p w:rsidR="00BE5483" w:rsidRDefault="00BE5483" w:rsidP="00BE5483">
      <w:r>
        <w:lastRenderedPageBreak/>
        <w:t>4.4</w:t>
      </w:r>
      <w:r>
        <w:tab/>
        <w:t>The following headings are High Needs Block items:</w:t>
      </w:r>
    </w:p>
    <w:p w:rsidR="001035E8" w:rsidRDefault="001035E8" w:rsidP="00BE5483"/>
    <w:p w:rsidR="00BE5483" w:rsidRDefault="00BE5483" w:rsidP="00BE5483">
      <w:pPr>
        <w:pStyle w:val="ListParagraph"/>
        <w:numPr>
          <w:ilvl w:val="0"/>
          <w:numId w:val="20"/>
        </w:numPr>
      </w:pPr>
      <w:r>
        <w:t>Place-led funding for specialist places in special units/resource bases, special schools and PRU/alternative provision</w:t>
      </w:r>
    </w:p>
    <w:p w:rsidR="00BE5483" w:rsidRDefault="00BE5483" w:rsidP="00BE5483">
      <w:pPr>
        <w:pStyle w:val="ListParagraph"/>
        <w:numPr>
          <w:ilvl w:val="0"/>
          <w:numId w:val="20"/>
        </w:numPr>
      </w:pPr>
      <w:r>
        <w:t>Top up funding for specialist places as above</w:t>
      </w:r>
    </w:p>
    <w:p w:rsidR="00BE5483" w:rsidRDefault="00BE5483" w:rsidP="00BE5483">
      <w:pPr>
        <w:pStyle w:val="ListParagraph"/>
        <w:numPr>
          <w:ilvl w:val="0"/>
          <w:numId w:val="20"/>
        </w:numPr>
      </w:pPr>
      <w:r>
        <w:t>Funding for pupils at non-maintained special schools (top ups) and independent schools (full costs)</w:t>
      </w:r>
    </w:p>
    <w:p w:rsidR="00BE5483" w:rsidRDefault="00BE5483" w:rsidP="00BE5483">
      <w:pPr>
        <w:pStyle w:val="ListParagraph"/>
        <w:numPr>
          <w:ilvl w:val="0"/>
          <w:numId w:val="20"/>
        </w:numPr>
      </w:pPr>
      <w:r>
        <w:t xml:space="preserve">Additional high needs targeted funding for mainstream schools </w:t>
      </w:r>
      <w:proofErr w:type="spellStart"/>
      <w:r>
        <w:t>e.g</w:t>
      </w:r>
      <w:proofErr w:type="spellEnd"/>
      <w:r>
        <w:t xml:space="preserve"> whose notional SEN budget is insufficient to </w:t>
      </w:r>
      <w:proofErr w:type="spellStart"/>
      <w:r>
        <w:t>met</w:t>
      </w:r>
      <w:proofErr w:type="spellEnd"/>
      <w:r>
        <w:t xml:space="preserve"> the additional support costs of pupils with SEN</w:t>
      </w:r>
    </w:p>
    <w:p w:rsidR="00BE5483" w:rsidRDefault="00BE5483" w:rsidP="00BE5483">
      <w:pPr>
        <w:pStyle w:val="ListParagraph"/>
        <w:numPr>
          <w:ilvl w:val="0"/>
          <w:numId w:val="20"/>
        </w:numPr>
      </w:pPr>
      <w:r>
        <w:t>SEN support services provided directly or commissioned by the LA</w:t>
      </w:r>
    </w:p>
    <w:p w:rsidR="00BE5483" w:rsidRDefault="00BE5483" w:rsidP="00BE5483">
      <w:pPr>
        <w:pStyle w:val="ListParagraph"/>
        <w:numPr>
          <w:ilvl w:val="0"/>
          <w:numId w:val="20"/>
        </w:numPr>
      </w:pPr>
      <w:r>
        <w:t>Hospital education services</w:t>
      </w:r>
    </w:p>
    <w:p w:rsidR="00BE5483" w:rsidRDefault="00BE5483" w:rsidP="00BE5483">
      <w:pPr>
        <w:pStyle w:val="ListParagraph"/>
        <w:numPr>
          <w:ilvl w:val="0"/>
          <w:numId w:val="20"/>
        </w:numPr>
      </w:pPr>
      <w:r>
        <w:t>Other alternative provision services provided directly or commissioned by the LA</w:t>
      </w:r>
    </w:p>
    <w:p w:rsidR="00BE5483" w:rsidRDefault="00BE5483" w:rsidP="00BE5483">
      <w:pPr>
        <w:pStyle w:val="ListParagraph"/>
        <w:numPr>
          <w:ilvl w:val="0"/>
          <w:numId w:val="20"/>
        </w:numPr>
      </w:pPr>
      <w:r>
        <w:t xml:space="preserve">Support for inclusion, </w:t>
      </w:r>
      <w:proofErr w:type="spellStart"/>
      <w:r>
        <w:t>e.g</w:t>
      </w:r>
      <w:proofErr w:type="spellEnd"/>
      <w:r>
        <w:t xml:space="preserve"> central expenditure to support collaboration </w:t>
      </w:r>
      <w:proofErr w:type="spellStart"/>
      <w:r>
        <w:t>bwtween</w:t>
      </w:r>
      <w:proofErr w:type="spellEnd"/>
      <w:r>
        <w:t xml:space="preserve"> schools for inclusion of children with SEN in mainstream activities and devolved expenditure for outreach services</w:t>
      </w:r>
    </w:p>
    <w:p w:rsidR="00BE5483" w:rsidRDefault="00BE5483" w:rsidP="00BE5483">
      <w:pPr>
        <w:pStyle w:val="ListParagraph"/>
        <w:numPr>
          <w:ilvl w:val="0"/>
          <w:numId w:val="20"/>
        </w:numPr>
      </w:pPr>
      <w:r>
        <w:t>Speci</w:t>
      </w:r>
      <w:r w:rsidR="00FA4687">
        <w:t>a</w:t>
      </w:r>
      <w:r>
        <w:t>l schools and PRUs in financial difficulty</w:t>
      </w:r>
    </w:p>
    <w:p w:rsidR="00BE5483" w:rsidRDefault="00FA4687" w:rsidP="00BE5483">
      <w:pPr>
        <w:pStyle w:val="ListParagraph"/>
        <w:numPr>
          <w:ilvl w:val="0"/>
          <w:numId w:val="20"/>
        </w:numPr>
      </w:pPr>
      <w:r>
        <w:t>PFI/BSF costs at special schools and AP/PRUs where funded outside Place Plus funding arrangements</w:t>
      </w:r>
    </w:p>
    <w:p w:rsidR="00FA4687" w:rsidRDefault="00FA4687" w:rsidP="00BE5483">
      <w:pPr>
        <w:pStyle w:val="ListParagraph"/>
        <w:numPr>
          <w:ilvl w:val="0"/>
          <w:numId w:val="20"/>
        </w:numPr>
      </w:pPr>
      <w:r>
        <w:t>Direct payments to parents of children with an EHCP including transport</w:t>
      </w:r>
    </w:p>
    <w:p w:rsidR="00FA4687" w:rsidRDefault="00FA4687" w:rsidP="00BE5483">
      <w:pPr>
        <w:pStyle w:val="ListParagraph"/>
        <w:numPr>
          <w:ilvl w:val="0"/>
          <w:numId w:val="20"/>
        </w:numPr>
      </w:pPr>
      <w:r>
        <w:t>Carbon reduction commitment purchased allowance for PRUs</w:t>
      </w:r>
    </w:p>
    <w:p w:rsidR="00FA4687" w:rsidRDefault="00FA4687" w:rsidP="00FA4687"/>
    <w:p w:rsidR="00FA4687" w:rsidRDefault="00FA4687" w:rsidP="00FA4687">
      <w:pPr>
        <w:rPr>
          <w:b/>
        </w:rPr>
      </w:pPr>
      <w:r w:rsidRPr="00FA4687">
        <w:rPr>
          <w:b/>
        </w:rPr>
        <w:t>5.</w:t>
      </w:r>
      <w:r>
        <w:rPr>
          <w:b/>
        </w:rPr>
        <w:tab/>
        <w:t>Education Services Grant</w:t>
      </w:r>
    </w:p>
    <w:p w:rsidR="00FA4687" w:rsidRDefault="00FA4687" w:rsidP="00FA4687">
      <w:pPr>
        <w:rPr>
          <w:b/>
        </w:rPr>
      </w:pPr>
    </w:p>
    <w:p w:rsidR="00FA4687" w:rsidRDefault="00FA4687" w:rsidP="00FA4687">
      <w:pPr>
        <w:ind w:left="720" w:hanging="720"/>
      </w:pPr>
      <w:r>
        <w:t>5.1</w:t>
      </w:r>
      <w:r>
        <w:tab/>
        <w:t>The Education Services Grant is provided to local authorities in relation to LA maintained schools, and to academies for the additional responsibilities that transfer to them from the LA.  It is a non-ring fenced grant, meaning that the recipients can decide how it is spent; there is no obligation to prove that expenditure has been incurred precisely on the functions for which it is given.</w:t>
      </w:r>
    </w:p>
    <w:p w:rsidR="00FA4687" w:rsidRDefault="00FA4687" w:rsidP="00FA4687">
      <w:pPr>
        <w:ind w:left="720" w:hanging="720"/>
      </w:pPr>
    </w:p>
    <w:p w:rsidR="00FA4687" w:rsidRDefault="00FA4687" w:rsidP="00FA4687">
      <w:pPr>
        <w:ind w:left="720" w:hanging="720"/>
      </w:pPr>
      <w:r>
        <w:t>5.2</w:t>
      </w:r>
      <w:r>
        <w:tab/>
        <w:t>The rates of the grant for 2016/17 are:</w:t>
      </w:r>
    </w:p>
    <w:p w:rsidR="001035E8" w:rsidRDefault="001035E8" w:rsidP="00FA4687">
      <w:pPr>
        <w:ind w:left="720" w:hanging="720"/>
      </w:pPr>
    </w:p>
    <w:p w:rsidR="00FA4687" w:rsidRDefault="00FA4687" w:rsidP="00FA4687">
      <w:pPr>
        <w:pStyle w:val="ListParagraph"/>
        <w:numPr>
          <w:ilvl w:val="0"/>
          <w:numId w:val="21"/>
        </w:numPr>
      </w:pPr>
      <w:r>
        <w:t>£77 per mainstream pupil</w:t>
      </w:r>
    </w:p>
    <w:p w:rsidR="00FA4687" w:rsidRDefault="00FA4687" w:rsidP="00FA4687">
      <w:pPr>
        <w:pStyle w:val="ListParagraph"/>
        <w:numPr>
          <w:ilvl w:val="0"/>
          <w:numId w:val="21"/>
        </w:numPr>
      </w:pPr>
      <w:r>
        <w:t>£288.75 per PRU place</w:t>
      </w:r>
    </w:p>
    <w:p w:rsidR="00FA4687" w:rsidRDefault="00FA4687" w:rsidP="00FA4687">
      <w:pPr>
        <w:pStyle w:val="ListParagraph"/>
        <w:numPr>
          <w:ilvl w:val="0"/>
          <w:numId w:val="21"/>
        </w:numPr>
      </w:pPr>
      <w:r>
        <w:t>£327.25 per special school place</w:t>
      </w:r>
    </w:p>
    <w:p w:rsidR="00FA4687" w:rsidRDefault="00FA4687" w:rsidP="00FA4687">
      <w:pPr>
        <w:pStyle w:val="ListParagraph"/>
        <w:numPr>
          <w:ilvl w:val="0"/>
          <w:numId w:val="21"/>
        </w:numPr>
      </w:pPr>
      <w:r>
        <w:t>£18 per pupil for all state funded schools</w:t>
      </w:r>
    </w:p>
    <w:p w:rsidR="00FA4687" w:rsidRDefault="00FA4687" w:rsidP="00FA4687"/>
    <w:p w:rsidR="006A389A" w:rsidRDefault="006A389A" w:rsidP="006A389A">
      <w:pPr>
        <w:ind w:left="720" w:hanging="720"/>
      </w:pPr>
      <w:r>
        <w:t>5.3</w:t>
      </w:r>
      <w:r>
        <w:tab/>
        <w:t>The functions for which Education Services is provided fall into two categories: those performed on behalf of maintained schools (i.e. excluding academies and free schools) and those performed on behalf of all publicly funded schools.  The overarching legislation is found in sections 13,13A,</w:t>
      </w:r>
      <w:r w:rsidR="0030093E">
        <w:t xml:space="preserve"> </w:t>
      </w:r>
      <w:r>
        <w:t>and 14 of the Education Act 1996, which require local authorities to:</w:t>
      </w:r>
    </w:p>
    <w:p w:rsidR="006A389A" w:rsidRDefault="006A389A" w:rsidP="006A389A">
      <w:pPr>
        <w:ind w:left="720" w:hanging="720"/>
      </w:pPr>
    </w:p>
    <w:p w:rsidR="006A389A" w:rsidRDefault="006A389A" w:rsidP="006A389A">
      <w:pPr>
        <w:pStyle w:val="ListParagraph"/>
        <w:numPr>
          <w:ilvl w:val="0"/>
          <w:numId w:val="22"/>
        </w:numPr>
      </w:pPr>
      <w:r>
        <w:t>Ensure that efficient primary, secondary and further education is available to meet the needs of their population</w:t>
      </w:r>
    </w:p>
    <w:p w:rsidR="006A389A" w:rsidRDefault="006A389A" w:rsidP="006A389A">
      <w:pPr>
        <w:pStyle w:val="ListParagraph"/>
        <w:numPr>
          <w:ilvl w:val="0"/>
          <w:numId w:val="22"/>
        </w:numPr>
      </w:pPr>
      <w:r>
        <w:t xml:space="preserve">Ensure that their education functions are exercised with a view to promoting high standards ensuring fair access to opportunity for education </w:t>
      </w:r>
      <w:proofErr w:type="spellStart"/>
      <w:r>
        <w:t>ans</w:t>
      </w:r>
      <w:proofErr w:type="spellEnd"/>
      <w:r>
        <w:t xml:space="preserve"> learning, and promote the fulfilment of learning potential</w:t>
      </w:r>
    </w:p>
    <w:p w:rsidR="006A389A" w:rsidRDefault="006A389A" w:rsidP="006A389A">
      <w:pPr>
        <w:pStyle w:val="ListParagraph"/>
        <w:numPr>
          <w:ilvl w:val="0"/>
          <w:numId w:val="22"/>
        </w:numPr>
      </w:pPr>
      <w:r>
        <w:t>Secure that sufficient schools for providing primary and secondary education are available for their area.</w:t>
      </w:r>
    </w:p>
    <w:p w:rsidR="006A389A" w:rsidRDefault="006A389A" w:rsidP="006A389A"/>
    <w:p w:rsidR="006A389A" w:rsidRDefault="006A389A" w:rsidP="006A389A">
      <w:pPr>
        <w:ind w:left="720" w:hanging="720"/>
      </w:pPr>
      <w:r>
        <w:t>5.4</w:t>
      </w:r>
      <w:r>
        <w:tab/>
      </w:r>
      <w:r w:rsidR="008F0E1C">
        <w:t>T</w:t>
      </w:r>
      <w:r>
        <w:t>he LA responsibilities covered by the Education Services Grant</w:t>
      </w:r>
      <w:r w:rsidR="008F0E1C">
        <w:t xml:space="preserve"> and SLA’s are set out in the headings below.</w:t>
      </w:r>
      <w:r w:rsidR="001035E8">
        <w:t xml:space="preserve"> The headings covered are:</w:t>
      </w:r>
    </w:p>
    <w:p w:rsidR="001035E8" w:rsidRDefault="001035E8" w:rsidP="006A389A">
      <w:pPr>
        <w:ind w:left="720" w:hanging="720"/>
      </w:pPr>
    </w:p>
    <w:p w:rsidR="001035E8" w:rsidRDefault="001035E8" w:rsidP="001035E8">
      <w:pPr>
        <w:pStyle w:val="ListParagraph"/>
        <w:numPr>
          <w:ilvl w:val="0"/>
          <w:numId w:val="23"/>
        </w:numPr>
      </w:pPr>
      <w:r>
        <w:t>School Improvement</w:t>
      </w:r>
    </w:p>
    <w:p w:rsidR="001035E8" w:rsidRDefault="001035E8" w:rsidP="001035E8">
      <w:pPr>
        <w:pStyle w:val="ListParagraph"/>
        <w:numPr>
          <w:ilvl w:val="0"/>
          <w:numId w:val="23"/>
        </w:numPr>
      </w:pPr>
      <w:r>
        <w:lastRenderedPageBreak/>
        <w:t>Statutory a</w:t>
      </w:r>
      <w:r w:rsidR="008F0E1C">
        <w:t>nd regulatory duties.</w:t>
      </w:r>
      <w:r>
        <w:t xml:space="preserve">  N.B headings such as finance, information and HR are not to be confused with the support services funding already delegated to schools – the statutory and regulatory duties relate to functions performed for LA services.</w:t>
      </w:r>
    </w:p>
    <w:p w:rsidR="001035E8" w:rsidRDefault="001035E8" w:rsidP="001035E8">
      <w:pPr>
        <w:pStyle w:val="ListParagraph"/>
        <w:numPr>
          <w:ilvl w:val="0"/>
          <w:numId w:val="23"/>
        </w:numPr>
      </w:pPr>
      <w:r>
        <w:t>Education Welfare Service</w:t>
      </w:r>
    </w:p>
    <w:p w:rsidR="001035E8" w:rsidRDefault="001035E8" w:rsidP="001035E8">
      <w:pPr>
        <w:pStyle w:val="ListParagraph"/>
        <w:numPr>
          <w:ilvl w:val="0"/>
          <w:numId w:val="23"/>
        </w:numPr>
      </w:pPr>
      <w:r>
        <w:t xml:space="preserve">Central Pupil Support services – e.g. clothing grants, music services, outdoor education </w:t>
      </w:r>
      <w:proofErr w:type="spellStart"/>
      <w:r>
        <w:t>etc</w:t>
      </w:r>
      <w:proofErr w:type="spellEnd"/>
    </w:p>
    <w:p w:rsidR="001035E8" w:rsidRDefault="001035E8" w:rsidP="001035E8">
      <w:pPr>
        <w:pStyle w:val="ListParagraph"/>
        <w:numPr>
          <w:ilvl w:val="0"/>
          <w:numId w:val="23"/>
        </w:numPr>
      </w:pPr>
      <w:r>
        <w:t>Asset Management</w:t>
      </w:r>
    </w:p>
    <w:p w:rsidR="001035E8" w:rsidRDefault="001035E8" w:rsidP="001035E8">
      <w:pPr>
        <w:pStyle w:val="ListParagraph"/>
        <w:numPr>
          <w:ilvl w:val="0"/>
          <w:numId w:val="23"/>
        </w:numPr>
      </w:pPr>
      <w:r>
        <w:t>Premature retirement/redundancy costs</w:t>
      </w:r>
    </w:p>
    <w:p w:rsidR="001035E8" w:rsidRDefault="001035E8" w:rsidP="001035E8">
      <w:pPr>
        <w:pStyle w:val="ListParagraph"/>
        <w:numPr>
          <w:ilvl w:val="0"/>
          <w:numId w:val="23"/>
        </w:numPr>
      </w:pPr>
      <w:r>
        <w:t>Therapies and other health-related services</w:t>
      </w:r>
    </w:p>
    <w:p w:rsidR="001035E8" w:rsidRDefault="001035E8" w:rsidP="001035E8">
      <w:pPr>
        <w:pStyle w:val="ListParagraph"/>
        <w:numPr>
          <w:ilvl w:val="0"/>
          <w:numId w:val="23"/>
        </w:numPr>
      </w:pPr>
      <w:r>
        <w:t>Monitoring national curriculum assessment</w:t>
      </w:r>
    </w:p>
    <w:p w:rsidR="001035E8" w:rsidRDefault="001035E8" w:rsidP="001035E8"/>
    <w:p w:rsidR="001035E8" w:rsidRDefault="001035E8" w:rsidP="001035E8">
      <w:pPr>
        <w:rPr>
          <w:b/>
        </w:rPr>
      </w:pPr>
      <w:r>
        <w:rPr>
          <w:b/>
        </w:rPr>
        <w:t>6.</w:t>
      </w:r>
      <w:r>
        <w:rPr>
          <w:b/>
        </w:rPr>
        <w:tab/>
        <w:t>Other Non-Schools Budget Items</w:t>
      </w:r>
    </w:p>
    <w:p w:rsidR="001035E8" w:rsidRDefault="001035E8" w:rsidP="001035E8">
      <w:pPr>
        <w:rPr>
          <w:b/>
        </w:rPr>
      </w:pPr>
    </w:p>
    <w:p w:rsidR="001035E8" w:rsidRDefault="001035E8" w:rsidP="001035E8">
      <w:pPr>
        <w:ind w:left="720" w:hanging="720"/>
      </w:pPr>
      <w:r>
        <w:t>6.1</w:t>
      </w:r>
      <w:r>
        <w:tab/>
        <w:t>Services classified as education and community services which are not covered by the Education Services Grant</w:t>
      </w:r>
      <w:r w:rsidR="00CE02E5">
        <w:t>, but funded from Council Tax and general government grants an SLA’s are:</w:t>
      </w:r>
    </w:p>
    <w:p w:rsidR="00CE02E5" w:rsidRDefault="00CE02E5" w:rsidP="001035E8">
      <w:pPr>
        <w:ind w:left="720" w:hanging="720"/>
      </w:pPr>
    </w:p>
    <w:p w:rsidR="00CE02E5" w:rsidRDefault="00CE02E5" w:rsidP="00CE02E5">
      <w:pPr>
        <w:pStyle w:val="ListParagraph"/>
        <w:numPr>
          <w:ilvl w:val="0"/>
          <w:numId w:val="24"/>
        </w:numPr>
      </w:pPr>
      <w:r>
        <w:t>Education Psychology Service</w:t>
      </w:r>
    </w:p>
    <w:p w:rsidR="00CE02E5" w:rsidRDefault="00CE02E5" w:rsidP="00CE02E5">
      <w:pPr>
        <w:pStyle w:val="ListParagraph"/>
        <w:numPr>
          <w:ilvl w:val="0"/>
          <w:numId w:val="24"/>
        </w:numPr>
      </w:pPr>
      <w:r>
        <w:t>SEN administration, assessment, coordination and monitoring of SEN provision – including identification and assessment of children with SEN and disability and the making, maintaining and reviewing of Education Health and Care Plans</w:t>
      </w:r>
    </w:p>
    <w:p w:rsidR="00CE02E5" w:rsidRDefault="00CE02E5" w:rsidP="00CE02E5">
      <w:pPr>
        <w:pStyle w:val="ListParagraph"/>
        <w:numPr>
          <w:ilvl w:val="0"/>
          <w:numId w:val="24"/>
        </w:numPr>
      </w:pPr>
      <w:r>
        <w:t>Independent advice and support services (parent partnership) guidance and informat</w:t>
      </w:r>
      <w:r w:rsidR="008F0E1C">
        <w:t xml:space="preserve">ion, and provision of </w:t>
      </w:r>
      <w:r>
        <w:t>mediation services/dispute resolution</w:t>
      </w:r>
    </w:p>
    <w:p w:rsidR="00CE02E5" w:rsidRDefault="00CE02E5" w:rsidP="00CE02E5">
      <w:pPr>
        <w:pStyle w:val="ListParagraph"/>
        <w:numPr>
          <w:ilvl w:val="0"/>
          <w:numId w:val="24"/>
        </w:numPr>
      </w:pPr>
      <w:r>
        <w:t>Home to school transport ( pre and post 16) for SEN and PRU provision according to local policy</w:t>
      </w:r>
    </w:p>
    <w:p w:rsidR="00CE02E5" w:rsidRDefault="00CE02E5" w:rsidP="00CE02E5">
      <w:pPr>
        <w:pStyle w:val="ListParagraph"/>
        <w:numPr>
          <w:ilvl w:val="0"/>
          <w:numId w:val="24"/>
        </w:numPr>
      </w:pPr>
      <w:r>
        <w:t>Home to school transport ( pre and post 16) for mainstream provision according to local policy</w:t>
      </w:r>
    </w:p>
    <w:p w:rsidR="00CE02E5" w:rsidRDefault="00CE02E5" w:rsidP="00CE02E5">
      <w:pPr>
        <w:pStyle w:val="ListParagraph"/>
        <w:numPr>
          <w:ilvl w:val="0"/>
          <w:numId w:val="24"/>
        </w:numPr>
      </w:pPr>
      <w:r>
        <w:t>Planning and managing the supply of school places</w:t>
      </w:r>
    </w:p>
    <w:p w:rsidR="00CE02E5" w:rsidRDefault="00CE02E5" w:rsidP="00CE02E5">
      <w:pPr>
        <w:pStyle w:val="ListParagraph"/>
        <w:numPr>
          <w:ilvl w:val="0"/>
          <w:numId w:val="24"/>
        </w:numPr>
      </w:pPr>
      <w:r>
        <w:t>Young people’s learning and development e.</w:t>
      </w:r>
      <w:r w:rsidR="008F0E1C">
        <w:t>g.</w:t>
      </w:r>
      <w:r>
        <w:t xml:space="preserve"> direct provision on apprenticeships/entry to employment, NEETs work, education business links </w:t>
      </w:r>
      <w:proofErr w:type="spellStart"/>
      <w:r>
        <w:t>etc</w:t>
      </w:r>
      <w:proofErr w:type="spellEnd"/>
    </w:p>
    <w:p w:rsidR="00CE02E5" w:rsidRDefault="00CE02E5" w:rsidP="00CE02E5">
      <w:pPr>
        <w:pStyle w:val="ListParagraph"/>
        <w:numPr>
          <w:ilvl w:val="0"/>
          <w:numId w:val="24"/>
        </w:numPr>
      </w:pPr>
      <w:r>
        <w:t>Adult and community learning</w:t>
      </w:r>
    </w:p>
    <w:p w:rsidR="00CE02E5" w:rsidRDefault="00CE02E5" w:rsidP="00CE02E5">
      <w:pPr>
        <w:pStyle w:val="ListParagraph"/>
        <w:numPr>
          <w:ilvl w:val="0"/>
          <w:numId w:val="24"/>
        </w:numPr>
      </w:pPr>
      <w:r>
        <w:t>Pension costs relating to historic commitments/residual liability</w:t>
      </w:r>
    </w:p>
    <w:p w:rsidR="00CE02E5" w:rsidRDefault="00CE02E5" w:rsidP="00CE02E5">
      <w:pPr>
        <w:pStyle w:val="ListParagraph"/>
        <w:numPr>
          <w:ilvl w:val="0"/>
          <w:numId w:val="24"/>
        </w:numPr>
      </w:pPr>
      <w:r>
        <w:t>Joint use arrangements relating to education other than for school premises</w:t>
      </w:r>
    </w:p>
    <w:p w:rsidR="00CE02E5" w:rsidRDefault="00CE02E5" w:rsidP="00CE02E5">
      <w:pPr>
        <w:pStyle w:val="ListParagraph"/>
        <w:numPr>
          <w:ilvl w:val="0"/>
          <w:numId w:val="24"/>
        </w:numPr>
      </w:pPr>
      <w:r>
        <w:t>Insurance</w:t>
      </w:r>
      <w:r w:rsidR="00AA3492">
        <w:t xml:space="preserve"> relating to education other than for school premises</w:t>
      </w:r>
    </w:p>
    <w:p w:rsidR="00AA3492" w:rsidRPr="001035E8" w:rsidRDefault="00AA3492" w:rsidP="00CE02E5">
      <w:pPr>
        <w:pStyle w:val="ListParagraph"/>
        <w:numPr>
          <w:ilvl w:val="0"/>
          <w:numId w:val="24"/>
        </w:numPr>
      </w:pPr>
      <w:r>
        <w:t>Other specific grants whether devolved to school or not (not childcare)</w:t>
      </w:r>
    </w:p>
    <w:p w:rsidR="001035E8" w:rsidRPr="00FA4687" w:rsidRDefault="001035E8" w:rsidP="006A389A">
      <w:pPr>
        <w:ind w:left="720" w:hanging="720"/>
      </w:pPr>
    </w:p>
    <w:sectPr w:rsidR="001035E8" w:rsidRPr="00FA4687" w:rsidSect="00D73061">
      <w:headerReference w:type="even" r:id="rId10"/>
      <w:headerReference w:type="default" r:id="rId11"/>
      <w:footerReference w:type="even" r:id="rId12"/>
      <w:footerReference w:type="default" r:id="rId13"/>
      <w:pgSz w:w="11909" w:h="16834" w:code="9"/>
      <w:pgMar w:top="1440" w:right="1440" w:bottom="864" w:left="1440" w:header="70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2E5" w:rsidRDefault="00CE02E5" w:rsidP="00F516D4">
      <w:pPr>
        <w:pStyle w:val="Footer"/>
      </w:pPr>
      <w:r>
        <w:separator/>
      </w:r>
    </w:p>
  </w:endnote>
  <w:endnote w:type="continuationSeparator" w:id="0">
    <w:p w:rsidR="00CE02E5" w:rsidRDefault="00CE02E5" w:rsidP="00F516D4">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E5" w:rsidRDefault="00CE02E5" w:rsidP="00B43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02E5" w:rsidRDefault="00CE02E5" w:rsidP="00B4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E5" w:rsidRDefault="00CE02E5" w:rsidP="00B4328E">
    <w:pPr>
      <w:pStyle w:val="Footer"/>
      <w:framePr w:wrap="around" w:vAnchor="text" w:hAnchor="margin" w:xAlign="right" w:y="1"/>
      <w:rPr>
        <w:rStyle w:val="PageNumber"/>
      </w:rPr>
    </w:pPr>
  </w:p>
  <w:p w:rsidR="00CE02E5" w:rsidRDefault="00CE02E5" w:rsidP="00B4328E">
    <w:pPr>
      <w:pStyle w:val="Footer"/>
      <w:ind w:right="360"/>
      <w:rPr>
        <w:sz w:val="12"/>
        <w:szCs w:val="12"/>
      </w:rPr>
    </w:pPr>
  </w:p>
  <w:p w:rsidR="00CE02E5" w:rsidRDefault="00CE02E5" w:rsidP="00B4328E">
    <w:pPr>
      <w:pStyle w:val="Footer"/>
      <w:ind w:right="360"/>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2E5" w:rsidRDefault="00CE02E5" w:rsidP="00F516D4">
      <w:pPr>
        <w:pStyle w:val="Footer"/>
      </w:pPr>
      <w:r>
        <w:separator/>
      </w:r>
    </w:p>
  </w:footnote>
  <w:footnote w:type="continuationSeparator" w:id="0">
    <w:p w:rsidR="00CE02E5" w:rsidRDefault="00CE02E5" w:rsidP="00F516D4">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E5" w:rsidRDefault="00CE02E5" w:rsidP="00254D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02E5" w:rsidRDefault="00CE02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E5" w:rsidRDefault="00CE02E5" w:rsidP="00254D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7111">
      <w:rPr>
        <w:rStyle w:val="PageNumber"/>
        <w:noProof/>
      </w:rPr>
      <w:t>5</w:t>
    </w:r>
    <w:r>
      <w:rPr>
        <w:rStyle w:val="PageNumber"/>
      </w:rPr>
      <w:fldChar w:fldCharType="end"/>
    </w:r>
  </w:p>
  <w:p w:rsidR="00CE02E5" w:rsidRDefault="00CE0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7720"/>
    <w:multiLevelType w:val="hybridMultilevel"/>
    <w:tmpl w:val="993AC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35F55B7"/>
    <w:multiLevelType w:val="hybridMultilevel"/>
    <w:tmpl w:val="283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031852"/>
    <w:multiLevelType w:val="hybridMultilevel"/>
    <w:tmpl w:val="8E90C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1543FC2"/>
    <w:multiLevelType w:val="hybridMultilevel"/>
    <w:tmpl w:val="5AB06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4633599"/>
    <w:multiLevelType w:val="hybridMultilevel"/>
    <w:tmpl w:val="FB86F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nsid w:val="28B14909"/>
    <w:multiLevelType w:val="hybridMultilevel"/>
    <w:tmpl w:val="3B78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2914BC"/>
    <w:multiLevelType w:val="hybridMultilevel"/>
    <w:tmpl w:val="3996A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AB10AF2"/>
    <w:multiLevelType w:val="multilevel"/>
    <w:tmpl w:val="2098AF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DF79C4"/>
    <w:multiLevelType w:val="hybridMultilevel"/>
    <w:tmpl w:val="2BC45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2AA5C60"/>
    <w:multiLevelType w:val="hybridMultilevel"/>
    <w:tmpl w:val="236897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463689A"/>
    <w:multiLevelType w:val="hybridMultilevel"/>
    <w:tmpl w:val="37588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55955F6"/>
    <w:multiLevelType w:val="hybridMultilevel"/>
    <w:tmpl w:val="1136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921FFD"/>
    <w:multiLevelType w:val="hybridMultilevel"/>
    <w:tmpl w:val="B80AF3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7AF5819"/>
    <w:multiLevelType w:val="hybridMultilevel"/>
    <w:tmpl w:val="1632D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A2F7F79"/>
    <w:multiLevelType w:val="hybridMultilevel"/>
    <w:tmpl w:val="48F09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D025896"/>
    <w:multiLevelType w:val="hybridMultilevel"/>
    <w:tmpl w:val="85C200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EE12D32"/>
    <w:multiLevelType w:val="hybridMultilevel"/>
    <w:tmpl w:val="2048D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5A776A4"/>
    <w:multiLevelType w:val="hybridMultilevel"/>
    <w:tmpl w:val="A026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F70898"/>
    <w:multiLevelType w:val="hybridMultilevel"/>
    <w:tmpl w:val="DD963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45E1768"/>
    <w:multiLevelType w:val="hybridMultilevel"/>
    <w:tmpl w:val="294CA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6987AC0"/>
    <w:multiLevelType w:val="hybridMultilevel"/>
    <w:tmpl w:val="E592B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7D0494E"/>
    <w:multiLevelType w:val="hybridMultilevel"/>
    <w:tmpl w:val="D2C42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E1B29F7"/>
    <w:multiLevelType w:val="hybridMultilevel"/>
    <w:tmpl w:val="15884C98"/>
    <w:lvl w:ilvl="0" w:tplc="E410B8E0">
      <w:start w:val="5"/>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7"/>
  </w:num>
  <w:num w:numId="3">
    <w:abstractNumId w:val="4"/>
  </w:num>
  <w:num w:numId="4">
    <w:abstractNumId w:val="19"/>
  </w:num>
  <w:num w:numId="5">
    <w:abstractNumId w:val="9"/>
  </w:num>
  <w:num w:numId="6">
    <w:abstractNumId w:val="13"/>
  </w:num>
  <w:num w:numId="7">
    <w:abstractNumId w:val="23"/>
  </w:num>
  <w:num w:numId="8">
    <w:abstractNumId w:val="15"/>
  </w:num>
  <w:num w:numId="9">
    <w:abstractNumId w:val="1"/>
  </w:num>
  <w:num w:numId="10">
    <w:abstractNumId w:val="10"/>
  </w:num>
  <w:num w:numId="11">
    <w:abstractNumId w:val="2"/>
  </w:num>
  <w:num w:numId="12">
    <w:abstractNumId w:val="22"/>
  </w:num>
  <w:num w:numId="13">
    <w:abstractNumId w:val="18"/>
  </w:num>
  <w:num w:numId="14">
    <w:abstractNumId w:val="6"/>
  </w:num>
  <w:num w:numId="15">
    <w:abstractNumId w:val="8"/>
  </w:num>
  <w:num w:numId="16">
    <w:abstractNumId w:val="12"/>
  </w:num>
  <w:num w:numId="17">
    <w:abstractNumId w:val="21"/>
  </w:num>
  <w:num w:numId="18">
    <w:abstractNumId w:val="20"/>
  </w:num>
  <w:num w:numId="19">
    <w:abstractNumId w:val="14"/>
  </w:num>
  <w:num w:numId="20">
    <w:abstractNumId w:val="11"/>
  </w:num>
  <w:num w:numId="21">
    <w:abstractNumId w:val="3"/>
  </w:num>
  <w:num w:numId="22">
    <w:abstractNumId w:val="7"/>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8A"/>
    <w:rsid w:val="00032643"/>
    <w:rsid w:val="000331D8"/>
    <w:rsid w:val="00042997"/>
    <w:rsid w:val="00044B69"/>
    <w:rsid w:val="00050200"/>
    <w:rsid w:val="00056A38"/>
    <w:rsid w:val="000648F6"/>
    <w:rsid w:val="00067F40"/>
    <w:rsid w:val="00071EF5"/>
    <w:rsid w:val="000868D6"/>
    <w:rsid w:val="000B0E55"/>
    <w:rsid w:val="000B77B1"/>
    <w:rsid w:val="000D475D"/>
    <w:rsid w:val="000D7965"/>
    <w:rsid w:val="000E2241"/>
    <w:rsid w:val="000F2E74"/>
    <w:rsid w:val="000F4D02"/>
    <w:rsid w:val="001035E8"/>
    <w:rsid w:val="001036A6"/>
    <w:rsid w:val="001047EA"/>
    <w:rsid w:val="00112F03"/>
    <w:rsid w:val="00120AAA"/>
    <w:rsid w:val="00120AD9"/>
    <w:rsid w:val="00133390"/>
    <w:rsid w:val="00137F7B"/>
    <w:rsid w:val="0015379B"/>
    <w:rsid w:val="00153A3A"/>
    <w:rsid w:val="00153E75"/>
    <w:rsid w:val="0016617F"/>
    <w:rsid w:val="00171DF2"/>
    <w:rsid w:val="0017241F"/>
    <w:rsid w:val="001858C9"/>
    <w:rsid w:val="001915E8"/>
    <w:rsid w:val="00191A1A"/>
    <w:rsid w:val="001A0337"/>
    <w:rsid w:val="001A1E4E"/>
    <w:rsid w:val="001A3AEE"/>
    <w:rsid w:val="001A68EA"/>
    <w:rsid w:val="001C00C1"/>
    <w:rsid w:val="001C191A"/>
    <w:rsid w:val="001C5B90"/>
    <w:rsid w:val="001C6701"/>
    <w:rsid w:val="001D4231"/>
    <w:rsid w:val="001E692E"/>
    <w:rsid w:val="002018DD"/>
    <w:rsid w:val="0020284E"/>
    <w:rsid w:val="0020596F"/>
    <w:rsid w:val="00211C6B"/>
    <w:rsid w:val="0021302B"/>
    <w:rsid w:val="00217EDC"/>
    <w:rsid w:val="00240FAA"/>
    <w:rsid w:val="00242149"/>
    <w:rsid w:val="00254DDA"/>
    <w:rsid w:val="002603BB"/>
    <w:rsid w:val="002610EC"/>
    <w:rsid w:val="002642E8"/>
    <w:rsid w:val="00274829"/>
    <w:rsid w:val="002756DD"/>
    <w:rsid w:val="00285B9E"/>
    <w:rsid w:val="00297D0A"/>
    <w:rsid w:val="002B089F"/>
    <w:rsid w:val="002B1943"/>
    <w:rsid w:val="002B27C6"/>
    <w:rsid w:val="002C6BB6"/>
    <w:rsid w:val="002D0B55"/>
    <w:rsid w:val="002E05D0"/>
    <w:rsid w:val="002F42E1"/>
    <w:rsid w:val="002F45FC"/>
    <w:rsid w:val="002F6324"/>
    <w:rsid w:val="0030093E"/>
    <w:rsid w:val="00300EB9"/>
    <w:rsid w:val="0031526C"/>
    <w:rsid w:val="00331D01"/>
    <w:rsid w:val="00332304"/>
    <w:rsid w:val="00344C21"/>
    <w:rsid w:val="00345017"/>
    <w:rsid w:val="003511AD"/>
    <w:rsid w:val="00352177"/>
    <w:rsid w:val="00355ABB"/>
    <w:rsid w:val="00372012"/>
    <w:rsid w:val="0037455A"/>
    <w:rsid w:val="00374C5D"/>
    <w:rsid w:val="0037624D"/>
    <w:rsid w:val="00376BAA"/>
    <w:rsid w:val="0038240F"/>
    <w:rsid w:val="00392CC3"/>
    <w:rsid w:val="0039337B"/>
    <w:rsid w:val="003B4C74"/>
    <w:rsid w:val="003C5670"/>
    <w:rsid w:val="003D4BD1"/>
    <w:rsid w:val="003D70BB"/>
    <w:rsid w:val="003F0FB4"/>
    <w:rsid w:val="003F6A9C"/>
    <w:rsid w:val="004049CA"/>
    <w:rsid w:val="00406F60"/>
    <w:rsid w:val="00407AE0"/>
    <w:rsid w:val="00411EBA"/>
    <w:rsid w:val="004127BA"/>
    <w:rsid w:val="004127BD"/>
    <w:rsid w:val="00412A1F"/>
    <w:rsid w:val="004140F5"/>
    <w:rsid w:val="00420401"/>
    <w:rsid w:val="00427111"/>
    <w:rsid w:val="00431169"/>
    <w:rsid w:val="004362B0"/>
    <w:rsid w:val="00437726"/>
    <w:rsid w:val="004457BB"/>
    <w:rsid w:val="004470C8"/>
    <w:rsid w:val="004523B7"/>
    <w:rsid w:val="00455B77"/>
    <w:rsid w:val="00465A3F"/>
    <w:rsid w:val="00467348"/>
    <w:rsid w:val="00481717"/>
    <w:rsid w:val="004A4CD4"/>
    <w:rsid w:val="004A56F7"/>
    <w:rsid w:val="004C2E96"/>
    <w:rsid w:val="004C52C4"/>
    <w:rsid w:val="004D0CE6"/>
    <w:rsid w:val="004D1F38"/>
    <w:rsid w:val="004D49C5"/>
    <w:rsid w:val="004D6B2E"/>
    <w:rsid w:val="004E2017"/>
    <w:rsid w:val="00504D29"/>
    <w:rsid w:val="00516276"/>
    <w:rsid w:val="00517E13"/>
    <w:rsid w:val="00520B5B"/>
    <w:rsid w:val="005211DC"/>
    <w:rsid w:val="0052251F"/>
    <w:rsid w:val="00522819"/>
    <w:rsid w:val="005436A5"/>
    <w:rsid w:val="005437D1"/>
    <w:rsid w:val="00544F5B"/>
    <w:rsid w:val="00554215"/>
    <w:rsid w:val="005621E1"/>
    <w:rsid w:val="00567A5B"/>
    <w:rsid w:val="005929B8"/>
    <w:rsid w:val="005A2993"/>
    <w:rsid w:val="005C0593"/>
    <w:rsid w:val="005C1B98"/>
    <w:rsid w:val="005D6F62"/>
    <w:rsid w:val="005D749A"/>
    <w:rsid w:val="005E3A7E"/>
    <w:rsid w:val="005F593A"/>
    <w:rsid w:val="00603AE2"/>
    <w:rsid w:val="006100B5"/>
    <w:rsid w:val="00610FC1"/>
    <w:rsid w:val="00612FFA"/>
    <w:rsid w:val="00616C84"/>
    <w:rsid w:val="00625905"/>
    <w:rsid w:val="00630E9F"/>
    <w:rsid w:val="00631BBD"/>
    <w:rsid w:val="006322C1"/>
    <w:rsid w:val="006347E6"/>
    <w:rsid w:val="006509AF"/>
    <w:rsid w:val="00651D3E"/>
    <w:rsid w:val="00655B9E"/>
    <w:rsid w:val="006628BF"/>
    <w:rsid w:val="00663927"/>
    <w:rsid w:val="00670FFE"/>
    <w:rsid w:val="0067193A"/>
    <w:rsid w:val="00676145"/>
    <w:rsid w:val="0067745C"/>
    <w:rsid w:val="00686993"/>
    <w:rsid w:val="00690B18"/>
    <w:rsid w:val="00690B30"/>
    <w:rsid w:val="006935CE"/>
    <w:rsid w:val="00695D43"/>
    <w:rsid w:val="006A389A"/>
    <w:rsid w:val="006A4557"/>
    <w:rsid w:val="006B1418"/>
    <w:rsid w:val="006B43E3"/>
    <w:rsid w:val="006C28DC"/>
    <w:rsid w:val="006C3C30"/>
    <w:rsid w:val="006E177E"/>
    <w:rsid w:val="006E446D"/>
    <w:rsid w:val="006F11AC"/>
    <w:rsid w:val="006F635C"/>
    <w:rsid w:val="007026FB"/>
    <w:rsid w:val="00711D37"/>
    <w:rsid w:val="007230F0"/>
    <w:rsid w:val="007254E6"/>
    <w:rsid w:val="00734EDC"/>
    <w:rsid w:val="00737E40"/>
    <w:rsid w:val="007402D1"/>
    <w:rsid w:val="007422D1"/>
    <w:rsid w:val="00743892"/>
    <w:rsid w:val="00754255"/>
    <w:rsid w:val="00763E0A"/>
    <w:rsid w:val="00767CD1"/>
    <w:rsid w:val="00772FEA"/>
    <w:rsid w:val="00774C00"/>
    <w:rsid w:val="00785CEC"/>
    <w:rsid w:val="00786EBC"/>
    <w:rsid w:val="00790208"/>
    <w:rsid w:val="00792887"/>
    <w:rsid w:val="00792F20"/>
    <w:rsid w:val="00797D9D"/>
    <w:rsid w:val="007A3488"/>
    <w:rsid w:val="007C69C6"/>
    <w:rsid w:val="007D0E73"/>
    <w:rsid w:val="007E1A65"/>
    <w:rsid w:val="007E5CC3"/>
    <w:rsid w:val="007E6C89"/>
    <w:rsid w:val="008117E7"/>
    <w:rsid w:val="008147C5"/>
    <w:rsid w:val="00816BDA"/>
    <w:rsid w:val="0082076C"/>
    <w:rsid w:val="008508BA"/>
    <w:rsid w:val="00855589"/>
    <w:rsid w:val="00860FDB"/>
    <w:rsid w:val="00862C6B"/>
    <w:rsid w:val="00865E4D"/>
    <w:rsid w:val="008775D3"/>
    <w:rsid w:val="008777EA"/>
    <w:rsid w:val="008869CA"/>
    <w:rsid w:val="008876A0"/>
    <w:rsid w:val="008934FC"/>
    <w:rsid w:val="008A4194"/>
    <w:rsid w:val="008A5D3A"/>
    <w:rsid w:val="008A6A1E"/>
    <w:rsid w:val="008B5F24"/>
    <w:rsid w:val="008D031A"/>
    <w:rsid w:val="008F0A0A"/>
    <w:rsid w:val="008F0E1C"/>
    <w:rsid w:val="00901241"/>
    <w:rsid w:val="0090487E"/>
    <w:rsid w:val="00913562"/>
    <w:rsid w:val="009167DE"/>
    <w:rsid w:val="0092047B"/>
    <w:rsid w:val="00934FB1"/>
    <w:rsid w:val="009369E1"/>
    <w:rsid w:val="0095163D"/>
    <w:rsid w:val="00952AD2"/>
    <w:rsid w:val="009650F1"/>
    <w:rsid w:val="0098261E"/>
    <w:rsid w:val="00984F31"/>
    <w:rsid w:val="009875AE"/>
    <w:rsid w:val="00994266"/>
    <w:rsid w:val="00994880"/>
    <w:rsid w:val="00996650"/>
    <w:rsid w:val="009A3ED2"/>
    <w:rsid w:val="009A5352"/>
    <w:rsid w:val="009B395E"/>
    <w:rsid w:val="009D0505"/>
    <w:rsid w:val="009D2306"/>
    <w:rsid w:val="009D5DE6"/>
    <w:rsid w:val="009E59E2"/>
    <w:rsid w:val="009E6D8F"/>
    <w:rsid w:val="009F3689"/>
    <w:rsid w:val="00A206EF"/>
    <w:rsid w:val="00A20F12"/>
    <w:rsid w:val="00A24E4E"/>
    <w:rsid w:val="00A317AA"/>
    <w:rsid w:val="00A41565"/>
    <w:rsid w:val="00A43715"/>
    <w:rsid w:val="00A473C3"/>
    <w:rsid w:val="00A65D1E"/>
    <w:rsid w:val="00A751EF"/>
    <w:rsid w:val="00A8285C"/>
    <w:rsid w:val="00A872CB"/>
    <w:rsid w:val="00A96CAF"/>
    <w:rsid w:val="00A97D95"/>
    <w:rsid w:val="00AA3492"/>
    <w:rsid w:val="00AB3565"/>
    <w:rsid w:val="00AB7F59"/>
    <w:rsid w:val="00AD378F"/>
    <w:rsid w:val="00AD6FC2"/>
    <w:rsid w:val="00AE0484"/>
    <w:rsid w:val="00AE0F8E"/>
    <w:rsid w:val="00AE2DBC"/>
    <w:rsid w:val="00AF0EBB"/>
    <w:rsid w:val="00B056E5"/>
    <w:rsid w:val="00B11110"/>
    <w:rsid w:val="00B33E8B"/>
    <w:rsid w:val="00B34C1B"/>
    <w:rsid w:val="00B34CDC"/>
    <w:rsid w:val="00B3630D"/>
    <w:rsid w:val="00B4328E"/>
    <w:rsid w:val="00B746E8"/>
    <w:rsid w:val="00B82ABA"/>
    <w:rsid w:val="00B908C0"/>
    <w:rsid w:val="00BA5A7B"/>
    <w:rsid w:val="00BB323C"/>
    <w:rsid w:val="00BB60FB"/>
    <w:rsid w:val="00BC5AD9"/>
    <w:rsid w:val="00BD1FB3"/>
    <w:rsid w:val="00BD5DD2"/>
    <w:rsid w:val="00BE2447"/>
    <w:rsid w:val="00BE39C5"/>
    <w:rsid w:val="00BE4C76"/>
    <w:rsid w:val="00BE4C93"/>
    <w:rsid w:val="00BE5483"/>
    <w:rsid w:val="00C0210E"/>
    <w:rsid w:val="00C0723B"/>
    <w:rsid w:val="00C13ED7"/>
    <w:rsid w:val="00C14E73"/>
    <w:rsid w:val="00C258F4"/>
    <w:rsid w:val="00C32546"/>
    <w:rsid w:val="00C33FFC"/>
    <w:rsid w:val="00C45B47"/>
    <w:rsid w:val="00C46E6D"/>
    <w:rsid w:val="00C53DF9"/>
    <w:rsid w:val="00C5488C"/>
    <w:rsid w:val="00C55E31"/>
    <w:rsid w:val="00C560E1"/>
    <w:rsid w:val="00C644C8"/>
    <w:rsid w:val="00C67EE6"/>
    <w:rsid w:val="00C70EFC"/>
    <w:rsid w:val="00C77CF7"/>
    <w:rsid w:val="00C81054"/>
    <w:rsid w:val="00C935C3"/>
    <w:rsid w:val="00CA08C2"/>
    <w:rsid w:val="00CB7DC6"/>
    <w:rsid w:val="00CC44F8"/>
    <w:rsid w:val="00CD24C1"/>
    <w:rsid w:val="00CD618A"/>
    <w:rsid w:val="00CE02E5"/>
    <w:rsid w:val="00CF48C6"/>
    <w:rsid w:val="00CF5906"/>
    <w:rsid w:val="00CF671F"/>
    <w:rsid w:val="00D018C1"/>
    <w:rsid w:val="00D02B79"/>
    <w:rsid w:val="00D03005"/>
    <w:rsid w:val="00D05038"/>
    <w:rsid w:val="00D054BE"/>
    <w:rsid w:val="00D13DA0"/>
    <w:rsid w:val="00D1458C"/>
    <w:rsid w:val="00D15F3C"/>
    <w:rsid w:val="00D374A6"/>
    <w:rsid w:val="00D41EA5"/>
    <w:rsid w:val="00D427B6"/>
    <w:rsid w:val="00D517D4"/>
    <w:rsid w:val="00D5520D"/>
    <w:rsid w:val="00D55CAE"/>
    <w:rsid w:val="00D56E8B"/>
    <w:rsid w:val="00D73061"/>
    <w:rsid w:val="00D864B9"/>
    <w:rsid w:val="00DA0959"/>
    <w:rsid w:val="00DB773C"/>
    <w:rsid w:val="00DD1BAB"/>
    <w:rsid w:val="00DD1BD0"/>
    <w:rsid w:val="00DE46BD"/>
    <w:rsid w:val="00DE7119"/>
    <w:rsid w:val="00DF3C9A"/>
    <w:rsid w:val="00E238FD"/>
    <w:rsid w:val="00E24E7C"/>
    <w:rsid w:val="00E424CE"/>
    <w:rsid w:val="00E451AA"/>
    <w:rsid w:val="00E45BF3"/>
    <w:rsid w:val="00E4632E"/>
    <w:rsid w:val="00E5571D"/>
    <w:rsid w:val="00E57292"/>
    <w:rsid w:val="00E610B1"/>
    <w:rsid w:val="00E67CC9"/>
    <w:rsid w:val="00E76FDB"/>
    <w:rsid w:val="00E77449"/>
    <w:rsid w:val="00E80D54"/>
    <w:rsid w:val="00E83B6A"/>
    <w:rsid w:val="00E86615"/>
    <w:rsid w:val="00E91548"/>
    <w:rsid w:val="00EA6EFE"/>
    <w:rsid w:val="00EB0362"/>
    <w:rsid w:val="00EC657A"/>
    <w:rsid w:val="00EC69D2"/>
    <w:rsid w:val="00EC70E3"/>
    <w:rsid w:val="00ED013C"/>
    <w:rsid w:val="00ED37CC"/>
    <w:rsid w:val="00ED7ED8"/>
    <w:rsid w:val="00EE1418"/>
    <w:rsid w:val="00EE3AB3"/>
    <w:rsid w:val="00EE5316"/>
    <w:rsid w:val="00EF30F0"/>
    <w:rsid w:val="00F058CD"/>
    <w:rsid w:val="00F06167"/>
    <w:rsid w:val="00F100C1"/>
    <w:rsid w:val="00F16AC7"/>
    <w:rsid w:val="00F22D78"/>
    <w:rsid w:val="00F278F8"/>
    <w:rsid w:val="00F37BC9"/>
    <w:rsid w:val="00F37FD5"/>
    <w:rsid w:val="00F42AB3"/>
    <w:rsid w:val="00F42E4F"/>
    <w:rsid w:val="00F516D4"/>
    <w:rsid w:val="00F538A4"/>
    <w:rsid w:val="00F53E9A"/>
    <w:rsid w:val="00F5559F"/>
    <w:rsid w:val="00F56787"/>
    <w:rsid w:val="00F678BA"/>
    <w:rsid w:val="00F67960"/>
    <w:rsid w:val="00F87BCF"/>
    <w:rsid w:val="00F944A2"/>
    <w:rsid w:val="00FA4687"/>
    <w:rsid w:val="00FA7CD5"/>
    <w:rsid w:val="00FC5148"/>
    <w:rsid w:val="00FD2BCF"/>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8A"/>
    <w:rPr>
      <w:rFonts w:ascii="Arial" w:hAnsi="Arial"/>
      <w:sz w:val="22"/>
      <w:szCs w:val="22"/>
    </w:rPr>
  </w:style>
  <w:style w:type="paragraph" w:styleId="Heading2">
    <w:name w:val="heading 2"/>
    <w:basedOn w:val="Normal"/>
    <w:next w:val="Normal"/>
    <w:qFormat/>
    <w:rsid w:val="00CD618A"/>
    <w:pPr>
      <w:keepNext/>
      <w:jc w:val="center"/>
      <w:outlineLvl w:val="1"/>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18A"/>
    <w:pPr>
      <w:tabs>
        <w:tab w:val="center" w:pos="4153"/>
        <w:tab w:val="right" w:pos="8306"/>
      </w:tabs>
    </w:pPr>
    <w:rPr>
      <w:rFonts w:cs="Arial"/>
      <w:szCs w:val="24"/>
      <w:lang w:eastAsia="en-US"/>
    </w:rPr>
  </w:style>
  <w:style w:type="paragraph" w:styleId="Footer">
    <w:name w:val="footer"/>
    <w:basedOn w:val="Normal"/>
    <w:rsid w:val="00631BBD"/>
    <w:pPr>
      <w:tabs>
        <w:tab w:val="center" w:pos="4320"/>
        <w:tab w:val="right" w:pos="8640"/>
      </w:tabs>
    </w:pPr>
  </w:style>
  <w:style w:type="paragraph" w:styleId="BalloonText">
    <w:name w:val="Balloon Text"/>
    <w:basedOn w:val="Normal"/>
    <w:semiHidden/>
    <w:rsid w:val="004C52C4"/>
    <w:rPr>
      <w:rFonts w:ascii="Tahoma" w:hAnsi="Tahoma" w:cs="Tahoma"/>
      <w:sz w:val="16"/>
      <w:szCs w:val="16"/>
    </w:rPr>
  </w:style>
  <w:style w:type="character" w:styleId="PageNumber">
    <w:name w:val="page number"/>
    <w:basedOn w:val="DefaultParagraphFont"/>
    <w:rsid w:val="00D13DA0"/>
  </w:style>
  <w:style w:type="paragraph" w:customStyle="1" w:styleId="DeptOutNumbered">
    <w:name w:val="DeptOutNumbered"/>
    <w:basedOn w:val="Normal"/>
    <w:rsid w:val="00C45B47"/>
    <w:pPr>
      <w:numPr>
        <w:numId w:val="1"/>
      </w:numPr>
      <w:overflowPunct w:val="0"/>
      <w:autoSpaceDE w:val="0"/>
      <w:autoSpaceDN w:val="0"/>
      <w:adjustRightInd w:val="0"/>
      <w:spacing w:after="240"/>
      <w:textAlignment w:val="baseline"/>
    </w:pPr>
    <w:rPr>
      <w:sz w:val="24"/>
      <w:szCs w:val="20"/>
      <w:lang w:eastAsia="en-US"/>
    </w:rPr>
  </w:style>
  <w:style w:type="table" w:styleId="TableGrid">
    <w:name w:val="Table Grid"/>
    <w:basedOn w:val="TableNormal"/>
    <w:rsid w:val="008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F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8A"/>
    <w:rPr>
      <w:rFonts w:ascii="Arial" w:hAnsi="Arial"/>
      <w:sz w:val="22"/>
      <w:szCs w:val="22"/>
    </w:rPr>
  </w:style>
  <w:style w:type="paragraph" w:styleId="Heading2">
    <w:name w:val="heading 2"/>
    <w:basedOn w:val="Normal"/>
    <w:next w:val="Normal"/>
    <w:qFormat/>
    <w:rsid w:val="00CD618A"/>
    <w:pPr>
      <w:keepNext/>
      <w:jc w:val="center"/>
      <w:outlineLvl w:val="1"/>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18A"/>
    <w:pPr>
      <w:tabs>
        <w:tab w:val="center" w:pos="4153"/>
        <w:tab w:val="right" w:pos="8306"/>
      </w:tabs>
    </w:pPr>
    <w:rPr>
      <w:rFonts w:cs="Arial"/>
      <w:szCs w:val="24"/>
      <w:lang w:eastAsia="en-US"/>
    </w:rPr>
  </w:style>
  <w:style w:type="paragraph" w:styleId="Footer">
    <w:name w:val="footer"/>
    <w:basedOn w:val="Normal"/>
    <w:rsid w:val="00631BBD"/>
    <w:pPr>
      <w:tabs>
        <w:tab w:val="center" w:pos="4320"/>
        <w:tab w:val="right" w:pos="8640"/>
      </w:tabs>
    </w:pPr>
  </w:style>
  <w:style w:type="paragraph" w:styleId="BalloonText">
    <w:name w:val="Balloon Text"/>
    <w:basedOn w:val="Normal"/>
    <w:semiHidden/>
    <w:rsid w:val="004C52C4"/>
    <w:rPr>
      <w:rFonts w:ascii="Tahoma" w:hAnsi="Tahoma" w:cs="Tahoma"/>
      <w:sz w:val="16"/>
      <w:szCs w:val="16"/>
    </w:rPr>
  </w:style>
  <w:style w:type="character" w:styleId="PageNumber">
    <w:name w:val="page number"/>
    <w:basedOn w:val="DefaultParagraphFont"/>
    <w:rsid w:val="00D13DA0"/>
  </w:style>
  <w:style w:type="paragraph" w:customStyle="1" w:styleId="DeptOutNumbered">
    <w:name w:val="DeptOutNumbered"/>
    <w:basedOn w:val="Normal"/>
    <w:rsid w:val="00C45B47"/>
    <w:pPr>
      <w:numPr>
        <w:numId w:val="1"/>
      </w:numPr>
      <w:overflowPunct w:val="0"/>
      <w:autoSpaceDE w:val="0"/>
      <w:autoSpaceDN w:val="0"/>
      <w:adjustRightInd w:val="0"/>
      <w:spacing w:after="240"/>
      <w:textAlignment w:val="baseline"/>
    </w:pPr>
    <w:rPr>
      <w:sz w:val="24"/>
      <w:szCs w:val="20"/>
      <w:lang w:eastAsia="en-US"/>
    </w:rPr>
  </w:style>
  <w:style w:type="table" w:styleId="TableGrid">
    <w:name w:val="Table Grid"/>
    <w:basedOn w:val="TableNormal"/>
    <w:rsid w:val="008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F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28518">
      <w:bodyDiv w:val="1"/>
      <w:marLeft w:val="0"/>
      <w:marRight w:val="0"/>
      <w:marTop w:val="0"/>
      <w:marBottom w:val="0"/>
      <w:divBdr>
        <w:top w:val="none" w:sz="0" w:space="0" w:color="auto"/>
        <w:left w:val="none" w:sz="0" w:space="0" w:color="auto"/>
        <w:bottom w:val="none" w:sz="0" w:space="0" w:color="auto"/>
        <w:right w:val="none" w:sz="0" w:space="0" w:color="auto"/>
      </w:divBdr>
    </w:div>
    <w:div w:id="21308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1798-36F2-4D9E-800A-0E070397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Papaioannou, Linda</cp:lastModifiedBy>
  <cp:revision>3</cp:revision>
  <cp:lastPrinted>2016-06-20T12:19:00Z</cp:lastPrinted>
  <dcterms:created xsi:type="dcterms:W3CDTF">2016-06-20T12:19:00Z</dcterms:created>
  <dcterms:modified xsi:type="dcterms:W3CDTF">2016-06-20T12:52:00Z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