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D018C1" w:rsidP="00CD618A">
      <w:pPr>
        <w:jc w:val="center"/>
      </w:pPr>
      <w:bookmarkStart w:id="0" w:name="_GoBack"/>
      <w:bookmarkEnd w:id="0"/>
      <w:r>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CD618A" w:rsidRDefault="00CD618A" w:rsidP="00CD618A">
      <w:pPr>
        <w:jc w:val="center"/>
      </w:pPr>
    </w:p>
    <w:tbl>
      <w:tblPr>
        <w:tblW w:w="5000" w:type="pct"/>
        <w:tblLook w:val="0000" w:firstRow="0" w:lastRow="0" w:firstColumn="0" w:lastColumn="0" w:noHBand="0" w:noVBand="0"/>
      </w:tblPr>
      <w:tblGrid>
        <w:gridCol w:w="2265"/>
        <w:gridCol w:w="4772"/>
        <w:gridCol w:w="2208"/>
      </w:tblGrid>
      <w:tr w:rsidR="00CD618A">
        <w:tc>
          <w:tcPr>
            <w:tcW w:w="1225" w:type="pct"/>
          </w:tcPr>
          <w:p w:rsidR="00CD618A" w:rsidRDefault="00CD618A" w:rsidP="00CD618A">
            <w:pPr>
              <w:pStyle w:val="Header"/>
              <w:jc w:val="center"/>
            </w:pPr>
          </w:p>
        </w:tc>
        <w:tc>
          <w:tcPr>
            <w:tcW w:w="2581" w:type="pct"/>
            <w:tcBorders>
              <w:bottom w:val="single" w:sz="4" w:space="0" w:color="auto"/>
            </w:tcBorders>
          </w:tcPr>
          <w:p w:rsidR="00CD618A" w:rsidRPr="009D0A00" w:rsidRDefault="00164BFF" w:rsidP="00164BFF">
            <w:pPr>
              <w:jc w:val="center"/>
              <w:rPr>
                <w:b/>
                <w:bCs/>
                <w:sz w:val="24"/>
              </w:rPr>
            </w:pPr>
            <w:r>
              <w:rPr>
                <w:b/>
                <w:sz w:val="24"/>
              </w:rPr>
              <w:t>Education and Skills</w:t>
            </w:r>
          </w:p>
        </w:tc>
        <w:tc>
          <w:tcPr>
            <w:tcW w:w="1195" w:type="pct"/>
          </w:tcPr>
          <w:p w:rsidR="00CD618A" w:rsidRDefault="00CD618A" w:rsidP="00CD618A">
            <w:pPr>
              <w:rPr>
                <w:b/>
                <w:bCs/>
              </w:rPr>
            </w:pPr>
          </w:p>
        </w:tc>
      </w:tr>
      <w:tr w:rsidR="00CD618A">
        <w:tc>
          <w:tcPr>
            <w:tcW w:w="1225" w:type="pct"/>
          </w:tcPr>
          <w:p w:rsidR="00CD618A" w:rsidRDefault="00CD618A" w:rsidP="00CD618A">
            <w:pPr>
              <w:pStyle w:val="Heading2"/>
            </w:pPr>
          </w:p>
        </w:tc>
        <w:tc>
          <w:tcPr>
            <w:tcW w:w="2581" w:type="pct"/>
            <w:tcBorders>
              <w:top w:val="single" w:sz="4" w:space="0" w:color="auto"/>
            </w:tcBorders>
          </w:tcPr>
          <w:p w:rsidR="00CD618A" w:rsidRPr="00450580" w:rsidRDefault="00CD618A" w:rsidP="00CD618A">
            <w:pPr>
              <w:jc w:val="center"/>
              <w:rPr>
                <w:b/>
                <w:bCs/>
              </w:rPr>
            </w:pPr>
          </w:p>
        </w:tc>
        <w:tc>
          <w:tcPr>
            <w:tcW w:w="1195" w:type="pct"/>
          </w:tcPr>
          <w:p w:rsidR="00CD618A" w:rsidRDefault="00CD618A" w:rsidP="00CD618A">
            <w:pPr>
              <w:rPr>
                <w:b/>
                <w:bCs/>
              </w:rPr>
            </w:pPr>
          </w:p>
        </w:tc>
      </w:tr>
    </w:tbl>
    <w:p w:rsidR="00CD618A" w:rsidRDefault="00CD618A" w:rsidP="00CD618A">
      <w:pPr>
        <w:rPr>
          <w:b/>
          <w:bCs/>
        </w:rPr>
      </w:pPr>
    </w:p>
    <w:p w:rsidR="00CD618A" w:rsidRPr="006A4A6F" w:rsidRDefault="00CD618A" w:rsidP="00CD618A">
      <w:pPr>
        <w:jc w:val="center"/>
        <w:rPr>
          <w:b/>
          <w:sz w:val="28"/>
          <w:szCs w:val="28"/>
        </w:rPr>
      </w:pPr>
      <w:r w:rsidRPr="006A4A6F">
        <w:rPr>
          <w:b/>
          <w:sz w:val="28"/>
          <w:szCs w:val="28"/>
        </w:rPr>
        <w:t>SCHOOLS FORUM</w:t>
      </w:r>
    </w:p>
    <w:p w:rsidR="00CD618A" w:rsidRPr="006A4A6F" w:rsidRDefault="00CD618A" w:rsidP="00CD618A">
      <w:pPr>
        <w:jc w:val="center"/>
        <w:rPr>
          <w:b/>
          <w:sz w:val="28"/>
          <w:szCs w:val="28"/>
        </w:rPr>
      </w:pPr>
    </w:p>
    <w:p w:rsidR="00CD618A" w:rsidRPr="006A4A6F" w:rsidRDefault="0039337B" w:rsidP="00CD618A">
      <w:pPr>
        <w:jc w:val="center"/>
        <w:rPr>
          <w:b/>
          <w:sz w:val="28"/>
          <w:szCs w:val="28"/>
        </w:rPr>
      </w:pPr>
      <w:r>
        <w:rPr>
          <w:b/>
          <w:sz w:val="28"/>
          <w:szCs w:val="28"/>
        </w:rPr>
        <w:t>1</w:t>
      </w:r>
      <w:r w:rsidR="00164BFF">
        <w:rPr>
          <w:b/>
          <w:sz w:val="28"/>
          <w:szCs w:val="28"/>
        </w:rPr>
        <w:t>4 January 2016</w:t>
      </w:r>
    </w:p>
    <w:p w:rsidR="00CD618A" w:rsidRPr="006A4A6F" w:rsidRDefault="00CD618A" w:rsidP="00CD618A">
      <w:pPr>
        <w:jc w:val="center"/>
        <w:rPr>
          <w:b/>
          <w:sz w:val="28"/>
          <w:szCs w:val="28"/>
        </w:rPr>
      </w:pPr>
    </w:p>
    <w:p w:rsidR="00CD618A" w:rsidRDefault="00221E35" w:rsidP="00CD618A">
      <w:pPr>
        <w:jc w:val="center"/>
        <w:rPr>
          <w:b/>
        </w:rPr>
      </w:pPr>
      <w:r>
        <w:rPr>
          <w:b/>
          <w:sz w:val="28"/>
          <w:szCs w:val="28"/>
        </w:rPr>
        <w:t xml:space="preserve">Setting the </w:t>
      </w:r>
      <w:r w:rsidR="00BA5A7B">
        <w:rPr>
          <w:b/>
          <w:sz w:val="28"/>
          <w:szCs w:val="28"/>
        </w:rPr>
        <w:t xml:space="preserve">Dedicated Schools Grant </w:t>
      </w:r>
      <w:r w:rsidR="002B089F">
        <w:rPr>
          <w:b/>
          <w:sz w:val="28"/>
          <w:szCs w:val="28"/>
        </w:rPr>
        <w:t xml:space="preserve">(DSG) </w:t>
      </w:r>
      <w:r w:rsidR="00112F03">
        <w:rPr>
          <w:b/>
          <w:sz w:val="28"/>
          <w:szCs w:val="28"/>
        </w:rPr>
        <w:t>201</w:t>
      </w:r>
      <w:r w:rsidR="00164BFF">
        <w:rPr>
          <w:b/>
          <w:sz w:val="28"/>
          <w:szCs w:val="28"/>
        </w:rPr>
        <w:t>6</w:t>
      </w:r>
      <w:r w:rsidR="00112F03">
        <w:rPr>
          <w:b/>
          <w:sz w:val="28"/>
          <w:szCs w:val="28"/>
        </w:rPr>
        <w:t>/1</w:t>
      </w:r>
      <w:r w:rsidR="00164BFF">
        <w:rPr>
          <w:b/>
          <w:sz w:val="28"/>
          <w:szCs w:val="28"/>
        </w:rPr>
        <w:t>7</w:t>
      </w:r>
    </w:p>
    <w:p w:rsidR="00CD618A" w:rsidRDefault="00CD618A" w:rsidP="00CD618A">
      <w:pPr>
        <w:jc w:val="center"/>
        <w:rPr>
          <w:b/>
        </w:rPr>
      </w:pPr>
    </w:p>
    <w:p w:rsidR="00F67960" w:rsidRDefault="00F67960" w:rsidP="00CD618A">
      <w:pPr>
        <w:jc w:val="center"/>
        <w:rPr>
          <w:b/>
        </w:rPr>
      </w:pPr>
    </w:p>
    <w:p w:rsidR="00CD618A" w:rsidRPr="00754550" w:rsidRDefault="00CD618A" w:rsidP="003C5670">
      <w:pPr>
        <w:rPr>
          <w:b/>
        </w:rPr>
      </w:pPr>
      <w:r w:rsidRPr="00754550">
        <w:rPr>
          <w:b/>
        </w:rPr>
        <w:t>1.</w:t>
      </w:r>
      <w:r w:rsidRPr="00754550">
        <w:rPr>
          <w:b/>
        </w:rPr>
        <w:tab/>
        <w:t>Purpose of the Report</w:t>
      </w:r>
    </w:p>
    <w:p w:rsidR="00CD618A" w:rsidRDefault="00CD618A" w:rsidP="003C5670">
      <w:pPr>
        <w:ind w:left="720"/>
      </w:pPr>
    </w:p>
    <w:p w:rsidR="00B82ABA" w:rsidRPr="00793397" w:rsidRDefault="00B82ABA" w:rsidP="003C5670">
      <w:pPr>
        <w:ind w:left="720"/>
      </w:pPr>
      <w:r>
        <w:t xml:space="preserve">To inform Schools Forum of the </w:t>
      </w:r>
      <w:r w:rsidR="00BA5A7B">
        <w:t xml:space="preserve">anticipated overall </w:t>
      </w:r>
      <w:r w:rsidR="002B089F">
        <w:t xml:space="preserve">DSG </w:t>
      </w:r>
      <w:r w:rsidR="00BA5A7B">
        <w:t xml:space="preserve">for </w:t>
      </w:r>
      <w:r w:rsidR="006509AF">
        <w:t>201</w:t>
      </w:r>
      <w:r w:rsidR="00164BFF">
        <w:t>6</w:t>
      </w:r>
      <w:r w:rsidR="006509AF">
        <w:t>/1</w:t>
      </w:r>
      <w:r w:rsidR="00164BFF">
        <w:t>7</w:t>
      </w:r>
      <w:r w:rsidR="00DA0959">
        <w:t xml:space="preserve"> and to agree the </w:t>
      </w:r>
      <w:r w:rsidR="007E2BB6">
        <w:t>way in which it is to be spent</w:t>
      </w:r>
      <w:r w:rsidR="00DA0959">
        <w:t>.</w:t>
      </w:r>
    </w:p>
    <w:p w:rsidR="00CD618A" w:rsidRDefault="00CD618A" w:rsidP="003C5670">
      <w:pPr>
        <w:ind w:left="720"/>
      </w:pPr>
    </w:p>
    <w:p w:rsidR="00987996" w:rsidRDefault="00987996" w:rsidP="003C5670">
      <w:pPr>
        <w:ind w:left="720"/>
      </w:pPr>
    </w:p>
    <w:p w:rsidR="00CD618A" w:rsidRPr="00161899" w:rsidRDefault="00CD618A" w:rsidP="003C5670">
      <w:pPr>
        <w:rPr>
          <w:b/>
        </w:rPr>
      </w:pPr>
      <w:r w:rsidRPr="00161899">
        <w:rPr>
          <w:b/>
        </w:rPr>
        <w:t>2.</w:t>
      </w:r>
      <w:r w:rsidRPr="00161899">
        <w:rPr>
          <w:b/>
        </w:rPr>
        <w:tab/>
        <w:t>Recommendation</w:t>
      </w:r>
      <w:r w:rsidR="00153E75">
        <w:rPr>
          <w:b/>
        </w:rPr>
        <w:t>s</w:t>
      </w:r>
    </w:p>
    <w:p w:rsidR="00CD618A" w:rsidRDefault="00CD618A" w:rsidP="003C5670"/>
    <w:p w:rsidR="004140F5" w:rsidRDefault="004140F5" w:rsidP="004140F5">
      <w:pPr>
        <w:ind w:left="720" w:hanging="720"/>
      </w:pPr>
      <w:r>
        <w:tab/>
        <w:t xml:space="preserve">It is recommended that the Schools Forum agree </w:t>
      </w:r>
      <w:r w:rsidR="00434E8E">
        <w:t>all of</w:t>
      </w:r>
      <w:r>
        <w:t xml:space="preserve"> the specific recommendations set out </w:t>
      </w:r>
      <w:r w:rsidR="00987996">
        <w:t>in the paragraphs</w:t>
      </w:r>
      <w:r>
        <w:t xml:space="preserve"> </w:t>
      </w:r>
      <w:r w:rsidR="0037624D">
        <w:t>below</w:t>
      </w:r>
      <w:r>
        <w:t>.</w:t>
      </w:r>
    </w:p>
    <w:p w:rsidR="00CD618A" w:rsidRDefault="00CD618A" w:rsidP="003C5670"/>
    <w:p w:rsidR="00987996" w:rsidRDefault="00987996" w:rsidP="003C5670"/>
    <w:p w:rsidR="008A6A1E" w:rsidRDefault="00CD618A" w:rsidP="003C5670">
      <w:pPr>
        <w:rPr>
          <w:b/>
        </w:rPr>
      </w:pPr>
      <w:r w:rsidRPr="00B82ABA">
        <w:rPr>
          <w:b/>
        </w:rPr>
        <w:t>3.</w:t>
      </w:r>
      <w:r w:rsidRPr="00B82ABA">
        <w:rPr>
          <w:b/>
        </w:rPr>
        <w:tab/>
      </w:r>
      <w:r w:rsidR="00B82ABA">
        <w:rPr>
          <w:b/>
        </w:rPr>
        <w:t>Background</w:t>
      </w:r>
    </w:p>
    <w:p w:rsidR="004A4CD4" w:rsidRDefault="004A4CD4" w:rsidP="003C5670">
      <w:pPr>
        <w:rPr>
          <w:b/>
        </w:rPr>
      </w:pPr>
    </w:p>
    <w:p w:rsidR="008147C5" w:rsidRDefault="008147C5" w:rsidP="00392CC3">
      <w:pPr>
        <w:ind w:left="720"/>
      </w:pPr>
      <w:r>
        <w:t xml:space="preserve">The DSG </w:t>
      </w:r>
      <w:r>
        <w:rPr>
          <w:rFonts w:cs="Arial"/>
        </w:rPr>
        <w:t>remains as a ring-fenced grant and is subject to formal grant conditions.  It</w:t>
      </w:r>
      <w:r>
        <w:t xml:space="preserve"> is notionally divided into three Blocks</w:t>
      </w:r>
      <w:r w:rsidR="00187811">
        <w:t>;</w:t>
      </w:r>
      <w:r>
        <w:t xml:space="preserve"> the Schools Block, the Early Years Block and the High Needs Block</w:t>
      </w:r>
      <w:r w:rsidR="00187811">
        <w:t>.  V</w:t>
      </w:r>
      <w:r>
        <w:t>irement is possible amongst these three blocks with the approval of the Schools Forum.</w:t>
      </w:r>
    </w:p>
    <w:p w:rsidR="008147C5" w:rsidRDefault="008147C5" w:rsidP="00392CC3">
      <w:pPr>
        <w:ind w:left="720"/>
      </w:pPr>
    </w:p>
    <w:p w:rsidR="00A96CAF" w:rsidRDefault="004A4CD4" w:rsidP="00392CC3">
      <w:pPr>
        <w:ind w:left="720"/>
      </w:pPr>
      <w:r>
        <w:t>Both the School</w:t>
      </w:r>
      <w:r w:rsidR="00790208">
        <w:t>s</w:t>
      </w:r>
      <w:r>
        <w:t xml:space="preserve"> Block and the Early Years Blocks are funded on a per pupil basis.  The Schools Block </w:t>
      </w:r>
      <w:r w:rsidR="00D05038">
        <w:t xml:space="preserve">is </w:t>
      </w:r>
      <w:r>
        <w:t>based on pupil numbers taken from the October 201</w:t>
      </w:r>
      <w:r w:rsidR="00C863FE">
        <w:t>5</w:t>
      </w:r>
      <w:r>
        <w:t xml:space="preserve"> census.  The Early </w:t>
      </w:r>
      <w:r w:rsidR="00345017">
        <w:t>Y</w:t>
      </w:r>
      <w:r>
        <w:t xml:space="preserve">ears </w:t>
      </w:r>
      <w:r w:rsidR="00A96CAF">
        <w:t>B</w:t>
      </w:r>
      <w:r>
        <w:t>lock</w:t>
      </w:r>
      <w:r w:rsidR="00A96CAF">
        <w:t xml:space="preserve"> will </w:t>
      </w:r>
      <w:r w:rsidR="00790208">
        <w:t xml:space="preserve">ultimately </w:t>
      </w:r>
      <w:r w:rsidR="00A96CAF">
        <w:t>be based on the pupil numbers taken from the January 201</w:t>
      </w:r>
      <w:r w:rsidR="00C863FE">
        <w:t>6</w:t>
      </w:r>
      <w:r w:rsidR="00A96CAF">
        <w:t xml:space="preserve"> </w:t>
      </w:r>
      <w:r w:rsidR="00D05038">
        <w:t>and January 201</w:t>
      </w:r>
      <w:r w:rsidR="00C863FE">
        <w:t>7</w:t>
      </w:r>
      <w:r w:rsidR="00D05038">
        <w:t xml:space="preserve"> </w:t>
      </w:r>
      <w:r w:rsidR="00A96CAF">
        <w:t>census</w:t>
      </w:r>
      <w:r w:rsidR="00D05038">
        <w:t>es</w:t>
      </w:r>
      <w:r w:rsidR="00A96CAF">
        <w:t>.</w:t>
      </w:r>
      <w:r w:rsidR="008147C5">
        <w:t xml:space="preserve">  </w:t>
      </w:r>
      <w:r w:rsidR="00A96CAF">
        <w:t xml:space="preserve">The High Needs </w:t>
      </w:r>
      <w:r w:rsidR="008147C5">
        <w:t>B</w:t>
      </w:r>
      <w:r w:rsidR="00A96CAF">
        <w:t xml:space="preserve">lock is based on historical </w:t>
      </w:r>
      <w:r w:rsidR="004E2017">
        <w:t xml:space="preserve">2012/13 </w:t>
      </w:r>
      <w:r w:rsidR="00A96CAF">
        <w:t xml:space="preserve">information </w:t>
      </w:r>
      <w:r w:rsidR="00D05038">
        <w:t xml:space="preserve">modified for the full year effect </w:t>
      </w:r>
      <w:r w:rsidR="00463AA9">
        <w:t>of</w:t>
      </w:r>
      <w:r w:rsidR="00F419B2">
        <w:t xml:space="preserve"> changes since that date</w:t>
      </w:r>
      <w:r w:rsidR="001E692E">
        <w:t>.  This</w:t>
      </w:r>
      <w:r w:rsidR="00A96CAF">
        <w:t xml:space="preserve"> contain</w:t>
      </w:r>
      <w:r w:rsidR="001E692E">
        <w:t>s</w:t>
      </w:r>
      <w:r w:rsidR="00A96CAF">
        <w:t xml:space="preserve"> funding for all the education provision for High Needs pupils from birth to 25</w:t>
      </w:r>
      <w:r w:rsidR="00CA08C2">
        <w:t>,</w:t>
      </w:r>
      <w:r w:rsidR="00A96CAF">
        <w:t xml:space="preserve"> includ</w:t>
      </w:r>
      <w:r w:rsidR="00CA08C2">
        <w:t>ing</w:t>
      </w:r>
      <w:r w:rsidR="00A96CAF">
        <w:t xml:space="preserve"> the budgets for Special Schools and Units.</w:t>
      </w:r>
    </w:p>
    <w:p w:rsidR="00A96CAF" w:rsidRDefault="00A96CAF" w:rsidP="00392CC3">
      <w:pPr>
        <w:ind w:left="720"/>
        <w:rPr>
          <w:b/>
        </w:rPr>
      </w:pPr>
    </w:p>
    <w:p w:rsidR="00C53DF9" w:rsidRDefault="00C53DF9" w:rsidP="00392CC3">
      <w:pPr>
        <w:ind w:left="720"/>
        <w:rPr>
          <w:rFonts w:cs="Arial"/>
        </w:rPr>
      </w:pPr>
      <w:r>
        <w:rPr>
          <w:rFonts w:cs="Arial"/>
        </w:rPr>
        <w:t xml:space="preserve">For </w:t>
      </w:r>
      <w:r w:rsidR="005621E1">
        <w:rPr>
          <w:rFonts w:cs="Arial"/>
        </w:rPr>
        <w:t>201</w:t>
      </w:r>
      <w:r w:rsidR="00C863FE">
        <w:rPr>
          <w:rFonts w:cs="Arial"/>
        </w:rPr>
        <w:t>6</w:t>
      </w:r>
      <w:r w:rsidR="00B746E8">
        <w:rPr>
          <w:rFonts w:cs="Arial"/>
        </w:rPr>
        <w:t>/</w:t>
      </w:r>
      <w:r w:rsidR="005621E1">
        <w:rPr>
          <w:rFonts w:cs="Arial"/>
        </w:rPr>
        <w:t>1</w:t>
      </w:r>
      <w:r w:rsidR="00C863FE">
        <w:rPr>
          <w:rFonts w:cs="Arial"/>
        </w:rPr>
        <w:t>7</w:t>
      </w:r>
      <w:r w:rsidR="00CF48C6">
        <w:rPr>
          <w:rFonts w:cs="Arial"/>
        </w:rPr>
        <w:t>,</w:t>
      </w:r>
      <w:r>
        <w:rPr>
          <w:rFonts w:cs="Arial"/>
        </w:rPr>
        <w:t xml:space="preserve"> the </w:t>
      </w:r>
      <w:r w:rsidR="00792887">
        <w:rPr>
          <w:rFonts w:cs="Arial"/>
        </w:rPr>
        <w:t>p</w:t>
      </w:r>
      <w:r w:rsidR="00A96CAF">
        <w:rPr>
          <w:rFonts w:cs="Arial"/>
        </w:rPr>
        <w:t xml:space="preserve">er pupil </w:t>
      </w:r>
      <w:r w:rsidR="008F24F8">
        <w:rPr>
          <w:rFonts w:cs="Arial"/>
        </w:rPr>
        <w:t>funding</w:t>
      </w:r>
      <w:r w:rsidR="00A96CAF">
        <w:rPr>
          <w:rFonts w:cs="Arial"/>
        </w:rPr>
        <w:t xml:space="preserve"> for the Schools Block </w:t>
      </w:r>
      <w:r w:rsidR="00B20A81">
        <w:rPr>
          <w:rFonts w:cs="Arial"/>
        </w:rPr>
        <w:t xml:space="preserve">is </w:t>
      </w:r>
      <w:r w:rsidR="00CA08C2">
        <w:rPr>
          <w:rFonts w:cs="Arial"/>
        </w:rPr>
        <w:t>£4,</w:t>
      </w:r>
      <w:r w:rsidR="007E2BB6">
        <w:rPr>
          <w:rFonts w:cs="Arial"/>
        </w:rPr>
        <w:t>54</w:t>
      </w:r>
      <w:r w:rsidR="00B20A81">
        <w:rPr>
          <w:rFonts w:cs="Arial"/>
        </w:rPr>
        <w:t>4</w:t>
      </w:r>
      <w:r w:rsidR="00CA08C2">
        <w:rPr>
          <w:rFonts w:cs="Arial"/>
        </w:rPr>
        <w:t>.</w:t>
      </w:r>
      <w:r w:rsidR="007E2BB6">
        <w:rPr>
          <w:rFonts w:cs="Arial"/>
        </w:rPr>
        <w:t>7</w:t>
      </w:r>
      <w:r w:rsidR="00B20A81">
        <w:rPr>
          <w:rFonts w:cs="Arial"/>
        </w:rPr>
        <w:t>3</w:t>
      </w:r>
      <w:r w:rsidR="00F419B2">
        <w:rPr>
          <w:rFonts w:cs="Arial"/>
        </w:rPr>
        <w:t xml:space="preserve">, </w:t>
      </w:r>
      <w:r w:rsidR="00C863FE">
        <w:rPr>
          <w:rFonts w:cs="Arial"/>
        </w:rPr>
        <w:t xml:space="preserve">formally including the £12m </w:t>
      </w:r>
      <w:r w:rsidR="00F419B2">
        <w:rPr>
          <w:rFonts w:cs="Arial"/>
        </w:rPr>
        <w:t xml:space="preserve">increase </w:t>
      </w:r>
      <w:r w:rsidR="00C863FE">
        <w:rPr>
          <w:rFonts w:cs="Arial"/>
        </w:rPr>
        <w:t>in 2015/16</w:t>
      </w:r>
      <w:r w:rsidR="00F419B2">
        <w:rPr>
          <w:rFonts w:cs="Arial"/>
        </w:rPr>
        <w:t>.  T</w:t>
      </w:r>
      <w:r w:rsidR="00CA08C2">
        <w:rPr>
          <w:rFonts w:cs="Arial"/>
        </w:rPr>
        <w:t xml:space="preserve">he per </w:t>
      </w:r>
      <w:r w:rsidR="00B20A81">
        <w:rPr>
          <w:rFonts w:cs="Arial"/>
        </w:rPr>
        <w:t xml:space="preserve">fte </w:t>
      </w:r>
      <w:r w:rsidR="00CA08C2">
        <w:rPr>
          <w:rFonts w:cs="Arial"/>
        </w:rPr>
        <w:t xml:space="preserve">pupil </w:t>
      </w:r>
      <w:r w:rsidR="008F24F8">
        <w:rPr>
          <w:rFonts w:cs="Arial"/>
        </w:rPr>
        <w:t>funding</w:t>
      </w:r>
      <w:r w:rsidR="00CA08C2">
        <w:rPr>
          <w:rFonts w:cs="Arial"/>
        </w:rPr>
        <w:t xml:space="preserve"> for the Early Years Block </w:t>
      </w:r>
      <w:r w:rsidR="00B20A81">
        <w:rPr>
          <w:rFonts w:cs="Arial"/>
        </w:rPr>
        <w:t xml:space="preserve">remains at </w:t>
      </w:r>
      <w:r w:rsidR="00CA08C2">
        <w:rPr>
          <w:rFonts w:cs="Arial"/>
        </w:rPr>
        <w:t>£3,506.06</w:t>
      </w:r>
      <w:r w:rsidR="00F419B2">
        <w:rPr>
          <w:rFonts w:cs="Arial"/>
        </w:rPr>
        <w:t xml:space="preserve"> (£3.69 per hour) for 3 and 4 year olds</w:t>
      </w:r>
      <w:r w:rsidR="00F56838">
        <w:rPr>
          <w:rFonts w:cs="Arial"/>
        </w:rPr>
        <w:t xml:space="preserve"> and</w:t>
      </w:r>
      <w:r w:rsidR="00B20A81">
        <w:rPr>
          <w:rFonts w:cs="Arial"/>
        </w:rPr>
        <w:t xml:space="preserve"> at</w:t>
      </w:r>
      <w:r w:rsidR="00F419B2">
        <w:rPr>
          <w:rFonts w:cs="Arial"/>
        </w:rPr>
        <w:t xml:space="preserve"> </w:t>
      </w:r>
      <w:r w:rsidR="00B20A81">
        <w:rPr>
          <w:rFonts w:cs="Arial"/>
        </w:rPr>
        <w:t>£4,607.50 (</w:t>
      </w:r>
      <w:r w:rsidR="00F419B2">
        <w:rPr>
          <w:rFonts w:cs="Arial"/>
        </w:rPr>
        <w:t>£4.85 per hour</w:t>
      </w:r>
      <w:r w:rsidR="00B20A81">
        <w:rPr>
          <w:rFonts w:cs="Arial"/>
        </w:rPr>
        <w:t>)</w:t>
      </w:r>
      <w:r w:rsidR="00F56838">
        <w:rPr>
          <w:rFonts w:cs="Arial"/>
        </w:rPr>
        <w:t xml:space="preserve"> for 2 year olds</w:t>
      </w:r>
      <w:r w:rsidR="00CA08C2">
        <w:rPr>
          <w:rFonts w:cs="Arial"/>
        </w:rPr>
        <w:t>.</w:t>
      </w:r>
    </w:p>
    <w:p w:rsidR="00C53DF9" w:rsidRDefault="00C53DF9" w:rsidP="00392CC3">
      <w:pPr>
        <w:rPr>
          <w:rFonts w:cs="Arial"/>
        </w:rPr>
      </w:pPr>
    </w:p>
    <w:p w:rsidR="00FE433D" w:rsidRDefault="00C45B47" w:rsidP="00F56838">
      <w:pPr>
        <w:pStyle w:val="DeptOutNumbered"/>
        <w:numPr>
          <w:ilvl w:val="0"/>
          <w:numId w:val="0"/>
        </w:numPr>
        <w:spacing w:after="0"/>
        <w:ind w:left="720"/>
        <w:rPr>
          <w:sz w:val="22"/>
          <w:szCs w:val="22"/>
        </w:rPr>
      </w:pPr>
      <w:r>
        <w:rPr>
          <w:sz w:val="22"/>
          <w:szCs w:val="22"/>
        </w:rPr>
        <w:t xml:space="preserve">The estimated </w:t>
      </w:r>
      <w:r w:rsidRPr="00C45B47">
        <w:rPr>
          <w:sz w:val="22"/>
          <w:szCs w:val="22"/>
        </w:rPr>
        <w:t>D</w:t>
      </w:r>
      <w:r w:rsidR="001E692E">
        <w:rPr>
          <w:sz w:val="22"/>
          <w:szCs w:val="22"/>
        </w:rPr>
        <w:t>fE</w:t>
      </w:r>
      <w:r w:rsidRPr="00C45B47">
        <w:rPr>
          <w:sz w:val="22"/>
          <w:szCs w:val="22"/>
        </w:rPr>
        <w:t xml:space="preserve">’s allocation of </w:t>
      </w:r>
      <w:r w:rsidR="00F5158A">
        <w:rPr>
          <w:sz w:val="22"/>
          <w:szCs w:val="22"/>
        </w:rPr>
        <w:t xml:space="preserve">the whole </w:t>
      </w:r>
      <w:r w:rsidRPr="00C45B47">
        <w:rPr>
          <w:sz w:val="22"/>
          <w:szCs w:val="22"/>
        </w:rPr>
        <w:t>DSG for 201</w:t>
      </w:r>
      <w:r w:rsidR="00C863FE">
        <w:rPr>
          <w:sz w:val="22"/>
          <w:szCs w:val="22"/>
        </w:rPr>
        <w:t>6</w:t>
      </w:r>
      <w:r w:rsidR="00B746E8">
        <w:rPr>
          <w:sz w:val="22"/>
          <w:szCs w:val="22"/>
        </w:rPr>
        <w:t>/</w:t>
      </w:r>
      <w:r w:rsidRPr="00C45B47">
        <w:rPr>
          <w:sz w:val="22"/>
          <w:szCs w:val="22"/>
        </w:rPr>
        <w:t>1</w:t>
      </w:r>
      <w:r w:rsidR="00C863FE">
        <w:rPr>
          <w:sz w:val="22"/>
          <w:szCs w:val="22"/>
        </w:rPr>
        <w:t>7</w:t>
      </w:r>
      <w:r w:rsidRPr="00C45B47">
        <w:rPr>
          <w:sz w:val="22"/>
          <w:szCs w:val="22"/>
        </w:rPr>
        <w:t xml:space="preserve"> for Northumberland before any recoupment deductions </w:t>
      </w:r>
      <w:r w:rsidR="00AE2DBC">
        <w:rPr>
          <w:sz w:val="22"/>
          <w:szCs w:val="22"/>
        </w:rPr>
        <w:t xml:space="preserve">for academies </w:t>
      </w:r>
      <w:r w:rsidRPr="00C45B47">
        <w:rPr>
          <w:sz w:val="22"/>
          <w:szCs w:val="22"/>
        </w:rPr>
        <w:t>is £</w:t>
      </w:r>
      <w:r w:rsidR="002642E8">
        <w:rPr>
          <w:sz w:val="22"/>
          <w:szCs w:val="22"/>
        </w:rPr>
        <w:t>2</w:t>
      </w:r>
      <w:r w:rsidR="008F24F8">
        <w:rPr>
          <w:sz w:val="22"/>
          <w:szCs w:val="22"/>
        </w:rPr>
        <w:t>1</w:t>
      </w:r>
      <w:r w:rsidR="009F69F9">
        <w:rPr>
          <w:sz w:val="22"/>
          <w:szCs w:val="22"/>
        </w:rPr>
        <w:t>8</w:t>
      </w:r>
      <w:r w:rsidR="001E692E">
        <w:rPr>
          <w:sz w:val="22"/>
          <w:szCs w:val="22"/>
        </w:rPr>
        <w:t>,</w:t>
      </w:r>
      <w:r w:rsidR="009F69F9">
        <w:rPr>
          <w:sz w:val="22"/>
          <w:szCs w:val="22"/>
        </w:rPr>
        <w:t>924</w:t>
      </w:r>
      <w:r w:rsidR="001E692E">
        <w:rPr>
          <w:sz w:val="22"/>
          <w:szCs w:val="22"/>
        </w:rPr>
        <w:t>,</w:t>
      </w:r>
      <w:r w:rsidR="009F69F9">
        <w:rPr>
          <w:sz w:val="22"/>
          <w:szCs w:val="22"/>
        </w:rPr>
        <w:t>300</w:t>
      </w:r>
      <w:r w:rsidR="001E692E">
        <w:rPr>
          <w:sz w:val="22"/>
          <w:szCs w:val="22"/>
        </w:rPr>
        <w:t xml:space="preserve">.  This </w:t>
      </w:r>
      <w:r w:rsidR="00187811">
        <w:rPr>
          <w:sz w:val="22"/>
          <w:szCs w:val="22"/>
        </w:rPr>
        <w:t xml:space="preserve">has been calculated by the DfE </w:t>
      </w:r>
      <w:r w:rsidR="002642E8">
        <w:rPr>
          <w:sz w:val="22"/>
          <w:szCs w:val="22"/>
        </w:rPr>
        <w:t xml:space="preserve">as </w:t>
      </w:r>
      <w:r w:rsidR="00455B77">
        <w:rPr>
          <w:sz w:val="22"/>
          <w:szCs w:val="22"/>
        </w:rPr>
        <w:t xml:space="preserve">set out </w:t>
      </w:r>
      <w:r w:rsidR="00690E80">
        <w:rPr>
          <w:sz w:val="22"/>
          <w:szCs w:val="22"/>
        </w:rPr>
        <w:t xml:space="preserve">in </w:t>
      </w:r>
      <w:r w:rsidR="00690E80" w:rsidRPr="00236EF9">
        <w:rPr>
          <w:b/>
          <w:sz w:val="22"/>
          <w:szCs w:val="22"/>
        </w:rPr>
        <w:t>Annex 1</w:t>
      </w:r>
      <w:r w:rsidR="00455B77">
        <w:rPr>
          <w:sz w:val="22"/>
          <w:szCs w:val="22"/>
        </w:rPr>
        <w:t>.</w:t>
      </w:r>
    </w:p>
    <w:p w:rsidR="00F56838" w:rsidRPr="00F56838" w:rsidRDefault="00F56838" w:rsidP="00F56838">
      <w:pPr>
        <w:pStyle w:val="DeptOutNumbered"/>
        <w:numPr>
          <w:ilvl w:val="0"/>
          <w:numId w:val="0"/>
        </w:numPr>
        <w:spacing w:after="0"/>
        <w:ind w:left="720"/>
        <w:rPr>
          <w:sz w:val="22"/>
          <w:szCs w:val="22"/>
        </w:rPr>
      </w:pPr>
    </w:p>
    <w:p w:rsidR="00F56838" w:rsidRDefault="00F56838">
      <w:pPr>
        <w:rPr>
          <w:rFonts w:cs="Arial"/>
          <w:b/>
        </w:rPr>
      </w:pPr>
      <w:r>
        <w:rPr>
          <w:rFonts w:cs="Arial"/>
          <w:b/>
        </w:rPr>
        <w:br w:type="page"/>
      </w:r>
    </w:p>
    <w:p w:rsidR="00690E80" w:rsidRDefault="009140F1" w:rsidP="009140F1">
      <w:pPr>
        <w:rPr>
          <w:rFonts w:cs="Arial"/>
          <w:b/>
          <w:u w:val="single"/>
        </w:rPr>
      </w:pPr>
      <w:r w:rsidRPr="009140F1">
        <w:rPr>
          <w:rFonts w:cs="Arial"/>
          <w:b/>
        </w:rPr>
        <w:lastRenderedPageBreak/>
        <w:t>4.</w:t>
      </w:r>
      <w:r w:rsidRPr="009140F1">
        <w:rPr>
          <w:rFonts w:cs="Arial"/>
          <w:b/>
        </w:rPr>
        <w:tab/>
      </w:r>
      <w:r w:rsidR="00690E80" w:rsidRPr="001047EA">
        <w:rPr>
          <w:rFonts w:cs="Arial"/>
          <w:b/>
          <w:u w:val="single"/>
        </w:rPr>
        <w:t>Early Years Block</w:t>
      </w:r>
    </w:p>
    <w:p w:rsidR="00690E80" w:rsidRDefault="00690E80" w:rsidP="00690E80">
      <w:pPr>
        <w:ind w:left="720"/>
        <w:rPr>
          <w:rFonts w:cs="Arial"/>
          <w:b/>
          <w:u w:val="single"/>
        </w:rPr>
      </w:pPr>
    </w:p>
    <w:p w:rsidR="00690E80" w:rsidRDefault="00690E80" w:rsidP="00690E80">
      <w:pPr>
        <w:ind w:left="720"/>
        <w:rPr>
          <w:rFonts w:cs="Arial"/>
        </w:rPr>
      </w:pPr>
      <w:r>
        <w:rPr>
          <w:rFonts w:cs="Arial"/>
        </w:rPr>
        <w:t xml:space="preserve">The indicative </w:t>
      </w:r>
      <w:r w:rsidR="007342C3">
        <w:rPr>
          <w:rFonts w:cs="Arial"/>
        </w:rPr>
        <w:t xml:space="preserve">budget for </w:t>
      </w:r>
      <w:r>
        <w:rPr>
          <w:rFonts w:cs="Arial"/>
        </w:rPr>
        <w:t>the Early Years Block for 201</w:t>
      </w:r>
      <w:r w:rsidR="00F5158A">
        <w:rPr>
          <w:rFonts w:cs="Arial"/>
        </w:rPr>
        <w:t>6</w:t>
      </w:r>
      <w:r>
        <w:rPr>
          <w:rFonts w:cs="Arial"/>
        </w:rPr>
        <w:t>/1</w:t>
      </w:r>
      <w:r w:rsidR="00F5158A">
        <w:rPr>
          <w:rFonts w:cs="Arial"/>
        </w:rPr>
        <w:t>7</w:t>
      </w:r>
      <w:r>
        <w:rPr>
          <w:rFonts w:cs="Arial"/>
        </w:rPr>
        <w:t xml:space="preserve"> is £11,</w:t>
      </w:r>
      <w:r w:rsidR="009F69F9">
        <w:rPr>
          <w:rFonts w:cs="Arial"/>
        </w:rPr>
        <w:t>571</w:t>
      </w:r>
      <w:r>
        <w:rPr>
          <w:rFonts w:cs="Arial"/>
        </w:rPr>
        <w:t>,</w:t>
      </w:r>
      <w:r w:rsidR="009F69F9">
        <w:rPr>
          <w:rFonts w:cs="Arial"/>
        </w:rPr>
        <w:t>763</w:t>
      </w:r>
      <w:r>
        <w:rPr>
          <w:rFonts w:cs="Arial"/>
        </w:rPr>
        <w:t xml:space="preserve">, </w:t>
      </w:r>
      <w:r w:rsidR="009F69F9">
        <w:rPr>
          <w:rFonts w:cs="Arial"/>
        </w:rPr>
        <w:t>including</w:t>
      </w:r>
      <w:r>
        <w:rPr>
          <w:rFonts w:cs="Arial"/>
        </w:rPr>
        <w:t xml:space="preserve"> the £219,276 indicative allocation for the 3 and 4 year old Pupil Premium.  Th</w:t>
      </w:r>
      <w:r w:rsidR="007342C3">
        <w:rPr>
          <w:rFonts w:cs="Arial"/>
        </w:rPr>
        <w:t xml:space="preserve">is is shown in </w:t>
      </w:r>
      <w:r w:rsidR="007342C3">
        <w:rPr>
          <w:rFonts w:cs="Arial"/>
          <w:b/>
        </w:rPr>
        <w:t>Anne</w:t>
      </w:r>
      <w:r w:rsidR="006F4401">
        <w:rPr>
          <w:rFonts w:cs="Arial"/>
          <w:b/>
        </w:rPr>
        <w:t>x 1</w:t>
      </w:r>
      <w:r w:rsidR="00B46F8C">
        <w:rPr>
          <w:rFonts w:cs="Arial"/>
          <w:b/>
        </w:rPr>
        <w:t xml:space="preserve">. </w:t>
      </w:r>
      <w:r w:rsidR="00E63FE0">
        <w:rPr>
          <w:rFonts w:cs="Arial"/>
          <w:b/>
        </w:rPr>
        <w:t xml:space="preserve"> </w:t>
      </w:r>
      <w:r w:rsidR="00B46F8C">
        <w:rPr>
          <w:rFonts w:cs="Arial"/>
        </w:rPr>
        <w:t>It</w:t>
      </w:r>
      <w:r w:rsidR="007342C3">
        <w:rPr>
          <w:rFonts w:cs="Arial"/>
        </w:rPr>
        <w:t xml:space="preserve"> </w:t>
      </w:r>
      <w:r w:rsidRPr="007342C3">
        <w:rPr>
          <w:rFonts w:cs="Arial"/>
        </w:rPr>
        <w:t>includes</w:t>
      </w:r>
      <w:r>
        <w:rPr>
          <w:rFonts w:cs="Arial"/>
        </w:rPr>
        <w:t xml:space="preserve"> an initial allocation of £</w:t>
      </w:r>
      <w:r w:rsidR="009F69F9">
        <w:rPr>
          <w:rFonts w:cs="Arial"/>
        </w:rPr>
        <w:t>9,021,092</w:t>
      </w:r>
      <w:r>
        <w:rPr>
          <w:rFonts w:cs="Arial"/>
        </w:rPr>
        <w:t xml:space="preserve"> for </w:t>
      </w:r>
      <w:r w:rsidR="002630E2">
        <w:rPr>
          <w:rFonts w:cs="Arial"/>
        </w:rPr>
        <w:t xml:space="preserve">2573 fte </w:t>
      </w:r>
      <w:r>
        <w:rPr>
          <w:rFonts w:cs="Arial"/>
        </w:rPr>
        <w:t>3 and 4 year olds as well as a</w:t>
      </w:r>
      <w:r w:rsidR="009F69F9">
        <w:rPr>
          <w:rFonts w:cs="Arial"/>
        </w:rPr>
        <w:t>n initial</w:t>
      </w:r>
      <w:r>
        <w:rPr>
          <w:rFonts w:cs="Arial"/>
        </w:rPr>
        <w:t xml:space="preserve"> allocation of £2,</w:t>
      </w:r>
      <w:r w:rsidR="009F69F9">
        <w:rPr>
          <w:rFonts w:cs="Arial"/>
        </w:rPr>
        <w:t xml:space="preserve">331,395 </w:t>
      </w:r>
      <w:r>
        <w:rPr>
          <w:rFonts w:cs="Arial"/>
        </w:rPr>
        <w:t xml:space="preserve">for </w:t>
      </w:r>
      <w:r w:rsidR="009F69F9">
        <w:rPr>
          <w:rFonts w:cs="Arial"/>
        </w:rPr>
        <w:t>506 fte disadvantaged 2 </w:t>
      </w:r>
      <w:r>
        <w:rPr>
          <w:rFonts w:cs="Arial"/>
        </w:rPr>
        <w:t>year old children.</w:t>
      </w:r>
    </w:p>
    <w:p w:rsidR="00690E80" w:rsidRDefault="00690E80" w:rsidP="00690E80">
      <w:pPr>
        <w:ind w:left="720"/>
        <w:rPr>
          <w:rFonts w:cs="Arial"/>
        </w:rPr>
      </w:pPr>
    </w:p>
    <w:p w:rsidR="00690E80" w:rsidRDefault="009F69F9" w:rsidP="00690E80">
      <w:pPr>
        <w:ind w:left="720"/>
        <w:rPr>
          <w:rFonts w:cs="Arial"/>
        </w:rPr>
      </w:pPr>
      <w:r>
        <w:rPr>
          <w:rFonts w:cs="Arial"/>
        </w:rPr>
        <w:t>All t</w:t>
      </w:r>
      <w:r w:rsidR="00690E80">
        <w:rPr>
          <w:rFonts w:cs="Arial"/>
        </w:rPr>
        <w:t>he</w:t>
      </w:r>
      <w:r>
        <w:rPr>
          <w:rFonts w:cs="Arial"/>
        </w:rPr>
        <w:t>se</w:t>
      </w:r>
      <w:r w:rsidR="00690E80">
        <w:rPr>
          <w:rFonts w:cs="Arial"/>
        </w:rPr>
        <w:t xml:space="preserve"> allocation</w:t>
      </w:r>
      <w:r w:rsidR="002630E2">
        <w:rPr>
          <w:rFonts w:cs="Arial"/>
        </w:rPr>
        <w:t>s</w:t>
      </w:r>
      <w:r w:rsidR="00690E80">
        <w:rPr>
          <w:rFonts w:cs="Arial"/>
        </w:rPr>
        <w:t xml:space="preserve"> </w:t>
      </w:r>
      <w:r>
        <w:rPr>
          <w:rFonts w:cs="Arial"/>
        </w:rPr>
        <w:t>are</w:t>
      </w:r>
      <w:r w:rsidR="00690E80">
        <w:rPr>
          <w:rFonts w:cs="Arial"/>
        </w:rPr>
        <w:t xml:space="preserve"> indicative and </w:t>
      </w:r>
      <w:r>
        <w:rPr>
          <w:rFonts w:cs="Arial"/>
        </w:rPr>
        <w:t>are</w:t>
      </w:r>
      <w:r w:rsidR="00690E80">
        <w:rPr>
          <w:rFonts w:cs="Arial"/>
        </w:rPr>
        <w:t xml:space="preserve"> based on the January 201</w:t>
      </w:r>
      <w:r w:rsidR="00F5158A">
        <w:rPr>
          <w:rFonts w:cs="Arial"/>
        </w:rPr>
        <w:t>5</w:t>
      </w:r>
      <w:r w:rsidR="00690E80">
        <w:rPr>
          <w:rFonts w:cs="Arial"/>
        </w:rPr>
        <w:t xml:space="preserve"> census, but </w:t>
      </w:r>
      <w:r w:rsidR="00684BAA">
        <w:rPr>
          <w:rFonts w:cs="Arial"/>
        </w:rPr>
        <w:t>th</w:t>
      </w:r>
      <w:r w:rsidR="006528D3">
        <w:rPr>
          <w:rFonts w:cs="Arial"/>
        </w:rPr>
        <w:t>ey</w:t>
      </w:r>
      <w:r w:rsidR="00684BAA">
        <w:rPr>
          <w:rFonts w:cs="Arial"/>
        </w:rPr>
        <w:t xml:space="preserve"> </w:t>
      </w:r>
      <w:r w:rsidR="00690E80">
        <w:rPr>
          <w:rFonts w:cs="Arial"/>
        </w:rPr>
        <w:t xml:space="preserve">will </w:t>
      </w:r>
      <w:r w:rsidR="006528D3">
        <w:rPr>
          <w:rFonts w:cs="Arial"/>
        </w:rPr>
        <w:t xml:space="preserve">all </w:t>
      </w:r>
      <w:r w:rsidR="00684BAA">
        <w:rPr>
          <w:rFonts w:cs="Arial"/>
        </w:rPr>
        <w:t>be revised</w:t>
      </w:r>
      <w:r w:rsidR="00690E80">
        <w:rPr>
          <w:rFonts w:cs="Arial"/>
        </w:rPr>
        <w:t xml:space="preserve"> once the pupil numbers from the January 201</w:t>
      </w:r>
      <w:r w:rsidR="00F5158A">
        <w:rPr>
          <w:rFonts w:cs="Arial"/>
        </w:rPr>
        <w:t>6</w:t>
      </w:r>
      <w:r w:rsidR="00690E80">
        <w:rPr>
          <w:rFonts w:cs="Arial"/>
        </w:rPr>
        <w:t xml:space="preserve"> census are known and will be further partly revised in the light of the January 201</w:t>
      </w:r>
      <w:r w:rsidR="00F5158A">
        <w:rPr>
          <w:rFonts w:cs="Arial"/>
        </w:rPr>
        <w:t>7</w:t>
      </w:r>
      <w:r w:rsidR="00690E80">
        <w:rPr>
          <w:rFonts w:cs="Arial"/>
        </w:rPr>
        <w:t xml:space="preserve"> census.  However, payments will have to be made to schools and PVI settings based on actual pupil numbers in each of the three terms, Summer 201</w:t>
      </w:r>
      <w:r w:rsidR="00F5158A">
        <w:rPr>
          <w:rFonts w:cs="Arial"/>
        </w:rPr>
        <w:t>6</w:t>
      </w:r>
      <w:r w:rsidR="00690E80">
        <w:rPr>
          <w:rFonts w:cs="Arial"/>
        </w:rPr>
        <w:t>, Autumn 201</w:t>
      </w:r>
      <w:r w:rsidR="00F5158A">
        <w:rPr>
          <w:rFonts w:cs="Arial"/>
        </w:rPr>
        <w:t>6</w:t>
      </w:r>
      <w:r w:rsidR="00690E80">
        <w:rPr>
          <w:rFonts w:cs="Arial"/>
        </w:rPr>
        <w:t xml:space="preserve"> and Spring 201</w:t>
      </w:r>
      <w:r w:rsidR="00F5158A">
        <w:rPr>
          <w:rFonts w:cs="Arial"/>
        </w:rPr>
        <w:t>7</w:t>
      </w:r>
      <w:r w:rsidR="00690E80">
        <w:rPr>
          <w:rFonts w:cs="Arial"/>
        </w:rPr>
        <w:t>.</w:t>
      </w:r>
    </w:p>
    <w:p w:rsidR="00690E80" w:rsidRDefault="00690E80" w:rsidP="00690E80">
      <w:pPr>
        <w:ind w:left="720"/>
        <w:rPr>
          <w:rFonts w:cs="Arial"/>
        </w:rPr>
      </w:pPr>
    </w:p>
    <w:p w:rsidR="006528D3" w:rsidRDefault="00690E80" w:rsidP="00690E80">
      <w:pPr>
        <w:pStyle w:val="DeptOutNumbered"/>
        <w:widowControl w:val="0"/>
        <w:numPr>
          <w:ilvl w:val="0"/>
          <w:numId w:val="0"/>
        </w:numPr>
        <w:spacing w:after="0"/>
        <w:ind w:left="720"/>
        <w:rPr>
          <w:sz w:val="22"/>
          <w:szCs w:val="22"/>
        </w:rPr>
      </w:pPr>
      <w:r>
        <w:rPr>
          <w:sz w:val="22"/>
          <w:szCs w:val="22"/>
        </w:rPr>
        <w:t xml:space="preserve">In </w:t>
      </w:r>
      <w:r w:rsidR="00F5158A">
        <w:rPr>
          <w:sz w:val="22"/>
          <w:szCs w:val="22"/>
        </w:rPr>
        <w:t>Summer</w:t>
      </w:r>
      <w:r>
        <w:rPr>
          <w:sz w:val="22"/>
          <w:szCs w:val="22"/>
        </w:rPr>
        <w:t xml:space="preserve"> 201</w:t>
      </w:r>
      <w:r w:rsidR="00F5158A">
        <w:rPr>
          <w:sz w:val="22"/>
          <w:szCs w:val="22"/>
        </w:rPr>
        <w:t>5</w:t>
      </w:r>
      <w:r>
        <w:rPr>
          <w:sz w:val="22"/>
          <w:szCs w:val="22"/>
        </w:rPr>
        <w:t>, a consultation paper was issued to all schools and PVI settings which set out the challenges faced in the Early Years budget for 201</w:t>
      </w:r>
      <w:r w:rsidR="00F5158A">
        <w:rPr>
          <w:sz w:val="22"/>
          <w:szCs w:val="22"/>
        </w:rPr>
        <w:t>6</w:t>
      </w:r>
      <w:r>
        <w:rPr>
          <w:sz w:val="22"/>
          <w:szCs w:val="22"/>
        </w:rPr>
        <w:t>/1</w:t>
      </w:r>
      <w:r w:rsidR="00F5158A">
        <w:rPr>
          <w:sz w:val="22"/>
          <w:szCs w:val="22"/>
        </w:rPr>
        <w:t>7</w:t>
      </w:r>
      <w:r>
        <w:rPr>
          <w:sz w:val="22"/>
          <w:szCs w:val="22"/>
        </w:rPr>
        <w:t xml:space="preserve">.  This paper set out that if the current hourly rates of funding </w:t>
      </w:r>
      <w:r w:rsidR="006528D3">
        <w:rPr>
          <w:sz w:val="22"/>
          <w:szCs w:val="22"/>
        </w:rPr>
        <w:t xml:space="preserve">to schools and settings </w:t>
      </w:r>
      <w:r>
        <w:rPr>
          <w:sz w:val="22"/>
          <w:szCs w:val="22"/>
        </w:rPr>
        <w:t>were to continue there would be an</w:t>
      </w:r>
      <w:r w:rsidR="006528D3">
        <w:rPr>
          <w:sz w:val="22"/>
          <w:szCs w:val="22"/>
        </w:rPr>
        <w:t xml:space="preserve"> </w:t>
      </w:r>
      <w:r w:rsidR="00C21A07">
        <w:rPr>
          <w:sz w:val="22"/>
          <w:szCs w:val="22"/>
        </w:rPr>
        <w:t xml:space="preserve">estimated </w:t>
      </w:r>
      <w:r>
        <w:rPr>
          <w:sz w:val="22"/>
          <w:szCs w:val="22"/>
        </w:rPr>
        <w:t xml:space="preserve">overspend in </w:t>
      </w:r>
      <w:r w:rsidR="002630E2">
        <w:rPr>
          <w:sz w:val="22"/>
          <w:szCs w:val="22"/>
        </w:rPr>
        <w:t>the region of</w:t>
      </w:r>
      <w:r>
        <w:rPr>
          <w:sz w:val="22"/>
          <w:szCs w:val="22"/>
        </w:rPr>
        <w:t xml:space="preserve"> £</w:t>
      </w:r>
      <w:r w:rsidR="00F5158A">
        <w:rPr>
          <w:sz w:val="22"/>
          <w:szCs w:val="22"/>
        </w:rPr>
        <w:t>35</w:t>
      </w:r>
      <w:r w:rsidR="008B3146">
        <w:rPr>
          <w:sz w:val="22"/>
          <w:szCs w:val="22"/>
        </w:rPr>
        <w:t>0</w:t>
      </w:r>
      <w:r w:rsidR="00F5158A">
        <w:rPr>
          <w:sz w:val="22"/>
          <w:szCs w:val="22"/>
        </w:rPr>
        <w:t>k</w:t>
      </w:r>
      <w:r>
        <w:rPr>
          <w:sz w:val="22"/>
          <w:szCs w:val="22"/>
        </w:rPr>
        <w:t xml:space="preserve"> in 201</w:t>
      </w:r>
      <w:r w:rsidR="00F5158A">
        <w:rPr>
          <w:sz w:val="22"/>
          <w:szCs w:val="22"/>
        </w:rPr>
        <w:t>6</w:t>
      </w:r>
      <w:r>
        <w:rPr>
          <w:sz w:val="22"/>
          <w:szCs w:val="22"/>
        </w:rPr>
        <w:t>/1</w:t>
      </w:r>
      <w:r w:rsidR="00F5158A">
        <w:rPr>
          <w:sz w:val="22"/>
          <w:szCs w:val="22"/>
        </w:rPr>
        <w:t>7</w:t>
      </w:r>
      <w:r>
        <w:rPr>
          <w:sz w:val="22"/>
          <w:szCs w:val="22"/>
        </w:rPr>
        <w:t>, which is clearly unsustainable.  The consultation paper set out full details of the issues, and also a series of proposed reductions to help bring the budget back into balance.</w:t>
      </w:r>
    </w:p>
    <w:p w:rsidR="006528D3" w:rsidRDefault="006528D3" w:rsidP="00690E80">
      <w:pPr>
        <w:pStyle w:val="DeptOutNumbered"/>
        <w:widowControl w:val="0"/>
        <w:numPr>
          <w:ilvl w:val="0"/>
          <w:numId w:val="0"/>
        </w:numPr>
        <w:spacing w:after="0"/>
        <w:ind w:left="720"/>
        <w:rPr>
          <w:sz w:val="22"/>
          <w:szCs w:val="22"/>
        </w:rPr>
      </w:pPr>
    </w:p>
    <w:p w:rsidR="006528D3" w:rsidRDefault="008E2D1D" w:rsidP="00690E80">
      <w:pPr>
        <w:pStyle w:val="DeptOutNumbered"/>
        <w:widowControl w:val="0"/>
        <w:numPr>
          <w:ilvl w:val="0"/>
          <w:numId w:val="0"/>
        </w:numPr>
        <w:spacing w:after="0"/>
        <w:ind w:left="720"/>
        <w:rPr>
          <w:sz w:val="22"/>
          <w:szCs w:val="22"/>
        </w:rPr>
      </w:pPr>
      <w:r w:rsidRPr="008E2D1D">
        <w:rPr>
          <w:sz w:val="22"/>
          <w:szCs w:val="22"/>
        </w:rPr>
        <w:t>The outcomes of that consultation were considered by the Sc</w:t>
      </w:r>
      <w:r>
        <w:rPr>
          <w:sz w:val="22"/>
          <w:szCs w:val="22"/>
        </w:rPr>
        <w:t xml:space="preserve">hools Forum at its meeting </w:t>
      </w:r>
      <w:r w:rsidR="00EF4CB7">
        <w:rPr>
          <w:sz w:val="22"/>
          <w:szCs w:val="22"/>
        </w:rPr>
        <w:t>i</w:t>
      </w:r>
      <w:r>
        <w:rPr>
          <w:sz w:val="22"/>
          <w:szCs w:val="22"/>
        </w:rPr>
        <w:t>n October</w:t>
      </w:r>
      <w:r w:rsidRPr="008E2D1D">
        <w:rPr>
          <w:sz w:val="22"/>
          <w:szCs w:val="22"/>
        </w:rPr>
        <w:t> 201</w:t>
      </w:r>
      <w:r>
        <w:rPr>
          <w:sz w:val="22"/>
          <w:szCs w:val="22"/>
        </w:rPr>
        <w:t>5</w:t>
      </w:r>
      <w:r w:rsidRPr="008E2D1D">
        <w:rPr>
          <w:sz w:val="22"/>
          <w:szCs w:val="22"/>
        </w:rPr>
        <w:t>.</w:t>
      </w:r>
      <w:r>
        <w:rPr>
          <w:sz w:val="22"/>
          <w:szCs w:val="22"/>
        </w:rPr>
        <w:t xml:space="preserve">  Following that meeting, the Council’s Cabinet considered the issues and in order to achieve the required savings </w:t>
      </w:r>
      <w:r w:rsidR="00244754">
        <w:rPr>
          <w:sz w:val="22"/>
          <w:szCs w:val="22"/>
        </w:rPr>
        <w:t xml:space="preserve">it </w:t>
      </w:r>
      <w:r w:rsidR="00EF4CB7">
        <w:rPr>
          <w:sz w:val="22"/>
          <w:szCs w:val="22"/>
        </w:rPr>
        <w:t xml:space="preserve">reluctantly </w:t>
      </w:r>
      <w:r>
        <w:rPr>
          <w:sz w:val="22"/>
          <w:szCs w:val="22"/>
        </w:rPr>
        <w:t>decided that</w:t>
      </w:r>
      <w:r w:rsidR="00EF4CB7">
        <w:rPr>
          <w:sz w:val="22"/>
          <w:szCs w:val="22"/>
        </w:rPr>
        <w:t xml:space="preserve"> all of the recommended reductions in funding values should be implemented.</w:t>
      </w:r>
    </w:p>
    <w:p w:rsidR="00690E80" w:rsidRDefault="00690E80" w:rsidP="00690E80">
      <w:pPr>
        <w:pStyle w:val="DeptOutNumbered"/>
        <w:widowControl w:val="0"/>
        <w:numPr>
          <w:ilvl w:val="0"/>
          <w:numId w:val="0"/>
        </w:numPr>
        <w:spacing w:after="0"/>
        <w:ind w:left="720"/>
        <w:rPr>
          <w:sz w:val="22"/>
          <w:szCs w:val="22"/>
          <w:highlight w:val="yellow"/>
        </w:rPr>
      </w:pPr>
    </w:p>
    <w:p w:rsidR="00C157AB" w:rsidRPr="008E2D1D" w:rsidRDefault="00EF4CB7" w:rsidP="00690E80">
      <w:pPr>
        <w:pStyle w:val="DeptOutNumbered"/>
        <w:widowControl w:val="0"/>
        <w:numPr>
          <w:ilvl w:val="0"/>
          <w:numId w:val="0"/>
        </w:numPr>
        <w:spacing w:after="0"/>
        <w:ind w:left="720"/>
        <w:rPr>
          <w:sz w:val="22"/>
          <w:szCs w:val="22"/>
        </w:rPr>
      </w:pPr>
      <w:r>
        <w:rPr>
          <w:sz w:val="22"/>
          <w:szCs w:val="22"/>
        </w:rPr>
        <w:t>However, s</w:t>
      </w:r>
      <w:r w:rsidR="008E2D1D" w:rsidRPr="008E2D1D">
        <w:rPr>
          <w:sz w:val="22"/>
          <w:szCs w:val="22"/>
        </w:rPr>
        <w:t xml:space="preserve">ince </w:t>
      </w:r>
      <w:r w:rsidR="008E2D1D">
        <w:rPr>
          <w:sz w:val="22"/>
          <w:szCs w:val="22"/>
        </w:rPr>
        <w:t xml:space="preserve">those decisions were taken, </w:t>
      </w:r>
      <w:r w:rsidR="00BB7BB7">
        <w:rPr>
          <w:sz w:val="22"/>
          <w:szCs w:val="22"/>
        </w:rPr>
        <w:t>there have been two significant changes.  Firstly, a saving in the region of £5</w:t>
      </w:r>
      <w:r w:rsidR="00727F02">
        <w:rPr>
          <w:sz w:val="22"/>
          <w:szCs w:val="22"/>
        </w:rPr>
        <w:t>7</w:t>
      </w:r>
      <w:r w:rsidR="00BB7BB7">
        <w:rPr>
          <w:sz w:val="22"/>
          <w:szCs w:val="22"/>
        </w:rPr>
        <w:t xml:space="preserve">k in the early Years staffing budget has been identified which reduces the savings required from the formula.  Secondly, the DfE has updated the IDACI index to take account of the </w:t>
      </w:r>
      <w:r w:rsidR="00C157AB">
        <w:rPr>
          <w:sz w:val="22"/>
          <w:szCs w:val="22"/>
        </w:rPr>
        <w:t xml:space="preserve">deprivation </w:t>
      </w:r>
      <w:r w:rsidR="00BB7BB7">
        <w:rPr>
          <w:sz w:val="22"/>
          <w:szCs w:val="22"/>
        </w:rPr>
        <w:t xml:space="preserve">situation </w:t>
      </w:r>
      <w:r w:rsidR="008B3146">
        <w:rPr>
          <w:sz w:val="22"/>
          <w:szCs w:val="22"/>
        </w:rPr>
        <w:t xml:space="preserve">nationally </w:t>
      </w:r>
      <w:r w:rsidR="00BB7BB7">
        <w:rPr>
          <w:sz w:val="22"/>
          <w:szCs w:val="22"/>
        </w:rPr>
        <w:t xml:space="preserve">as at September 2015, and this has resulted </w:t>
      </w:r>
      <w:r w:rsidR="00C157AB">
        <w:rPr>
          <w:sz w:val="22"/>
          <w:szCs w:val="22"/>
        </w:rPr>
        <w:t>in a different number of pupils in each Band, and in particular no pupils being in</w:t>
      </w:r>
      <w:r w:rsidR="00BB7BB7">
        <w:rPr>
          <w:sz w:val="22"/>
          <w:szCs w:val="22"/>
        </w:rPr>
        <w:t xml:space="preserve"> Band 6.</w:t>
      </w:r>
      <w:r w:rsidR="00C157AB">
        <w:rPr>
          <w:sz w:val="22"/>
          <w:szCs w:val="22"/>
        </w:rPr>
        <w:t xml:space="preserve">  Applying the 2015/16 cash values to this new </w:t>
      </w:r>
      <w:r w:rsidR="00C31587">
        <w:rPr>
          <w:sz w:val="22"/>
          <w:szCs w:val="22"/>
        </w:rPr>
        <w:t xml:space="preserve">deprivation </w:t>
      </w:r>
      <w:r w:rsidR="00C157AB">
        <w:rPr>
          <w:sz w:val="22"/>
          <w:szCs w:val="22"/>
        </w:rPr>
        <w:t xml:space="preserve">data </w:t>
      </w:r>
      <w:r w:rsidR="00C31587">
        <w:rPr>
          <w:sz w:val="22"/>
          <w:szCs w:val="22"/>
        </w:rPr>
        <w:t xml:space="preserve">would have </w:t>
      </w:r>
      <w:r w:rsidR="00C157AB">
        <w:rPr>
          <w:sz w:val="22"/>
          <w:szCs w:val="22"/>
        </w:rPr>
        <w:t>result</w:t>
      </w:r>
      <w:r w:rsidR="00C31587">
        <w:rPr>
          <w:sz w:val="22"/>
          <w:szCs w:val="22"/>
        </w:rPr>
        <w:t>ed</w:t>
      </w:r>
      <w:r w:rsidR="00C157AB">
        <w:rPr>
          <w:sz w:val="22"/>
          <w:szCs w:val="22"/>
        </w:rPr>
        <w:t xml:space="preserve"> in a </w:t>
      </w:r>
      <w:r w:rsidR="00C31587">
        <w:rPr>
          <w:sz w:val="22"/>
          <w:szCs w:val="22"/>
        </w:rPr>
        <w:t>reduced allocation</w:t>
      </w:r>
      <w:r w:rsidR="00C157AB">
        <w:rPr>
          <w:sz w:val="22"/>
          <w:szCs w:val="22"/>
        </w:rPr>
        <w:t xml:space="preserve"> of £</w:t>
      </w:r>
      <w:r w:rsidR="009368DD">
        <w:rPr>
          <w:sz w:val="22"/>
          <w:szCs w:val="22"/>
        </w:rPr>
        <w:t>83k</w:t>
      </w:r>
      <w:r w:rsidR="00C31587">
        <w:rPr>
          <w:sz w:val="22"/>
          <w:szCs w:val="22"/>
        </w:rPr>
        <w:t xml:space="preserve"> in 2015/16</w:t>
      </w:r>
      <w:r>
        <w:rPr>
          <w:sz w:val="22"/>
          <w:szCs w:val="22"/>
        </w:rPr>
        <w:t xml:space="preserve"> without any change to the formula values</w:t>
      </w:r>
      <w:r w:rsidR="00C157AB">
        <w:rPr>
          <w:sz w:val="22"/>
          <w:szCs w:val="22"/>
        </w:rPr>
        <w:t>.</w:t>
      </w:r>
      <w:r w:rsidR="008B3146">
        <w:rPr>
          <w:sz w:val="22"/>
          <w:szCs w:val="22"/>
        </w:rPr>
        <w:t xml:space="preserve">  Applying both of these savings would reduce the savings required by reducing formula values </w:t>
      </w:r>
      <w:r w:rsidR="00577F1C">
        <w:rPr>
          <w:sz w:val="22"/>
          <w:szCs w:val="22"/>
        </w:rPr>
        <w:t xml:space="preserve">by £140k </w:t>
      </w:r>
      <w:r w:rsidR="008B3146">
        <w:rPr>
          <w:sz w:val="22"/>
          <w:szCs w:val="22"/>
        </w:rPr>
        <w:t>to £</w:t>
      </w:r>
      <w:r w:rsidR="009368DD">
        <w:rPr>
          <w:sz w:val="22"/>
          <w:szCs w:val="22"/>
        </w:rPr>
        <w:t>210</w:t>
      </w:r>
      <w:r w:rsidR="008B3146">
        <w:rPr>
          <w:sz w:val="22"/>
          <w:szCs w:val="22"/>
        </w:rPr>
        <w:t xml:space="preserve">k. </w:t>
      </w:r>
    </w:p>
    <w:p w:rsidR="008E2D1D" w:rsidRPr="0016054C" w:rsidRDefault="008E2D1D" w:rsidP="00690E80">
      <w:pPr>
        <w:pStyle w:val="DeptOutNumbered"/>
        <w:widowControl w:val="0"/>
        <w:numPr>
          <w:ilvl w:val="0"/>
          <w:numId w:val="0"/>
        </w:numPr>
        <w:spacing w:after="0"/>
        <w:ind w:left="720"/>
        <w:rPr>
          <w:sz w:val="22"/>
          <w:szCs w:val="22"/>
        </w:rPr>
      </w:pPr>
    </w:p>
    <w:p w:rsidR="00C250C5" w:rsidRDefault="0016054C" w:rsidP="00690E80">
      <w:pPr>
        <w:pStyle w:val="DeptOutNumbered"/>
        <w:widowControl w:val="0"/>
        <w:numPr>
          <w:ilvl w:val="0"/>
          <w:numId w:val="0"/>
        </w:numPr>
        <w:spacing w:after="0"/>
        <w:ind w:left="720"/>
        <w:rPr>
          <w:sz w:val="22"/>
          <w:szCs w:val="22"/>
        </w:rPr>
      </w:pPr>
      <w:r w:rsidRPr="0016054C">
        <w:rPr>
          <w:sz w:val="22"/>
          <w:szCs w:val="22"/>
        </w:rPr>
        <w:t>The saving</w:t>
      </w:r>
      <w:r w:rsidR="00C250C5">
        <w:rPr>
          <w:sz w:val="22"/>
          <w:szCs w:val="22"/>
        </w:rPr>
        <w:t>s</w:t>
      </w:r>
      <w:r w:rsidRPr="0016054C">
        <w:rPr>
          <w:sz w:val="22"/>
          <w:szCs w:val="22"/>
        </w:rPr>
        <w:t xml:space="preserve"> proposed </w:t>
      </w:r>
      <w:r>
        <w:rPr>
          <w:sz w:val="22"/>
          <w:szCs w:val="22"/>
        </w:rPr>
        <w:t xml:space="preserve">in the consultation paper </w:t>
      </w:r>
      <w:r w:rsidR="00C250C5">
        <w:rPr>
          <w:sz w:val="22"/>
          <w:szCs w:val="22"/>
        </w:rPr>
        <w:t xml:space="preserve">were </w:t>
      </w:r>
      <w:r w:rsidR="00E07E97">
        <w:rPr>
          <w:sz w:val="22"/>
          <w:szCs w:val="22"/>
        </w:rPr>
        <w:t>1.5% (£</w:t>
      </w:r>
      <w:r w:rsidR="00727F02">
        <w:rPr>
          <w:sz w:val="22"/>
          <w:szCs w:val="22"/>
        </w:rPr>
        <w:t>145</w:t>
      </w:r>
      <w:r w:rsidR="00E07E97">
        <w:rPr>
          <w:sz w:val="22"/>
          <w:szCs w:val="22"/>
        </w:rPr>
        <w:t xml:space="preserve">k) </w:t>
      </w:r>
      <w:r>
        <w:rPr>
          <w:sz w:val="22"/>
          <w:szCs w:val="22"/>
        </w:rPr>
        <w:t xml:space="preserve">in respect of the basic hourly rate and </w:t>
      </w:r>
      <w:r w:rsidR="00E07E97">
        <w:rPr>
          <w:sz w:val="22"/>
          <w:szCs w:val="22"/>
        </w:rPr>
        <w:t>20% (£</w:t>
      </w:r>
      <w:r w:rsidR="00727F02">
        <w:rPr>
          <w:sz w:val="22"/>
          <w:szCs w:val="22"/>
        </w:rPr>
        <w:t>211</w:t>
      </w:r>
      <w:r w:rsidR="00E07E97">
        <w:rPr>
          <w:sz w:val="22"/>
          <w:szCs w:val="22"/>
        </w:rPr>
        <w:t xml:space="preserve">k) </w:t>
      </w:r>
      <w:r>
        <w:rPr>
          <w:sz w:val="22"/>
          <w:szCs w:val="22"/>
        </w:rPr>
        <w:t>in respect of</w:t>
      </w:r>
      <w:r w:rsidR="003C6098">
        <w:rPr>
          <w:sz w:val="22"/>
          <w:szCs w:val="22"/>
        </w:rPr>
        <w:t xml:space="preserve"> </w:t>
      </w:r>
      <w:r>
        <w:rPr>
          <w:sz w:val="22"/>
          <w:szCs w:val="22"/>
        </w:rPr>
        <w:t>the deprivation factor (IDACI).</w:t>
      </w:r>
      <w:r w:rsidR="00E07E97">
        <w:rPr>
          <w:sz w:val="22"/>
          <w:szCs w:val="22"/>
        </w:rPr>
        <w:t xml:space="preserve">  </w:t>
      </w:r>
      <w:r w:rsidR="00806DC6">
        <w:rPr>
          <w:sz w:val="22"/>
          <w:szCs w:val="22"/>
        </w:rPr>
        <w:t>Regulations require that the basic rate cannot be reduced by more than 1.5%</w:t>
      </w:r>
      <w:r w:rsidR="00462688">
        <w:rPr>
          <w:sz w:val="22"/>
          <w:szCs w:val="22"/>
        </w:rPr>
        <w:t>,</w:t>
      </w:r>
      <w:r w:rsidR="00806DC6">
        <w:rPr>
          <w:sz w:val="22"/>
          <w:szCs w:val="22"/>
        </w:rPr>
        <w:t xml:space="preserve"> hence the much more significant </w:t>
      </w:r>
      <w:r w:rsidR="00462688">
        <w:rPr>
          <w:sz w:val="22"/>
          <w:szCs w:val="22"/>
        </w:rPr>
        <w:t xml:space="preserve">proposed </w:t>
      </w:r>
      <w:r w:rsidR="00806DC6">
        <w:rPr>
          <w:sz w:val="22"/>
          <w:szCs w:val="22"/>
        </w:rPr>
        <w:t>reduction to the IDACI values</w:t>
      </w:r>
      <w:r w:rsidR="005449AE">
        <w:rPr>
          <w:sz w:val="22"/>
          <w:szCs w:val="22"/>
        </w:rPr>
        <w:t xml:space="preserve"> to achieve the required savings</w:t>
      </w:r>
      <w:r w:rsidR="00806DC6">
        <w:rPr>
          <w:sz w:val="22"/>
          <w:szCs w:val="22"/>
        </w:rPr>
        <w:t xml:space="preserve">.  </w:t>
      </w:r>
      <w:r w:rsidR="00E07E97">
        <w:rPr>
          <w:sz w:val="22"/>
          <w:szCs w:val="22"/>
        </w:rPr>
        <w:t>With the staff saving and the reduction on the number of children eligible for deprivation funding, the required saving of £350k can now be made as follows:</w:t>
      </w:r>
    </w:p>
    <w:p w:rsidR="00C250C5" w:rsidRDefault="00C250C5" w:rsidP="00690E80">
      <w:pPr>
        <w:pStyle w:val="DeptOutNumbered"/>
        <w:widowControl w:val="0"/>
        <w:numPr>
          <w:ilvl w:val="0"/>
          <w:numId w:val="0"/>
        </w:numPr>
        <w:spacing w:after="0"/>
        <w:ind w:left="720"/>
        <w:rPr>
          <w:sz w:val="22"/>
          <w:szCs w:val="22"/>
        </w:rPr>
      </w:pPr>
    </w:p>
    <w:tbl>
      <w:tblPr>
        <w:tblStyle w:val="TableGrid"/>
        <w:tblW w:w="0" w:type="auto"/>
        <w:tblInd w:w="720" w:type="dxa"/>
        <w:tblLook w:val="04A0" w:firstRow="1" w:lastRow="0" w:firstColumn="1" w:lastColumn="0" w:noHBand="0" w:noVBand="1"/>
      </w:tblPr>
      <w:tblGrid>
        <w:gridCol w:w="6048"/>
        <w:gridCol w:w="2477"/>
      </w:tblGrid>
      <w:tr w:rsidR="003C6098" w:rsidTr="00F56838">
        <w:tc>
          <w:tcPr>
            <w:tcW w:w="6048" w:type="dxa"/>
          </w:tcPr>
          <w:p w:rsidR="003C6098" w:rsidRDefault="003C6098" w:rsidP="00F56838">
            <w:pPr>
              <w:pStyle w:val="DeptOutNumbered"/>
              <w:widowControl w:val="0"/>
              <w:numPr>
                <w:ilvl w:val="0"/>
                <w:numId w:val="0"/>
              </w:numPr>
              <w:spacing w:before="60" w:after="60"/>
              <w:rPr>
                <w:sz w:val="22"/>
                <w:szCs w:val="22"/>
              </w:rPr>
            </w:pPr>
          </w:p>
        </w:tc>
        <w:tc>
          <w:tcPr>
            <w:tcW w:w="2477" w:type="dxa"/>
          </w:tcPr>
          <w:p w:rsidR="003C6098" w:rsidRPr="003C6098" w:rsidRDefault="003C6098" w:rsidP="00F56838">
            <w:pPr>
              <w:pStyle w:val="DeptOutNumbered"/>
              <w:widowControl w:val="0"/>
              <w:numPr>
                <w:ilvl w:val="0"/>
                <w:numId w:val="0"/>
              </w:numPr>
              <w:spacing w:before="60" w:after="60"/>
              <w:jc w:val="center"/>
              <w:rPr>
                <w:b/>
                <w:sz w:val="22"/>
                <w:szCs w:val="22"/>
              </w:rPr>
            </w:pPr>
            <w:r w:rsidRPr="003C6098">
              <w:rPr>
                <w:b/>
                <w:sz w:val="22"/>
                <w:szCs w:val="22"/>
              </w:rPr>
              <w:t>Saving</w:t>
            </w:r>
            <w:r>
              <w:rPr>
                <w:b/>
                <w:sz w:val="22"/>
                <w:szCs w:val="22"/>
              </w:rPr>
              <w:t xml:space="preserve"> (£k)</w:t>
            </w:r>
          </w:p>
        </w:tc>
      </w:tr>
      <w:tr w:rsidR="003C6098" w:rsidTr="00F56838">
        <w:tc>
          <w:tcPr>
            <w:tcW w:w="6048" w:type="dxa"/>
          </w:tcPr>
          <w:p w:rsidR="003C6098" w:rsidRDefault="003C6098" w:rsidP="00F56838">
            <w:pPr>
              <w:pStyle w:val="DeptOutNumbered"/>
              <w:widowControl w:val="0"/>
              <w:numPr>
                <w:ilvl w:val="0"/>
                <w:numId w:val="0"/>
              </w:numPr>
              <w:spacing w:before="60" w:after="60"/>
              <w:rPr>
                <w:sz w:val="22"/>
                <w:szCs w:val="22"/>
              </w:rPr>
            </w:pPr>
            <w:r>
              <w:rPr>
                <w:sz w:val="22"/>
                <w:szCs w:val="22"/>
              </w:rPr>
              <w:t>Basic Hourly Rate</w:t>
            </w:r>
            <w:r w:rsidR="00F56838">
              <w:rPr>
                <w:sz w:val="22"/>
                <w:szCs w:val="22"/>
              </w:rPr>
              <w:t xml:space="preserve"> (1.5% reduction on 2015/16 cash values</w:t>
            </w:r>
          </w:p>
        </w:tc>
        <w:tc>
          <w:tcPr>
            <w:tcW w:w="2477" w:type="dxa"/>
          </w:tcPr>
          <w:p w:rsidR="003C6098" w:rsidRDefault="00727F02" w:rsidP="00F56838">
            <w:pPr>
              <w:pStyle w:val="DeptOutNumbered"/>
              <w:widowControl w:val="0"/>
              <w:numPr>
                <w:ilvl w:val="0"/>
                <w:numId w:val="0"/>
              </w:numPr>
              <w:spacing w:before="60" w:after="60"/>
              <w:jc w:val="center"/>
              <w:rPr>
                <w:sz w:val="22"/>
                <w:szCs w:val="22"/>
              </w:rPr>
            </w:pPr>
            <w:r>
              <w:rPr>
                <w:sz w:val="22"/>
                <w:szCs w:val="22"/>
              </w:rPr>
              <w:t>145</w:t>
            </w:r>
          </w:p>
        </w:tc>
      </w:tr>
      <w:tr w:rsidR="003C6098" w:rsidTr="00F56838">
        <w:tc>
          <w:tcPr>
            <w:tcW w:w="6048" w:type="dxa"/>
          </w:tcPr>
          <w:p w:rsidR="003C6098" w:rsidRDefault="003C6098" w:rsidP="00F56838">
            <w:pPr>
              <w:pStyle w:val="DeptOutNumbered"/>
              <w:widowControl w:val="0"/>
              <w:numPr>
                <w:ilvl w:val="0"/>
                <w:numId w:val="0"/>
              </w:numPr>
              <w:spacing w:before="60" w:after="60"/>
              <w:rPr>
                <w:sz w:val="22"/>
                <w:szCs w:val="22"/>
              </w:rPr>
            </w:pPr>
            <w:r>
              <w:rPr>
                <w:sz w:val="22"/>
                <w:szCs w:val="22"/>
              </w:rPr>
              <w:t>Staff Savings</w:t>
            </w:r>
          </w:p>
        </w:tc>
        <w:tc>
          <w:tcPr>
            <w:tcW w:w="2477" w:type="dxa"/>
          </w:tcPr>
          <w:p w:rsidR="003C6098" w:rsidRDefault="00727F02" w:rsidP="00F56838">
            <w:pPr>
              <w:pStyle w:val="DeptOutNumbered"/>
              <w:widowControl w:val="0"/>
              <w:numPr>
                <w:ilvl w:val="0"/>
                <w:numId w:val="0"/>
              </w:numPr>
              <w:spacing w:before="60" w:after="60"/>
              <w:jc w:val="center"/>
              <w:rPr>
                <w:sz w:val="22"/>
                <w:szCs w:val="22"/>
              </w:rPr>
            </w:pPr>
            <w:r>
              <w:rPr>
                <w:sz w:val="22"/>
                <w:szCs w:val="22"/>
              </w:rPr>
              <w:t xml:space="preserve">  57</w:t>
            </w:r>
          </w:p>
        </w:tc>
      </w:tr>
      <w:tr w:rsidR="003C6098" w:rsidTr="00F56838">
        <w:tc>
          <w:tcPr>
            <w:tcW w:w="6048" w:type="dxa"/>
          </w:tcPr>
          <w:p w:rsidR="003C6098" w:rsidRDefault="003C6098" w:rsidP="00F56838">
            <w:pPr>
              <w:pStyle w:val="DeptOutNumbered"/>
              <w:widowControl w:val="0"/>
              <w:numPr>
                <w:ilvl w:val="0"/>
                <w:numId w:val="0"/>
              </w:numPr>
              <w:spacing w:before="60" w:after="60"/>
              <w:rPr>
                <w:sz w:val="22"/>
                <w:szCs w:val="22"/>
              </w:rPr>
            </w:pPr>
            <w:r>
              <w:rPr>
                <w:sz w:val="22"/>
                <w:szCs w:val="22"/>
              </w:rPr>
              <w:t>IDACI (New Data Set)</w:t>
            </w:r>
          </w:p>
        </w:tc>
        <w:tc>
          <w:tcPr>
            <w:tcW w:w="2477" w:type="dxa"/>
          </w:tcPr>
          <w:p w:rsidR="003C6098" w:rsidRDefault="009368DD" w:rsidP="00F56838">
            <w:pPr>
              <w:pStyle w:val="DeptOutNumbered"/>
              <w:widowControl w:val="0"/>
              <w:numPr>
                <w:ilvl w:val="0"/>
                <w:numId w:val="0"/>
              </w:numPr>
              <w:spacing w:before="60" w:after="60"/>
              <w:jc w:val="center"/>
              <w:rPr>
                <w:sz w:val="22"/>
                <w:szCs w:val="22"/>
              </w:rPr>
            </w:pPr>
            <w:r>
              <w:rPr>
                <w:sz w:val="22"/>
                <w:szCs w:val="22"/>
              </w:rPr>
              <w:t xml:space="preserve">  83</w:t>
            </w:r>
          </w:p>
        </w:tc>
      </w:tr>
      <w:tr w:rsidR="003C6098" w:rsidTr="00F56838">
        <w:tc>
          <w:tcPr>
            <w:tcW w:w="6048" w:type="dxa"/>
          </w:tcPr>
          <w:p w:rsidR="003C6098" w:rsidRDefault="00577F1C" w:rsidP="00F56838">
            <w:pPr>
              <w:pStyle w:val="DeptOutNumbered"/>
              <w:widowControl w:val="0"/>
              <w:numPr>
                <w:ilvl w:val="0"/>
                <w:numId w:val="0"/>
              </w:numPr>
              <w:spacing w:before="60" w:after="60"/>
              <w:rPr>
                <w:sz w:val="22"/>
                <w:szCs w:val="22"/>
              </w:rPr>
            </w:pPr>
            <w:r>
              <w:rPr>
                <w:sz w:val="22"/>
                <w:szCs w:val="22"/>
              </w:rPr>
              <w:t>IDACI (6</w:t>
            </w:r>
            <w:r w:rsidR="003C6098">
              <w:rPr>
                <w:sz w:val="22"/>
                <w:szCs w:val="22"/>
              </w:rPr>
              <w:t xml:space="preserve">% reduction on 2015/16 </w:t>
            </w:r>
            <w:r w:rsidR="00423237">
              <w:rPr>
                <w:sz w:val="22"/>
                <w:szCs w:val="22"/>
              </w:rPr>
              <w:t xml:space="preserve">cash </w:t>
            </w:r>
            <w:r w:rsidR="003C6098">
              <w:rPr>
                <w:sz w:val="22"/>
                <w:szCs w:val="22"/>
              </w:rPr>
              <w:t>values)</w:t>
            </w:r>
          </w:p>
        </w:tc>
        <w:tc>
          <w:tcPr>
            <w:tcW w:w="2477" w:type="dxa"/>
          </w:tcPr>
          <w:p w:rsidR="003C6098" w:rsidRDefault="009368DD" w:rsidP="00F56838">
            <w:pPr>
              <w:pStyle w:val="DeptOutNumbered"/>
              <w:widowControl w:val="0"/>
              <w:numPr>
                <w:ilvl w:val="0"/>
                <w:numId w:val="0"/>
              </w:numPr>
              <w:spacing w:before="60" w:after="60"/>
              <w:jc w:val="center"/>
              <w:rPr>
                <w:sz w:val="22"/>
                <w:szCs w:val="22"/>
              </w:rPr>
            </w:pPr>
            <w:r>
              <w:rPr>
                <w:sz w:val="22"/>
                <w:szCs w:val="22"/>
              </w:rPr>
              <w:t xml:space="preserve">  65</w:t>
            </w:r>
          </w:p>
        </w:tc>
      </w:tr>
      <w:tr w:rsidR="003C6098" w:rsidTr="00F56838">
        <w:tc>
          <w:tcPr>
            <w:tcW w:w="6048" w:type="dxa"/>
          </w:tcPr>
          <w:p w:rsidR="003C6098" w:rsidRPr="003C6098" w:rsidRDefault="003C6098" w:rsidP="00F56838">
            <w:pPr>
              <w:pStyle w:val="DeptOutNumbered"/>
              <w:widowControl w:val="0"/>
              <w:numPr>
                <w:ilvl w:val="0"/>
                <w:numId w:val="0"/>
              </w:numPr>
              <w:spacing w:before="60" w:after="60"/>
              <w:rPr>
                <w:b/>
                <w:sz w:val="22"/>
                <w:szCs w:val="22"/>
              </w:rPr>
            </w:pPr>
            <w:r w:rsidRPr="003C6098">
              <w:rPr>
                <w:b/>
                <w:sz w:val="22"/>
                <w:szCs w:val="22"/>
              </w:rPr>
              <w:t>TOTAL</w:t>
            </w:r>
          </w:p>
        </w:tc>
        <w:tc>
          <w:tcPr>
            <w:tcW w:w="2477" w:type="dxa"/>
          </w:tcPr>
          <w:p w:rsidR="003C6098" w:rsidRPr="00577F1C" w:rsidRDefault="009368DD" w:rsidP="00F56838">
            <w:pPr>
              <w:pStyle w:val="DeptOutNumbered"/>
              <w:widowControl w:val="0"/>
              <w:numPr>
                <w:ilvl w:val="0"/>
                <w:numId w:val="0"/>
              </w:numPr>
              <w:spacing w:before="60" w:after="60"/>
              <w:jc w:val="center"/>
              <w:rPr>
                <w:b/>
                <w:sz w:val="22"/>
                <w:szCs w:val="22"/>
              </w:rPr>
            </w:pPr>
            <w:r w:rsidRPr="00577F1C">
              <w:rPr>
                <w:b/>
                <w:sz w:val="22"/>
                <w:szCs w:val="22"/>
              </w:rPr>
              <w:t>350</w:t>
            </w:r>
          </w:p>
        </w:tc>
      </w:tr>
    </w:tbl>
    <w:p w:rsidR="0016054C" w:rsidRDefault="0016054C" w:rsidP="00690E80">
      <w:pPr>
        <w:pStyle w:val="DeptOutNumbered"/>
        <w:widowControl w:val="0"/>
        <w:numPr>
          <w:ilvl w:val="0"/>
          <w:numId w:val="0"/>
        </w:numPr>
        <w:spacing w:after="0"/>
        <w:ind w:left="720"/>
        <w:rPr>
          <w:sz w:val="22"/>
          <w:szCs w:val="22"/>
        </w:rPr>
      </w:pPr>
      <w:r>
        <w:rPr>
          <w:sz w:val="22"/>
          <w:szCs w:val="22"/>
        </w:rPr>
        <w:t xml:space="preserve"> </w:t>
      </w:r>
    </w:p>
    <w:p w:rsidR="003C6098" w:rsidRDefault="00423237" w:rsidP="00690E80">
      <w:pPr>
        <w:pStyle w:val="DeptOutNumbered"/>
        <w:widowControl w:val="0"/>
        <w:numPr>
          <w:ilvl w:val="0"/>
          <w:numId w:val="0"/>
        </w:numPr>
        <w:spacing w:after="0"/>
        <w:ind w:left="720"/>
        <w:rPr>
          <w:sz w:val="22"/>
          <w:szCs w:val="22"/>
        </w:rPr>
      </w:pPr>
      <w:r>
        <w:rPr>
          <w:sz w:val="22"/>
          <w:szCs w:val="22"/>
        </w:rPr>
        <w:lastRenderedPageBreak/>
        <w:t xml:space="preserve">and the </w:t>
      </w:r>
      <w:r w:rsidR="00727F02">
        <w:rPr>
          <w:sz w:val="22"/>
          <w:szCs w:val="22"/>
        </w:rPr>
        <w:t>formula</w:t>
      </w:r>
      <w:r>
        <w:rPr>
          <w:sz w:val="22"/>
          <w:szCs w:val="22"/>
        </w:rPr>
        <w:t xml:space="preserve"> values associated with </w:t>
      </w:r>
      <w:r w:rsidR="00F56838">
        <w:rPr>
          <w:sz w:val="22"/>
          <w:szCs w:val="22"/>
        </w:rPr>
        <w:t xml:space="preserve">achieving </w:t>
      </w:r>
      <w:r>
        <w:rPr>
          <w:sz w:val="22"/>
          <w:szCs w:val="22"/>
        </w:rPr>
        <w:t xml:space="preserve">the savings </w:t>
      </w:r>
      <w:r w:rsidR="00F56838">
        <w:rPr>
          <w:sz w:val="22"/>
          <w:szCs w:val="22"/>
        </w:rPr>
        <w:t xml:space="preserve">in this way </w:t>
      </w:r>
      <w:r>
        <w:rPr>
          <w:sz w:val="22"/>
          <w:szCs w:val="22"/>
        </w:rPr>
        <w:t>would be:</w:t>
      </w:r>
    </w:p>
    <w:p w:rsidR="003C6098" w:rsidRDefault="003C6098" w:rsidP="00690E80">
      <w:pPr>
        <w:pStyle w:val="DeptOutNumbered"/>
        <w:widowControl w:val="0"/>
        <w:numPr>
          <w:ilvl w:val="0"/>
          <w:numId w:val="0"/>
        </w:numPr>
        <w:spacing w:after="0"/>
        <w:ind w:left="720"/>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90"/>
        <w:gridCol w:w="1710"/>
      </w:tblGrid>
      <w:tr w:rsidR="00F04DE7" w:rsidRPr="0066483F" w:rsidTr="00F04DE7">
        <w:tc>
          <w:tcPr>
            <w:tcW w:w="3600" w:type="dxa"/>
            <w:shd w:val="clear" w:color="auto" w:fill="auto"/>
          </w:tcPr>
          <w:p w:rsidR="00725477" w:rsidRPr="0066483F" w:rsidRDefault="00E65AFA" w:rsidP="00E65AFA">
            <w:pPr>
              <w:spacing w:before="60" w:after="60"/>
              <w:jc w:val="center"/>
              <w:rPr>
                <w:rFonts w:cs="Arial"/>
                <w:b/>
              </w:rPr>
            </w:pPr>
            <w:r>
              <w:rPr>
                <w:rFonts w:cs="Arial"/>
                <w:b/>
              </w:rPr>
              <w:t>Formula Factor</w:t>
            </w:r>
          </w:p>
        </w:tc>
        <w:tc>
          <w:tcPr>
            <w:tcW w:w="1890" w:type="dxa"/>
            <w:shd w:val="clear" w:color="auto" w:fill="auto"/>
          </w:tcPr>
          <w:p w:rsidR="00725477" w:rsidRPr="0066483F" w:rsidRDefault="00F04DE7" w:rsidP="00E65AFA">
            <w:pPr>
              <w:spacing w:before="60" w:after="60"/>
              <w:jc w:val="center"/>
              <w:rPr>
                <w:rFonts w:cs="Arial"/>
                <w:b/>
              </w:rPr>
            </w:pPr>
            <w:r>
              <w:rPr>
                <w:rFonts w:cs="Arial"/>
                <w:b/>
              </w:rPr>
              <w:t>Current (</w:t>
            </w:r>
            <w:r w:rsidR="00E65AFA">
              <w:rPr>
                <w:rFonts w:cs="Arial"/>
                <w:b/>
              </w:rPr>
              <w:t>2015/16</w:t>
            </w:r>
            <w:r>
              <w:rPr>
                <w:rFonts w:cs="Arial"/>
                <w:b/>
              </w:rPr>
              <w:t>)</w:t>
            </w:r>
            <w:r w:rsidR="00725477" w:rsidRPr="0066483F">
              <w:rPr>
                <w:rFonts w:cs="Arial"/>
                <w:b/>
              </w:rPr>
              <w:t xml:space="preserve"> Hourly Rate</w:t>
            </w:r>
          </w:p>
        </w:tc>
        <w:tc>
          <w:tcPr>
            <w:tcW w:w="1710" w:type="dxa"/>
            <w:shd w:val="clear" w:color="auto" w:fill="auto"/>
          </w:tcPr>
          <w:p w:rsidR="00725477" w:rsidRPr="0066483F" w:rsidRDefault="00725477" w:rsidP="00E65AFA">
            <w:pPr>
              <w:spacing w:before="60" w:after="60"/>
              <w:jc w:val="center"/>
              <w:rPr>
                <w:rFonts w:cs="Arial"/>
                <w:b/>
              </w:rPr>
            </w:pPr>
            <w:r w:rsidRPr="0066483F">
              <w:rPr>
                <w:rFonts w:cs="Arial"/>
                <w:b/>
              </w:rPr>
              <w:t xml:space="preserve">Proposed </w:t>
            </w:r>
            <w:r w:rsidR="00E65AFA">
              <w:rPr>
                <w:rFonts w:cs="Arial"/>
                <w:b/>
              </w:rPr>
              <w:t xml:space="preserve">2016/17 </w:t>
            </w:r>
            <w:r w:rsidRPr="0066483F">
              <w:rPr>
                <w:rFonts w:cs="Arial"/>
                <w:b/>
              </w:rPr>
              <w:t>Hourly Rate</w:t>
            </w:r>
          </w:p>
        </w:tc>
      </w:tr>
      <w:tr w:rsidR="00F04DE7" w:rsidRPr="0066483F" w:rsidTr="00F04DE7">
        <w:tc>
          <w:tcPr>
            <w:tcW w:w="3600" w:type="dxa"/>
            <w:shd w:val="clear" w:color="auto" w:fill="auto"/>
          </w:tcPr>
          <w:p w:rsidR="00725477" w:rsidRPr="0066483F" w:rsidRDefault="00E65AFA" w:rsidP="00E65AFA">
            <w:pPr>
              <w:spacing w:before="60" w:after="60"/>
              <w:rPr>
                <w:rFonts w:cs="Arial"/>
              </w:rPr>
            </w:pPr>
            <w:r>
              <w:rPr>
                <w:rFonts w:cs="Arial"/>
              </w:rPr>
              <w:t>Basic Rate (</w:t>
            </w:r>
            <w:r w:rsidR="00725477" w:rsidRPr="0066483F">
              <w:rPr>
                <w:rFonts w:cs="Arial"/>
              </w:rPr>
              <w:t>3 and 4</w:t>
            </w:r>
            <w:r>
              <w:rPr>
                <w:rFonts w:cs="Arial"/>
              </w:rPr>
              <w:t xml:space="preserve"> year olds)</w:t>
            </w:r>
          </w:p>
        </w:tc>
        <w:tc>
          <w:tcPr>
            <w:tcW w:w="1890" w:type="dxa"/>
            <w:shd w:val="clear" w:color="auto" w:fill="auto"/>
          </w:tcPr>
          <w:p w:rsidR="00725477" w:rsidRPr="0066483F" w:rsidRDefault="00725477" w:rsidP="000B1C30">
            <w:pPr>
              <w:spacing w:before="60" w:after="60"/>
              <w:jc w:val="center"/>
              <w:rPr>
                <w:rFonts w:cs="Arial"/>
              </w:rPr>
            </w:pPr>
            <w:r w:rsidRPr="0066483F">
              <w:rPr>
                <w:rFonts w:cs="Arial"/>
              </w:rPr>
              <w:t>£3.20</w:t>
            </w:r>
          </w:p>
        </w:tc>
        <w:tc>
          <w:tcPr>
            <w:tcW w:w="1710" w:type="dxa"/>
            <w:shd w:val="clear" w:color="auto" w:fill="auto"/>
          </w:tcPr>
          <w:p w:rsidR="00725477" w:rsidRPr="0066483F" w:rsidRDefault="00725477" w:rsidP="000B1C30">
            <w:pPr>
              <w:spacing w:before="60" w:after="60"/>
              <w:jc w:val="center"/>
              <w:rPr>
                <w:rFonts w:cs="Arial"/>
              </w:rPr>
            </w:pPr>
            <w:r w:rsidRPr="0066483F">
              <w:rPr>
                <w:rFonts w:cs="Arial"/>
              </w:rPr>
              <w:t>£3.15</w:t>
            </w:r>
          </w:p>
        </w:tc>
      </w:tr>
      <w:tr w:rsidR="00F04DE7" w:rsidRPr="0066483F" w:rsidTr="00F04DE7">
        <w:tc>
          <w:tcPr>
            <w:tcW w:w="3600" w:type="dxa"/>
            <w:shd w:val="clear" w:color="auto" w:fill="auto"/>
          </w:tcPr>
          <w:p w:rsidR="00725477" w:rsidRPr="0066483F" w:rsidRDefault="00E65AFA" w:rsidP="00E65AFA">
            <w:pPr>
              <w:spacing w:before="60" w:after="60"/>
              <w:rPr>
                <w:rFonts w:cs="Arial"/>
              </w:rPr>
            </w:pPr>
            <w:r>
              <w:rPr>
                <w:rFonts w:cs="Arial"/>
              </w:rPr>
              <w:t>Basic Rate (</w:t>
            </w:r>
            <w:r w:rsidR="00725477" w:rsidRPr="0066483F">
              <w:rPr>
                <w:rFonts w:cs="Arial"/>
              </w:rPr>
              <w:t>2</w:t>
            </w:r>
            <w:r>
              <w:rPr>
                <w:rFonts w:cs="Arial"/>
              </w:rPr>
              <w:t xml:space="preserve"> year olds)</w:t>
            </w:r>
          </w:p>
        </w:tc>
        <w:tc>
          <w:tcPr>
            <w:tcW w:w="1890" w:type="dxa"/>
            <w:shd w:val="clear" w:color="auto" w:fill="auto"/>
          </w:tcPr>
          <w:p w:rsidR="00725477" w:rsidRPr="0066483F" w:rsidRDefault="00725477" w:rsidP="000B1C30">
            <w:pPr>
              <w:spacing w:before="60" w:after="60"/>
              <w:jc w:val="center"/>
              <w:rPr>
                <w:rFonts w:cs="Arial"/>
              </w:rPr>
            </w:pPr>
            <w:r w:rsidRPr="0066483F">
              <w:rPr>
                <w:rFonts w:cs="Arial"/>
              </w:rPr>
              <w:t>£4.19</w:t>
            </w:r>
          </w:p>
        </w:tc>
        <w:tc>
          <w:tcPr>
            <w:tcW w:w="1710" w:type="dxa"/>
            <w:shd w:val="clear" w:color="auto" w:fill="auto"/>
          </w:tcPr>
          <w:p w:rsidR="00725477" w:rsidRPr="0066483F" w:rsidRDefault="00725477" w:rsidP="000B1C30">
            <w:pPr>
              <w:spacing w:before="60" w:after="60"/>
              <w:jc w:val="center"/>
              <w:rPr>
                <w:rFonts w:cs="Arial"/>
              </w:rPr>
            </w:pPr>
            <w:r w:rsidRPr="0066483F">
              <w:rPr>
                <w:rFonts w:cs="Arial"/>
              </w:rPr>
              <w:t>£4.13</w:t>
            </w:r>
          </w:p>
        </w:tc>
      </w:tr>
      <w:tr w:rsidR="00F04DE7" w:rsidRPr="0066483F" w:rsidTr="00F04DE7">
        <w:tc>
          <w:tcPr>
            <w:tcW w:w="3600" w:type="dxa"/>
            <w:shd w:val="clear" w:color="auto" w:fill="auto"/>
          </w:tcPr>
          <w:p w:rsidR="00725477" w:rsidRPr="0066483F" w:rsidRDefault="00725477" w:rsidP="000B1C30">
            <w:pPr>
              <w:keepNext/>
              <w:spacing w:before="60" w:after="60"/>
              <w:rPr>
                <w:rFonts w:cs="Arial"/>
              </w:rPr>
            </w:pPr>
            <w:r w:rsidRPr="0066483F">
              <w:rPr>
                <w:rFonts w:cs="Arial"/>
              </w:rPr>
              <w:t>Deprivation using IDACI</w:t>
            </w:r>
            <w:r w:rsidR="00F04DE7">
              <w:rPr>
                <w:rFonts w:cs="Arial"/>
              </w:rPr>
              <w:t xml:space="preserve"> </w:t>
            </w:r>
            <w:r w:rsidRPr="0066483F">
              <w:rPr>
                <w:rFonts w:cs="Arial"/>
              </w:rPr>
              <w:t xml:space="preserve">  - Band 0</w:t>
            </w:r>
          </w:p>
          <w:p w:rsidR="00725477" w:rsidRPr="0066483F" w:rsidRDefault="00725477" w:rsidP="000B1C30">
            <w:pPr>
              <w:pStyle w:val="ListParagraph"/>
              <w:keepNext/>
              <w:spacing w:before="60" w:after="60"/>
              <w:ind w:left="0"/>
              <w:jc w:val="right"/>
              <w:rPr>
                <w:rFonts w:cs="Arial"/>
              </w:rPr>
            </w:pPr>
            <w:r w:rsidRPr="0066483F">
              <w:rPr>
                <w:rFonts w:cs="Arial"/>
              </w:rPr>
              <w:t>- Band 1</w:t>
            </w:r>
          </w:p>
          <w:p w:rsidR="00725477" w:rsidRPr="0066483F" w:rsidRDefault="00725477" w:rsidP="000B1C30">
            <w:pPr>
              <w:keepNext/>
              <w:spacing w:before="60" w:after="60"/>
              <w:ind w:left="360"/>
              <w:jc w:val="right"/>
              <w:rPr>
                <w:rFonts w:cs="Arial"/>
              </w:rPr>
            </w:pPr>
            <w:r w:rsidRPr="0066483F">
              <w:rPr>
                <w:rFonts w:cs="Arial"/>
              </w:rPr>
              <w:t>- Band 2</w:t>
            </w:r>
          </w:p>
          <w:p w:rsidR="00725477" w:rsidRPr="0066483F" w:rsidRDefault="00725477" w:rsidP="000B1C30">
            <w:pPr>
              <w:keepNext/>
              <w:spacing w:before="60" w:after="60"/>
              <w:ind w:left="360"/>
              <w:jc w:val="right"/>
              <w:rPr>
                <w:rFonts w:cs="Arial"/>
              </w:rPr>
            </w:pPr>
            <w:r w:rsidRPr="0066483F">
              <w:rPr>
                <w:rFonts w:cs="Arial"/>
              </w:rPr>
              <w:t>- Band 3</w:t>
            </w:r>
          </w:p>
          <w:p w:rsidR="00725477" w:rsidRPr="0066483F" w:rsidRDefault="00725477" w:rsidP="000B1C30">
            <w:pPr>
              <w:keepNext/>
              <w:spacing w:before="60" w:after="60"/>
              <w:ind w:left="360"/>
              <w:jc w:val="right"/>
              <w:rPr>
                <w:rFonts w:cs="Arial"/>
              </w:rPr>
            </w:pPr>
            <w:r w:rsidRPr="0066483F">
              <w:rPr>
                <w:rFonts w:cs="Arial"/>
              </w:rPr>
              <w:t>- Band 4</w:t>
            </w:r>
          </w:p>
          <w:p w:rsidR="00725477" w:rsidRPr="0066483F" w:rsidRDefault="00725477" w:rsidP="000B1C30">
            <w:pPr>
              <w:keepNext/>
              <w:spacing w:before="60" w:after="60"/>
              <w:ind w:left="360"/>
              <w:jc w:val="right"/>
              <w:rPr>
                <w:rFonts w:cs="Arial"/>
              </w:rPr>
            </w:pPr>
            <w:r w:rsidRPr="0066483F">
              <w:rPr>
                <w:rFonts w:cs="Arial"/>
              </w:rPr>
              <w:t>- Band 5</w:t>
            </w:r>
          </w:p>
          <w:p w:rsidR="00725477" w:rsidRPr="0066483F" w:rsidRDefault="00725477" w:rsidP="000B1C30">
            <w:pPr>
              <w:pStyle w:val="ListParagraph"/>
              <w:keepNext/>
              <w:spacing w:before="60" w:after="60"/>
              <w:jc w:val="right"/>
              <w:rPr>
                <w:rFonts w:cs="Arial"/>
              </w:rPr>
            </w:pPr>
            <w:r w:rsidRPr="0066483F">
              <w:rPr>
                <w:rFonts w:cs="Arial"/>
              </w:rPr>
              <w:t>- Band 6</w:t>
            </w:r>
          </w:p>
        </w:tc>
        <w:tc>
          <w:tcPr>
            <w:tcW w:w="1890" w:type="dxa"/>
            <w:shd w:val="clear" w:color="auto" w:fill="auto"/>
          </w:tcPr>
          <w:p w:rsidR="00725477" w:rsidRPr="0066483F" w:rsidRDefault="00725477" w:rsidP="000B1C30">
            <w:pPr>
              <w:spacing w:before="60" w:after="60"/>
              <w:jc w:val="center"/>
              <w:rPr>
                <w:rFonts w:cs="Arial"/>
              </w:rPr>
            </w:pPr>
            <w:r w:rsidRPr="0066483F">
              <w:rPr>
                <w:rFonts w:cs="Arial"/>
              </w:rPr>
              <w:t>£0.00</w:t>
            </w:r>
          </w:p>
          <w:p w:rsidR="00725477" w:rsidRPr="0066483F" w:rsidRDefault="00725477" w:rsidP="000B1C30">
            <w:pPr>
              <w:spacing w:before="60" w:after="60"/>
              <w:jc w:val="center"/>
              <w:rPr>
                <w:rFonts w:cs="Arial"/>
              </w:rPr>
            </w:pPr>
            <w:r w:rsidRPr="0066483F">
              <w:rPr>
                <w:rFonts w:cs="Arial"/>
              </w:rPr>
              <w:t>£0.54</w:t>
            </w:r>
          </w:p>
          <w:p w:rsidR="00725477" w:rsidRPr="0066483F" w:rsidRDefault="00725477" w:rsidP="000B1C30">
            <w:pPr>
              <w:spacing w:before="60" w:after="60"/>
              <w:jc w:val="center"/>
              <w:rPr>
                <w:rFonts w:cs="Arial"/>
              </w:rPr>
            </w:pPr>
            <w:r w:rsidRPr="0066483F">
              <w:rPr>
                <w:rFonts w:cs="Arial"/>
              </w:rPr>
              <w:t>£0.54</w:t>
            </w:r>
          </w:p>
          <w:p w:rsidR="00725477" w:rsidRPr="0066483F" w:rsidRDefault="00725477" w:rsidP="000B1C30">
            <w:pPr>
              <w:spacing w:before="60" w:after="60"/>
              <w:jc w:val="center"/>
              <w:rPr>
                <w:rFonts w:cs="Arial"/>
              </w:rPr>
            </w:pPr>
            <w:r w:rsidRPr="0066483F">
              <w:rPr>
                <w:rFonts w:cs="Arial"/>
              </w:rPr>
              <w:t>£0.82</w:t>
            </w:r>
          </w:p>
          <w:p w:rsidR="00725477" w:rsidRPr="0066483F" w:rsidRDefault="00725477" w:rsidP="000B1C30">
            <w:pPr>
              <w:spacing w:before="60" w:after="60"/>
              <w:jc w:val="center"/>
              <w:rPr>
                <w:rFonts w:cs="Arial"/>
              </w:rPr>
            </w:pPr>
            <w:r w:rsidRPr="0066483F">
              <w:rPr>
                <w:rFonts w:cs="Arial"/>
              </w:rPr>
              <w:t>£1.10</w:t>
            </w:r>
          </w:p>
          <w:p w:rsidR="00725477" w:rsidRPr="0066483F" w:rsidRDefault="00725477" w:rsidP="000B1C30">
            <w:pPr>
              <w:spacing w:before="60" w:after="60"/>
              <w:jc w:val="center"/>
              <w:rPr>
                <w:rFonts w:cs="Arial"/>
              </w:rPr>
            </w:pPr>
            <w:r w:rsidRPr="0066483F">
              <w:rPr>
                <w:rFonts w:cs="Arial"/>
              </w:rPr>
              <w:t>£1.37</w:t>
            </w:r>
          </w:p>
          <w:p w:rsidR="00725477" w:rsidRPr="0066483F" w:rsidRDefault="00725477" w:rsidP="000B1C30">
            <w:pPr>
              <w:spacing w:before="60" w:after="60"/>
              <w:jc w:val="center"/>
              <w:rPr>
                <w:rFonts w:cs="Arial"/>
              </w:rPr>
            </w:pPr>
            <w:r w:rsidRPr="0066483F">
              <w:rPr>
                <w:rFonts w:cs="Arial"/>
              </w:rPr>
              <w:t>£1.64</w:t>
            </w:r>
          </w:p>
        </w:tc>
        <w:tc>
          <w:tcPr>
            <w:tcW w:w="1710" w:type="dxa"/>
            <w:shd w:val="clear" w:color="auto" w:fill="auto"/>
          </w:tcPr>
          <w:p w:rsidR="00725477" w:rsidRPr="0066483F" w:rsidRDefault="00725477" w:rsidP="000B1C30">
            <w:pPr>
              <w:spacing w:before="60" w:after="60"/>
              <w:jc w:val="center"/>
              <w:rPr>
                <w:rFonts w:cs="Arial"/>
              </w:rPr>
            </w:pPr>
            <w:r w:rsidRPr="0066483F">
              <w:rPr>
                <w:rFonts w:cs="Arial"/>
              </w:rPr>
              <w:t>£0.00</w:t>
            </w:r>
          </w:p>
          <w:p w:rsidR="00725477" w:rsidRPr="0066483F" w:rsidRDefault="00725477" w:rsidP="000B1C30">
            <w:pPr>
              <w:spacing w:before="60" w:after="60"/>
              <w:jc w:val="center"/>
              <w:rPr>
                <w:rFonts w:cs="Arial"/>
              </w:rPr>
            </w:pPr>
            <w:r w:rsidRPr="0066483F">
              <w:rPr>
                <w:rFonts w:cs="Arial"/>
              </w:rPr>
              <w:t>£0.</w:t>
            </w:r>
            <w:r w:rsidR="00577F1C">
              <w:rPr>
                <w:rFonts w:cs="Arial"/>
              </w:rPr>
              <w:t>51</w:t>
            </w:r>
          </w:p>
          <w:p w:rsidR="00725477" w:rsidRPr="0066483F" w:rsidRDefault="00725477" w:rsidP="000B1C30">
            <w:pPr>
              <w:spacing w:before="60" w:after="60"/>
              <w:jc w:val="center"/>
              <w:rPr>
                <w:rFonts w:cs="Arial"/>
              </w:rPr>
            </w:pPr>
            <w:r w:rsidRPr="0066483F">
              <w:rPr>
                <w:rFonts w:cs="Arial"/>
              </w:rPr>
              <w:t>£0.</w:t>
            </w:r>
            <w:r w:rsidR="00577F1C">
              <w:rPr>
                <w:rFonts w:cs="Arial"/>
              </w:rPr>
              <w:t>51</w:t>
            </w:r>
          </w:p>
          <w:p w:rsidR="00725477" w:rsidRPr="0066483F" w:rsidRDefault="00725477" w:rsidP="000B1C30">
            <w:pPr>
              <w:spacing w:before="60" w:after="60"/>
              <w:jc w:val="center"/>
              <w:rPr>
                <w:rFonts w:cs="Arial"/>
              </w:rPr>
            </w:pPr>
            <w:r w:rsidRPr="0066483F">
              <w:rPr>
                <w:rFonts w:cs="Arial"/>
              </w:rPr>
              <w:t>£0.</w:t>
            </w:r>
            <w:r w:rsidR="00E65AFA">
              <w:rPr>
                <w:rFonts w:cs="Arial"/>
              </w:rPr>
              <w:t>7</w:t>
            </w:r>
            <w:r w:rsidR="00577F1C">
              <w:rPr>
                <w:rFonts w:cs="Arial"/>
              </w:rPr>
              <w:t>7</w:t>
            </w:r>
          </w:p>
          <w:p w:rsidR="00725477" w:rsidRPr="0066483F" w:rsidRDefault="00725477" w:rsidP="000B1C30">
            <w:pPr>
              <w:spacing w:before="60" w:after="60"/>
              <w:jc w:val="center"/>
              <w:rPr>
                <w:rFonts w:cs="Arial"/>
              </w:rPr>
            </w:pPr>
            <w:r w:rsidRPr="0066483F">
              <w:rPr>
                <w:rFonts w:cs="Arial"/>
              </w:rPr>
              <w:t>£</w:t>
            </w:r>
            <w:r w:rsidR="00577F1C">
              <w:rPr>
                <w:rFonts w:cs="Arial"/>
              </w:rPr>
              <w:t>1.03</w:t>
            </w:r>
          </w:p>
          <w:p w:rsidR="00725477" w:rsidRPr="0066483F" w:rsidRDefault="00725477" w:rsidP="000B1C30">
            <w:pPr>
              <w:spacing w:before="60" w:after="60"/>
              <w:jc w:val="center"/>
              <w:rPr>
                <w:rFonts w:cs="Arial"/>
              </w:rPr>
            </w:pPr>
            <w:r w:rsidRPr="0066483F">
              <w:rPr>
                <w:rFonts w:cs="Arial"/>
              </w:rPr>
              <w:t>£1.</w:t>
            </w:r>
            <w:r w:rsidR="00E65AFA">
              <w:rPr>
                <w:rFonts w:cs="Arial"/>
              </w:rPr>
              <w:t>2</w:t>
            </w:r>
            <w:r w:rsidR="00577F1C">
              <w:rPr>
                <w:rFonts w:cs="Arial"/>
              </w:rPr>
              <w:t>9</w:t>
            </w:r>
          </w:p>
          <w:p w:rsidR="00725477" w:rsidRPr="0066483F" w:rsidRDefault="00725477" w:rsidP="00577F1C">
            <w:pPr>
              <w:spacing w:before="60" w:after="60"/>
              <w:jc w:val="center"/>
              <w:rPr>
                <w:rFonts w:cs="Arial"/>
              </w:rPr>
            </w:pPr>
            <w:r w:rsidRPr="0066483F">
              <w:rPr>
                <w:rFonts w:cs="Arial"/>
              </w:rPr>
              <w:t>£1.</w:t>
            </w:r>
            <w:r w:rsidR="00577F1C">
              <w:rPr>
                <w:rFonts w:cs="Arial"/>
              </w:rPr>
              <w:t>54</w:t>
            </w:r>
          </w:p>
        </w:tc>
      </w:tr>
    </w:tbl>
    <w:p w:rsidR="00725477" w:rsidRDefault="00725477" w:rsidP="00690E80">
      <w:pPr>
        <w:pStyle w:val="DeptOutNumbered"/>
        <w:widowControl w:val="0"/>
        <w:numPr>
          <w:ilvl w:val="0"/>
          <w:numId w:val="0"/>
        </w:numPr>
        <w:spacing w:after="0"/>
        <w:ind w:left="720"/>
        <w:rPr>
          <w:sz w:val="22"/>
          <w:szCs w:val="22"/>
        </w:rPr>
      </w:pPr>
    </w:p>
    <w:p w:rsidR="00462688" w:rsidRDefault="006E55C8" w:rsidP="00690E80">
      <w:pPr>
        <w:pStyle w:val="DeptOutNumbered"/>
        <w:widowControl w:val="0"/>
        <w:numPr>
          <w:ilvl w:val="0"/>
          <w:numId w:val="0"/>
        </w:numPr>
        <w:spacing w:after="0"/>
        <w:ind w:left="720"/>
        <w:rPr>
          <w:sz w:val="22"/>
          <w:szCs w:val="22"/>
        </w:rPr>
      </w:pPr>
      <w:r>
        <w:rPr>
          <w:sz w:val="22"/>
          <w:szCs w:val="22"/>
        </w:rPr>
        <w:t>Even though the IDACI values are only being reduced by 6%, t</w:t>
      </w:r>
      <w:r w:rsidR="00462688">
        <w:rPr>
          <w:sz w:val="22"/>
          <w:szCs w:val="22"/>
        </w:rPr>
        <w:t xml:space="preserve">his approach would still reduce the </w:t>
      </w:r>
      <w:r>
        <w:rPr>
          <w:sz w:val="22"/>
          <w:szCs w:val="22"/>
        </w:rPr>
        <w:t xml:space="preserve">funding delivered through the IDACI mechanism by </w:t>
      </w:r>
      <w:r w:rsidR="008461C3">
        <w:rPr>
          <w:sz w:val="22"/>
          <w:szCs w:val="22"/>
        </w:rPr>
        <w:t>14</w:t>
      </w:r>
      <w:r>
        <w:rPr>
          <w:sz w:val="22"/>
          <w:szCs w:val="22"/>
        </w:rPr>
        <w:t>%</w:t>
      </w:r>
      <w:r w:rsidR="008461C3">
        <w:rPr>
          <w:sz w:val="22"/>
          <w:szCs w:val="22"/>
        </w:rPr>
        <w:t xml:space="preserve"> overall</w:t>
      </w:r>
      <w:r>
        <w:rPr>
          <w:sz w:val="22"/>
          <w:szCs w:val="22"/>
        </w:rPr>
        <w:t>.</w:t>
      </w:r>
    </w:p>
    <w:p w:rsidR="006E55C8" w:rsidRDefault="006E55C8" w:rsidP="00690E80">
      <w:pPr>
        <w:pStyle w:val="DeptOutNumbered"/>
        <w:widowControl w:val="0"/>
        <w:numPr>
          <w:ilvl w:val="0"/>
          <w:numId w:val="0"/>
        </w:numPr>
        <w:spacing w:after="0"/>
        <w:ind w:left="720"/>
        <w:rPr>
          <w:sz w:val="22"/>
          <w:szCs w:val="22"/>
        </w:rPr>
      </w:pPr>
    </w:p>
    <w:p w:rsidR="00C157AB" w:rsidRPr="00C31587" w:rsidRDefault="00C157AB" w:rsidP="00C157AB">
      <w:pPr>
        <w:pStyle w:val="DeptOutNumbered"/>
        <w:keepNext/>
        <w:numPr>
          <w:ilvl w:val="0"/>
          <w:numId w:val="0"/>
        </w:numPr>
        <w:spacing w:after="0"/>
        <w:ind w:left="3168" w:hanging="2448"/>
        <w:rPr>
          <w:b/>
          <w:sz w:val="22"/>
          <w:szCs w:val="22"/>
          <w:u w:val="single"/>
        </w:rPr>
      </w:pPr>
      <w:r>
        <w:rPr>
          <w:b/>
          <w:sz w:val="22"/>
          <w:szCs w:val="22"/>
        </w:rPr>
        <w:t>Recommendation 1:</w:t>
      </w:r>
      <w:r>
        <w:rPr>
          <w:b/>
          <w:sz w:val="22"/>
          <w:szCs w:val="22"/>
        </w:rPr>
        <w:tab/>
      </w:r>
      <w:r w:rsidRPr="00C31587">
        <w:rPr>
          <w:b/>
          <w:sz w:val="22"/>
          <w:szCs w:val="22"/>
        </w:rPr>
        <w:t xml:space="preserve">The Early Years Block budget </w:t>
      </w:r>
      <w:r w:rsidR="00727F02">
        <w:rPr>
          <w:b/>
          <w:sz w:val="22"/>
          <w:szCs w:val="22"/>
        </w:rPr>
        <w:t xml:space="preserve">be set </w:t>
      </w:r>
      <w:r w:rsidRPr="00C31587">
        <w:rPr>
          <w:b/>
          <w:sz w:val="22"/>
          <w:szCs w:val="22"/>
        </w:rPr>
        <w:t>at</w:t>
      </w:r>
      <w:r w:rsidR="00C31587" w:rsidRPr="00C31587">
        <w:rPr>
          <w:b/>
          <w:sz w:val="22"/>
          <w:szCs w:val="22"/>
        </w:rPr>
        <w:t xml:space="preserve"> </w:t>
      </w:r>
      <w:r w:rsidR="00C31587" w:rsidRPr="00C31587">
        <w:rPr>
          <w:rFonts w:cs="Arial"/>
          <w:b/>
          <w:sz w:val="22"/>
          <w:szCs w:val="22"/>
        </w:rPr>
        <w:t>£11,571,763</w:t>
      </w:r>
      <w:r w:rsidR="00C31587" w:rsidRPr="00C31587">
        <w:rPr>
          <w:b/>
          <w:sz w:val="22"/>
          <w:szCs w:val="22"/>
        </w:rPr>
        <w:t xml:space="preserve"> </w:t>
      </w:r>
      <w:r w:rsidRPr="00C31587">
        <w:rPr>
          <w:b/>
          <w:sz w:val="22"/>
          <w:szCs w:val="22"/>
        </w:rPr>
        <w:t xml:space="preserve">as </w:t>
      </w:r>
      <w:r w:rsidR="00244754">
        <w:rPr>
          <w:b/>
          <w:sz w:val="22"/>
          <w:szCs w:val="22"/>
        </w:rPr>
        <w:t>detailed</w:t>
      </w:r>
      <w:r w:rsidRPr="00C31587">
        <w:rPr>
          <w:b/>
          <w:sz w:val="22"/>
          <w:szCs w:val="22"/>
        </w:rPr>
        <w:t xml:space="preserve"> in Annex </w:t>
      </w:r>
      <w:r w:rsidR="00EB5D58">
        <w:rPr>
          <w:b/>
          <w:sz w:val="22"/>
          <w:szCs w:val="22"/>
        </w:rPr>
        <w:t>1</w:t>
      </w:r>
      <w:r w:rsidRPr="00C31587">
        <w:rPr>
          <w:b/>
          <w:sz w:val="22"/>
          <w:szCs w:val="22"/>
        </w:rPr>
        <w:t>.</w:t>
      </w:r>
    </w:p>
    <w:p w:rsidR="00C157AB" w:rsidRDefault="00C157AB" w:rsidP="00E666FE">
      <w:pPr>
        <w:pStyle w:val="DeptOutNumbered"/>
        <w:keepNext/>
        <w:numPr>
          <w:ilvl w:val="0"/>
          <w:numId w:val="0"/>
        </w:numPr>
        <w:spacing w:after="0"/>
        <w:ind w:left="3168" w:hanging="2448"/>
        <w:rPr>
          <w:b/>
          <w:sz w:val="22"/>
          <w:szCs w:val="22"/>
        </w:rPr>
      </w:pPr>
    </w:p>
    <w:p w:rsidR="00EC4EE1" w:rsidRPr="00EC4EE1" w:rsidRDefault="00690E80" w:rsidP="00E666FE">
      <w:pPr>
        <w:pStyle w:val="DeptOutNumbered"/>
        <w:keepNext/>
        <w:numPr>
          <w:ilvl w:val="0"/>
          <w:numId w:val="0"/>
        </w:numPr>
        <w:spacing w:after="0"/>
        <w:ind w:left="3168" w:hanging="2448"/>
      </w:pPr>
      <w:r w:rsidRPr="005F593A">
        <w:rPr>
          <w:b/>
          <w:sz w:val="22"/>
          <w:szCs w:val="22"/>
        </w:rPr>
        <w:t>Recommendation</w:t>
      </w:r>
      <w:r>
        <w:rPr>
          <w:b/>
          <w:sz w:val="22"/>
          <w:szCs w:val="22"/>
        </w:rPr>
        <w:t xml:space="preserve"> </w:t>
      </w:r>
      <w:r w:rsidR="00C157AB">
        <w:rPr>
          <w:b/>
          <w:sz w:val="22"/>
          <w:szCs w:val="22"/>
        </w:rPr>
        <w:t>2</w:t>
      </w:r>
      <w:r>
        <w:rPr>
          <w:b/>
          <w:sz w:val="22"/>
          <w:szCs w:val="22"/>
        </w:rPr>
        <w:t>:</w:t>
      </w:r>
      <w:r>
        <w:rPr>
          <w:b/>
          <w:sz w:val="22"/>
          <w:szCs w:val="22"/>
        </w:rPr>
        <w:tab/>
      </w:r>
      <w:r w:rsidRPr="00727F02">
        <w:rPr>
          <w:b/>
          <w:sz w:val="22"/>
          <w:szCs w:val="22"/>
        </w:rPr>
        <w:t xml:space="preserve">The </w:t>
      </w:r>
      <w:r w:rsidR="00EC4EE1" w:rsidRPr="00727F02">
        <w:rPr>
          <w:b/>
          <w:sz w:val="22"/>
          <w:szCs w:val="22"/>
        </w:rPr>
        <w:t xml:space="preserve">funding rates for </w:t>
      </w:r>
      <w:r w:rsidRPr="00727F02">
        <w:rPr>
          <w:b/>
          <w:sz w:val="22"/>
          <w:szCs w:val="22"/>
        </w:rPr>
        <w:t xml:space="preserve">the Early Years </w:t>
      </w:r>
      <w:r w:rsidR="00EC4EE1" w:rsidRPr="00727F02">
        <w:rPr>
          <w:b/>
          <w:sz w:val="22"/>
          <w:szCs w:val="22"/>
        </w:rPr>
        <w:t xml:space="preserve">formula </w:t>
      </w:r>
      <w:r w:rsidR="00244754">
        <w:rPr>
          <w:b/>
          <w:sz w:val="22"/>
          <w:szCs w:val="22"/>
        </w:rPr>
        <w:t>be</w:t>
      </w:r>
      <w:r w:rsidR="00EC4EE1" w:rsidRPr="00727F02">
        <w:rPr>
          <w:b/>
          <w:sz w:val="22"/>
          <w:szCs w:val="22"/>
        </w:rPr>
        <w:t xml:space="preserve"> </w:t>
      </w:r>
      <w:r w:rsidR="00C31587" w:rsidRPr="00727F02">
        <w:rPr>
          <w:b/>
          <w:sz w:val="22"/>
          <w:szCs w:val="22"/>
        </w:rPr>
        <w:t xml:space="preserve">set </w:t>
      </w:r>
      <w:r w:rsidR="00244754">
        <w:rPr>
          <w:b/>
          <w:sz w:val="22"/>
          <w:szCs w:val="22"/>
        </w:rPr>
        <w:t>at the values</w:t>
      </w:r>
      <w:r w:rsidR="00C31587" w:rsidRPr="00727F02">
        <w:rPr>
          <w:b/>
          <w:sz w:val="22"/>
          <w:szCs w:val="22"/>
        </w:rPr>
        <w:t xml:space="preserve"> </w:t>
      </w:r>
      <w:r w:rsidR="00D008A0">
        <w:rPr>
          <w:b/>
          <w:sz w:val="22"/>
          <w:szCs w:val="22"/>
        </w:rPr>
        <w:t xml:space="preserve">shown </w:t>
      </w:r>
      <w:r w:rsidR="00C31587" w:rsidRPr="00727F02">
        <w:rPr>
          <w:b/>
          <w:sz w:val="22"/>
          <w:szCs w:val="22"/>
        </w:rPr>
        <w:t>above</w:t>
      </w:r>
      <w:r w:rsidR="00EC4EE1" w:rsidRPr="00727F02">
        <w:rPr>
          <w:b/>
          <w:sz w:val="22"/>
          <w:szCs w:val="22"/>
        </w:rPr>
        <w:t>.</w:t>
      </w:r>
    </w:p>
    <w:p w:rsidR="00EC4EE1" w:rsidRDefault="00EC4EE1" w:rsidP="00FE433D">
      <w:pPr>
        <w:pStyle w:val="DeptOutNumbered"/>
        <w:keepNext/>
        <w:numPr>
          <w:ilvl w:val="0"/>
          <w:numId w:val="0"/>
        </w:numPr>
        <w:spacing w:after="0"/>
        <w:ind w:left="2880" w:hanging="2160"/>
        <w:rPr>
          <w:b/>
          <w:sz w:val="22"/>
          <w:szCs w:val="22"/>
        </w:rPr>
      </w:pPr>
    </w:p>
    <w:p w:rsidR="00690E80" w:rsidRDefault="00690E80" w:rsidP="00690E80">
      <w:pPr>
        <w:ind w:left="720"/>
        <w:rPr>
          <w:b/>
          <w:u w:val="single"/>
        </w:rPr>
      </w:pPr>
    </w:p>
    <w:p w:rsidR="00FE433D" w:rsidRPr="002642E8" w:rsidRDefault="00FE433D" w:rsidP="00690E80">
      <w:pPr>
        <w:ind w:left="720"/>
        <w:rPr>
          <w:b/>
          <w:u w:val="single"/>
        </w:rPr>
      </w:pPr>
    </w:p>
    <w:p w:rsidR="00FE433D" w:rsidRDefault="009140F1" w:rsidP="00FA38A5">
      <w:pPr>
        <w:pStyle w:val="DeptOutNumbered"/>
        <w:keepNext/>
        <w:numPr>
          <w:ilvl w:val="0"/>
          <w:numId w:val="0"/>
        </w:numPr>
        <w:spacing w:after="0"/>
        <w:rPr>
          <w:b/>
          <w:sz w:val="22"/>
          <w:szCs w:val="22"/>
          <w:u w:val="single"/>
        </w:rPr>
      </w:pPr>
      <w:r w:rsidRPr="009140F1">
        <w:rPr>
          <w:b/>
          <w:sz w:val="22"/>
          <w:szCs w:val="22"/>
        </w:rPr>
        <w:t>5.</w:t>
      </w:r>
      <w:r w:rsidRPr="009140F1">
        <w:rPr>
          <w:b/>
          <w:sz w:val="22"/>
          <w:szCs w:val="22"/>
        </w:rPr>
        <w:tab/>
      </w:r>
      <w:r w:rsidR="00FE433D" w:rsidRPr="002642E8">
        <w:rPr>
          <w:b/>
          <w:sz w:val="22"/>
          <w:szCs w:val="22"/>
          <w:u w:val="single"/>
        </w:rPr>
        <w:t>High Needs Block</w:t>
      </w:r>
    </w:p>
    <w:p w:rsidR="00FA38A5" w:rsidRDefault="00FA38A5" w:rsidP="00FA38A5">
      <w:pPr>
        <w:pStyle w:val="DeptOutNumbered"/>
        <w:keepNext/>
        <w:numPr>
          <w:ilvl w:val="0"/>
          <w:numId w:val="0"/>
        </w:numPr>
        <w:spacing w:after="0"/>
        <w:ind w:left="720"/>
        <w:rPr>
          <w:sz w:val="22"/>
          <w:szCs w:val="22"/>
        </w:rPr>
      </w:pPr>
    </w:p>
    <w:p w:rsidR="00FE433D" w:rsidRDefault="00FE433D" w:rsidP="00434950">
      <w:pPr>
        <w:pStyle w:val="DeptOutNumbered"/>
        <w:numPr>
          <w:ilvl w:val="0"/>
          <w:numId w:val="0"/>
        </w:numPr>
        <w:spacing w:after="0"/>
        <w:ind w:left="720"/>
        <w:rPr>
          <w:sz w:val="22"/>
          <w:szCs w:val="22"/>
        </w:rPr>
      </w:pPr>
      <w:r>
        <w:rPr>
          <w:sz w:val="22"/>
          <w:szCs w:val="22"/>
        </w:rPr>
        <w:t>The indicative High Needs Block allocation for 201</w:t>
      </w:r>
      <w:r w:rsidR="00A92774">
        <w:rPr>
          <w:sz w:val="22"/>
          <w:szCs w:val="22"/>
        </w:rPr>
        <w:t>6</w:t>
      </w:r>
      <w:r>
        <w:rPr>
          <w:sz w:val="22"/>
          <w:szCs w:val="22"/>
        </w:rPr>
        <w:t>/1</w:t>
      </w:r>
      <w:r w:rsidR="00A92774">
        <w:rPr>
          <w:sz w:val="22"/>
          <w:szCs w:val="22"/>
        </w:rPr>
        <w:t>7</w:t>
      </w:r>
      <w:r>
        <w:rPr>
          <w:sz w:val="22"/>
          <w:szCs w:val="22"/>
        </w:rPr>
        <w:t xml:space="preserve"> is £30,</w:t>
      </w:r>
      <w:r w:rsidR="00C31587">
        <w:rPr>
          <w:sz w:val="22"/>
          <w:szCs w:val="22"/>
        </w:rPr>
        <w:t>615</w:t>
      </w:r>
      <w:r>
        <w:rPr>
          <w:sz w:val="22"/>
          <w:szCs w:val="22"/>
        </w:rPr>
        <w:t>,</w:t>
      </w:r>
      <w:r w:rsidR="00C31587">
        <w:rPr>
          <w:sz w:val="22"/>
          <w:szCs w:val="22"/>
        </w:rPr>
        <w:t>298</w:t>
      </w:r>
      <w:r>
        <w:rPr>
          <w:sz w:val="22"/>
          <w:szCs w:val="22"/>
        </w:rPr>
        <w:t xml:space="preserve">.  There continues to be a high degree of uncertainty over the costs that will have to be incurred in this block, especially in respect of </w:t>
      </w:r>
      <w:r w:rsidR="00A92774">
        <w:rPr>
          <w:sz w:val="22"/>
          <w:szCs w:val="22"/>
        </w:rPr>
        <w:t xml:space="preserve">Top-Up </w:t>
      </w:r>
      <w:r>
        <w:rPr>
          <w:sz w:val="22"/>
          <w:szCs w:val="22"/>
        </w:rPr>
        <w:t xml:space="preserve">funding, as </w:t>
      </w:r>
      <w:r w:rsidR="00434950">
        <w:rPr>
          <w:sz w:val="22"/>
          <w:szCs w:val="22"/>
        </w:rPr>
        <w:t xml:space="preserve">much of the </w:t>
      </w:r>
      <w:r>
        <w:rPr>
          <w:sz w:val="22"/>
          <w:szCs w:val="22"/>
        </w:rPr>
        <w:t xml:space="preserve">expenditure is essentially led by the changing needs of the students living </w:t>
      </w:r>
      <w:r w:rsidR="00434950">
        <w:rPr>
          <w:sz w:val="22"/>
          <w:szCs w:val="22"/>
        </w:rPr>
        <w:t>with</w:t>
      </w:r>
      <w:r>
        <w:rPr>
          <w:sz w:val="22"/>
          <w:szCs w:val="22"/>
        </w:rPr>
        <w:t>in the County.</w:t>
      </w:r>
    </w:p>
    <w:p w:rsidR="00434950" w:rsidRDefault="00434950" w:rsidP="00FE433D">
      <w:pPr>
        <w:pStyle w:val="DeptOutNumbered"/>
        <w:widowControl w:val="0"/>
        <w:numPr>
          <w:ilvl w:val="0"/>
          <w:numId w:val="0"/>
        </w:numPr>
        <w:spacing w:after="0"/>
        <w:ind w:left="720"/>
        <w:rPr>
          <w:sz w:val="22"/>
          <w:szCs w:val="22"/>
        </w:rPr>
      </w:pPr>
    </w:p>
    <w:p w:rsidR="00FE433D" w:rsidRDefault="00434950" w:rsidP="00FE433D">
      <w:pPr>
        <w:pStyle w:val="DeptOutNumbered"/>
        <w:widowControl w:val="0"/>
        <w:numPr>
          <w:ilvl w:val="0"/>
          <w:numId w:val="0"/>
        </w:numPr>
        <w:spacing w:after="0"/>
        <w:ind w:left="720"/>
        <w:rPr>
          <w:sz w:val="22"/>
          <w:szCs w:val="22"/>
        </w:rPr>
      </w:pPr>
      <w:r>
        <w:rPr>
          <w:sz w:val="22"/>
          <w:szCs w:val="22"/>
        </w:rPr>
        <w:t>T</w:t>
      </w:r>
      <w:r w:rsidR="00FE433D">
        <w:rPr>
          <w:sz w:val="22"/>
          <w:szCs w:val="22"/>
        </w:rPr>
        <w:t xml:space="preserve">he DfE </w:t>
      </w:r>
      <w:r>
        <w:rPr>
          <w:sz w:val="22"/>
          <w:szCs w:val="22"/>
        </w:rPr>
        <w:t>continue to r</w:t>
      </w:r>
      <w:r w:rsidR="00FE433D">
        <w:rPr>
          <w:sz w:val="22"/>
          <w:szCs w:val="22"/>
        </w:rPr>
        <w:t>equire</w:t>
      </w:r>
      <w:r>
        <w:rPr>
          <w:sz w:val="22"/>
          <w:szCs w:val="22"/>
        </w:rPr>
        <w:t xml:space="preserve"> that</w:t>
      </w:r>
      <w:r w:rsidR="00FE433D">
        <w:rPr>
          <w:sz w:val="22"/>
          <w:szCs w:val="22"/>
        </w:rPr>
        <w:t xml:space="preserve"> expenditure in respect of SEN Home to School Transport within the DSG </w:t>
      </w:r>
      <w:r>
        <w:rPr>
          <w:sz w:val="22"/>
          <w:szCs w:val="22"/>
        </w:rPr>
        <w:t xml:space="preserve">has </w:t>
      </w:r>
      <w:r w:rsidR="00FE433D">
        <w:rPr>
          <w:sz w:val="22"/>
          <w:szCs w:val="22"/>
        </w:rPr>
        <w:t xml:space="preserve">to be accounted for within the Schools Block, yet the funding is within the High Needs Block Allocation.  As in the two previous financial years, it is proposed to vire the budget of £1,174,920 for this purpose into the Schools Block and </w:t>
      </w:r>
      <w:r w:rsidR="00236EF9">
        <w:rPr>
          <w:sz w:val="22"/>
          <w:szCs w:val="22"/>
        </w:rPr>
        <w:t xml:space="preserve">to </w:t>
      </w:r>
      <w:r w:rsidR="00FE433D">
        <w:rPr>
          <w:sz w:val="22"/>
          <w:szCs w:val="22"/>
        </w:rPr>
        <w:t>reduce the High Needs Block accordingly.</w:t>
      </w:r>
    </w:p>
    <w:p w:rsidR="00FE433D" w:rsidRDefault="00FE433D" w:rsidP="00FE433D">
      <w:pPr>
        <w:pStyle w:val="DeptOutNumbered"/>
        <w:widowControl w:val="0"/>
        <w:numPr>
          <w:ilvl w:val="0"/>
          <w:numId w:val="0"/>
        </w:numPr>
        <w:spacing w:after="0"/>
        <w:ind w:left="720"/>
        <w:rPr>
          <w:sz w:val="22"/>
          <w:szCs w:val="22"/>
        </w:rPr>
      </w:pPr>
    </w:p>
    <w:p w:rsidR="004418E1" w:rsidRDefault="004418E1" w:rsidP="004418E1">
      <w:pPr>
        <w:pStyle w:val="DeptOutNumbered"/>
        <w:widowControl w:val="0"/>
        <w:numPr>
          <w:ilvl w:val="0"/>
          <w:numId w:val="0"/>
        </w:numPr>
        <w:spacing w:after="0"/>
        <w:ind w:left="720"/>
        <w:rPr>
          <w:sz w:val="22"/>
          <w:szCs w:val="22"/>
        </w:rPr>
      </w:pPr>
      <w:r>
        <w:rPr>
          <w:sz w:val="22"/>
          <w:szCs w:val="22"/>
        </w:rPr>
        <w:t xml:space="preserve">The number of permanent exclusions from schools continues to increase, from 21 in 2012/13 to 41 in 2013/14, </w:t>
      </w:r>
      <w:r w:rsidR="00F43047">
        <w:rPr>
          <w:sz w:val="22"/>
          <w:szCs w:val="22"/>
        </w:rPr>
        <w:t>49</w:t>
      </w:r>
      <w:r>
        <w:rPr>
          <w:sz w:val="22"/>
          <w:szCs w:val="22"/>
        </w:rPr>
        <w:t xml:space="preserve"> in 2014/15 and with 1</w:t>
      </w:r>
      <w:r w:rsidR="00F43047">
        <w:rPr>
          <w:sz w:val="22"/>
          <w:szCs w:val="22"/>
        </w:rPr>
        <w:t>3</w:t>
      </w:r>
      <w:r>
        <w:rPr>
          <w:sz w:val="22"/>
          <w:szCs w:val="22"/>
        </w:rPr>
        <w:t xml:space="preserve"> in the Autumn Term 2015 a figure of 60 is predicted for 2015/16 school year.</w:t>
      </w:r>
      <w:r w:rsidR="00365F3E">
        <w:rPr>
          <w:sz w:val="22"/>
          <w:szCs w:val="22"/>
        </w:rPr>
        <w:t xml:space="preserve">  Furthermore, it is becoming increasingly difficult to obtain a school place for permanently excluded pupils and therefore many more </w:t>
      </w:r>
      <w:r w:rsidR="00B41539">
        <w:rPr>
          <w:sz w:val="22"/>
          <w:szCs w:val="22"/>
        </w:rPr>
        <w:t xml:space="preserve">excluded pupils </w:t>
      </w:r>
      <w:r w:rsidR="00365F3E">
        <w:rPr>
          <w:sz w:val="22"/>
          <w:szCs w:val="22"/>
        </w:rPr>
        <w:t xml:space="preserve">are being educated either in Alternative Provision settings or in small EOTAS teaching groups which increases the cost associated with each permanent exclusion.  </w:t>
      </w:r>
      <w:r w:rsidR="001B513E">
        <w:rPr>
          <w:sz w:val="22"/>
          <w:szCs w:val="22"/>
        </w:rPr>
        <w:t>The budget for excluded pupils</w:t>
      </w:r>
      <w:r w:rsidR="00462D3D">
        <w:rPr>
          <w:sz w:val="22"/>
          <w:szCs w:val="22"/>
        </w:rPr>
        <w:t>, even with the £200k vired in from the Schools Block in 2015/16,</w:t>
      </w:r>
      <w:r w:rsidR="001B513E">
        <w:rPr>
          <w:sz w:val="22"/>
          <w:szCs w:val="22"/>
        </w:rPr>
        <w:t xml:space="preserve"> is </w:t>
      </w:r>
      <w:r w:rsidR="00462D3D">
        <w:rPr>
          <w:sz w:val="22"/>
          <w:szCs w:val="22"/>
        </w:rPr>
        <w:t xml:space="preserve">currently </w:t>
      </w:r>
      <w:r w:rsidR="001B513E">
        <w:rPr>
          <w:sz w:val="22"/>
          <w:szCs w:val="22"/>
        </w:rPr>
        <w:t>overspending by £320,000 during the current financial year, and it is est</w:t>
      </w:r>
      <w:r>
        <w:rPr>
          <w:sz w:val="22"/>
          <w:szCs w:val="22"/>
        </w:rPr>
        <w:t xml:space="preserve">imated that </w:t>
      </w:r>
      <w:r w:rsidR="00462D3D">
        <w:rPr>
          <w:sz w:val="22"/>
          <w:szCs w:val="22"/>
        </w:rPr>
        <w:t>this is likely to be a £4</w:t>
      </w:r>
      <w:r w:rsidR="00B41539">
        <w:rPr>
          <w:sz w:val="22"/>
          <w:szCs w:val="22"/>
        </w:rPr>
        <w:t>2</w:t>
      </w:r>
      <w:r w:rsidR="00462D3D">
        <w:rPr>
          <w:sz w:val="22"/>
          <w:szCs w:val="22"/>
        </w:rPr>
        <w:t>0k overspend in 201</w:t>
      </w:r>
      <w:r w:rsidR="00EB5D58">
        <w:rPr>
          <w:sz w:val="22"/>
          <w:szCs w:val="22"/>
        </w:rPr>
        <w:t>5</w:t>
      </w:r>
      <w:r w:rsidR="00462D3D">
        <w:rPr>
          <w:sz w:val="22"/>
          <w:szCs w:val="22"/>
        </w:rPr>
        <w:t>/16 with the current rate of permanent exclusions.</w:t>
      </w:r>
      <w:r w:rsidR="00F43047">
        <w:rPr>
          <w:sz w:val="22"/>
          <w:szCs w:val="22"/>
        </w:rPr>
        <w:t xml:space="preserve">  Consequently, </w:t>
      </w:r>
      <w:r>
        <w:rPr>
          <w:sz w:val="22"/>
          <w:szCs w:val="22"/>
        </w:rPr>
        <w:t>a</w:t>
      </w:r>
      <w:r w:rsidR="001B513E">
        <w:rPr>
          <w:sz w:val="22"/>
          <w:szCs w:val="22"/>
        </w:rPr>
        <w:t xml:space="preserve"> total of </w:t>
      </w:r>
      <w:r>
        <w:rPr>
          <w:sz w:val="22"/>
          <w:szCs w:val="22"/>
        </w:rPr>
        <w:t>£620</w:t>
      </w:r>
      <w:r w:rsidR="00B41539">
        <w:rPr>
          <w:sz w:val="22"/>
          <w:szCs w:val="22"/>
        </w:rPr>
        <w:t>k</w:t>
      </w:r>
      <w:r>
        <w:rPr>
          <w:sz w:val="22"/>
          <w:szCs w:val="22"/>
        </w:rPr>
        <w:t xml:space="preserve"> is required </w:t>
      </w:r>
      <w:r w:rsidR="00B41539">
        <w:rPr>
          <w:sz w:val="22"/>
          <w:szCs w:val="22"/>
        </w:rPr>
        <w:t xml:space="preserve">in 2016/17 </w:t>
      </w:r>
      <w:r>
        <w:rPr>
          <w:sz w:val="22"/>
          <w:szCs w:val="22"/>
        </w:rPr>
        <w:t>to fund the additional costs of the expected additional excluded pupils, and it is proposed to fund this increase by the virement of £620,000 from the Schools Block into the High Needs Block.</w:t>
      </w:r>
    </w:p>
    <w:p w:rsidR="004418E1" w:rsidRDefault="004418E1" w:rsidP="004418E1">
      <w:pPr>
        <w:pStyle w:val="DeptOutNumbered"/>
        <w:widowControl w:val="0"/>
        <w:numPr>
          <w:ilvl w:val="0"/>
          <w:numId w:val="0"/>
        </w:numPr>
        <w:spacing w:after="0"/>
        <w:ind w:left="720"/>
        <w:rPr>
          <w:sz w:val="22"/>
          <w:szCs w:val="22"/>
        </w:rPr>
      </w:pPr>
    </w:p>
    <w:p w:rsidR="004418E1" w:rsidRDefault="004418E1" w:rsidP="00FE433D">
      <w:pPr>
        <w:pStyle w:val="DeptOutNumbered"/>
        <w:widowControl w:val="0"/>
        <w:numPr>
          <w:ilvl w:val="0"/>
          <w:numId w:val="0"/>
        </w:numPr>
        <w:spacing w:after="0"/>
        <w:ind w:left="720"/>
        <w:rPr>
          <w:sz w:val="22"/>
          <w:szCs w:val="22"/>
        </w:rPr>
      </w:pPr>
      <w:r>
        <w:rPr>
          <w:sz w:val="22"/>
          <w:szCs w:val="22"/>
        </w:rPr>
        <w:t xml:space="preserve">Work is continuing on the detail of the total requirements within the High Needs Block, and it is recommended that the total for the High Needs Block is set </w:t>
      </w:r>
      <w:r w:rsidR="0012687C">
        <w:rPr>
          <w:sz w:val="22"/>
          <w:szCs w:val="22"/>
        </w:rPr>
        <w:t xml:space="preserve">at this time, with the detailed breakdown of that funding into the various services being </w:t>
      </w:r>
      <w:r w:rsidR="00B41539">
        <w:rPr>
          <w:sz w:val="22"/>
          <w:szCs w:val="22"/>
        </w:rPr>
        <w:t xml:space="preserve">set </w:t>
      </w:r>
      <w:r w:rsidR="0012687C">
        <w:rPr>
          <w:sz w:val="22"/>
          <w:szCs w:val="22"/>
        </w:rPr>
        <w:t xml:space="preserve">at the Schools Forum meeting on 23 February 2016.  Setting the </w:t>
      </w:r>
      <w:r w:rsidR="00B41539">
        <w:rPr>
          <w:sz w:val="22"/>
          <w:szCs w:val="22"/>
        </w:rPr>
        <w:t xml:space="preserve">overall </w:t>
      </w:r>
      <w:r w:rsidR="0012687C">
        <w:rPr>
          <w:sz w:val="22"/>
          <w:szCs w:val="22"/>
        </w:rPr>
        <w:t xml:space="preserve">total for the High Needs Block is necessary at this time as final decisions in relation to the Schools Block must be made before the deadline of 21 January 2016 for submitting the </w:t>
      </w:r>
      <w:r w:rsidR="000E0853">
        <w:rPr>
          <w:sz w:val="22"/>
          <w:szCs w:val="22"/>
        </w:rPr>
        <w:t xml:space="preserve">final </w:t>
      </w:r>
      <w:r w:rsidR="0012687C">
        <w:rPr>
          <w:sz w:val="22"/>
          <w:szCs w:val="22"/>
        </w:rPr>
        <w:t xml:space="preserve">formula </w:t>
      </w:r>
      <w:r w:rsidR="000E0853">
        <w:rPr>
          <w:sz w:val="22"/>
          <w:szCs w:val="22"/>
        </w:rPr>
        <w:t xml:space="preserve">and final formula values </w:t>
      </w:r>
      <w:r w:rsidR="0012687C">
        <w:rPr>
          <w:sz w:val="22"/>
          <w:szCs w:val="22"/>
        </w:rPr>
        <w:t>for school budgets to the DfE.</w:t>
      </w:r>
    </w:p>
    <w:p w:rsidR="004418E1" w:rsidRDefault="004418E1" w:rsidP="00FE433D">
      <w:pPr>
        <w:pStyle w:val="DeptOutNumbered"/>
        <w:widowControl w:val="0"/>
        <w:numPr>
          <w:ilvl w:val="0"/>
          <w:numId w:val="0"/>
        </w:numPr>
        <w:spacing w:after="0"/>
        <w:ind w:left="720"/>
        <w:rPr>
          <w:sz w:val="22"/>
          <w:szCs w:val="22"/>
        </w:rPr>
      </w:pPr>
    </w:p>
    <w:p w:rsidR="00FE433D" w:rsidRPr="00BD418D" w:rsidRDefault="00FE433D" w:rsidP="00E666FE">
      <w:pPr>
        <w:pStyle w:val="DeptOutNumbered"/>
        <w:keepNext/>
        <w:numPr>
          <w:ilvl w:val="0"/>
          <w:numId w:val="0"/>
        </w:numPr>
        <w:spacing w:after="0"/>
        <w:ind w:left="3168" w:hanging="2448"/>
        <w:rPr>
          <w:b/>
          <w:sz w:val="22"/>
          <w:szCs w:val="22"/>
          <w:u w:val="single"/>
        </w:rPr>
      </w:pPr>
      <w:r w:rsidRPr="00BD418D">
        <w:rPr>
          <w:b/>
          <w:sz w:val="22"/>
          <w:szCs w:val="22"/>
        </w:rPr>
        <w:t>Recommendation 3:</w:t>
      </w:r>
      <w:r w:rsidRPr="00BD418D">
        <w:rPr>
          <w:b/>
          <w:sz w:val="22"/>
          <w:szCs w:val="22"/>
        </w:rPr>
        <w:tab/>
        <w:t>To vire £1,174,920 from the High Needs Block into the Schools Block,</w:t>
      </w:r>
      <w:r w:rsidR="00434950" w:rsidRPr="00BD418D">
        <w:rPr>
          <w:rFonts w:cs="Arial"/>
          <w:b/>
          <w:sz w:val="22"/>
          <w:szCs w:val="22"/>
        </w:rPr>
        <w:t xml:space="preserve"> as well as the vire £</w:t>
      </w:r>
      <w:r w:rsidR="004418E1" w:rsidRPr="00BD418D">
        <w:rPr>
          <w:rFonts w:cs="Arial"/>
          <w:b/>
          <w:sz w:val="22"/>
          <w:szCs w:val="22"/>
        </w:rPr>
        <w:t>6</w:t>
      </w:r>
      <w:r w:rsidR="00434950" w:rsidRPr="00BD418D">
        <w:rPr>
          <w:rFonts w:cs="Arial"/>
          <w:b/>
          <w:sz w:val="22"/>
          <w:szCs w:val="22"/>
        </w:rPr>
        <w:t>20,</w:t>
      </w:r>
      <w:r w:rsidR="00647CEC" w:rsidRPr="00BD418D">
        <w:rPr>
          <w:rFonts w:cs="Arial"/>
          <w:b/>
          <w:sz w:val="22"/>
          <w:szCs w:val="22"/>
        </w:rPr>
        <w:t>0</w:t>
      </w:r>
      <w:r w:rsidR="00434950" w:rsidRPr="00BD418D">
        <w:rPr>
          <w:rFonts w:cs="Arial"/>
          <w:b/>
          <w:sz w:val="22"/>
          <w:szCs w:val="22"/>
        </w:rPr>
        <w:t xml:space="preserve">00 from the Schools Block into the High Needs Block, and the </w:t>
      </w:r>
      <w:r w:rsidR="00BD418D">
        <w:rPr>
          <w:rFonts w:cs="Arial"/>
          <w:b/>
          <w:sz w:val="22"/>
          <w:szCs w:val="22"/>
        </w:rPr>
        <w:t xml:space="preserve">total </w:t>
      </w:r>
      <w:r w:rsidR="00434950" w:rsidRPr="00BD418D">
        <w:rPr>
          <w:rFonts w:cs="Arial"/>
          <w:b/>
          <w:sz w:val="22"/>
          <w:szCs w:val="22"/>
        </w:rPr>
        <w:t xml:space="preserve">budget for the </w:t>
      </w:r>
      <w:r w:rsidRPr="00BD418D">
        <w:rPr>
          <w:b/>
          <w:sz w:val="22"/>
          <w:szCs w:val="22"/>
        </w:rPr>
        <w:t xml:space="preserve">High Needs Block </w:t>
      </w:r>
      <w:r w:rsidR="00EF24C8">
        <w:rPr>
          <w:b/>
          <w:sz w:val="22"/>
          <w:szCs w:val="22"/>
        </w:rPr>
        <w:t xml:space="preserve">be set </w:t>
      </w:r>
      <w:r w:rsidRPr="00BD418D">
        <w:rPr>
          <w:b/>
          <w:sz w:val="22"/>
          <w:szCs w:val="22"/>
        </w:rPr>
        <w:t>at £</w:t>
      </w:r>
      <w:r w:rsidR="00BD418D" w:rsidRPr="00BD418D">
        <w:rPr>
          <w:b/>
          <w:sz w:val="22"/>
          <w:szCs w:val="22"/>
        </w:rPr>
        <w:t>30,060,378</w:t>
      </w:r>
      <w:r w:rsidRPr="00BD418D">
        <w:rPr>
          <w:b/>
          <w:sz w:val="22"/>
          <w:szCs w:val="22"/>
        </w:rPr>
        <w:t>.</w:t>
      </w:r>
    </w:p>
    <w:p w:rsidR="00FE433D" w:rsidRPr="00BD418D" w:rsidRDefault="00FE433D" w:rsidP="00FE433D">
      <w:pPr>
        <w:ind w:left="720"/>
        <w:rPr>
          <w:rFonts w:cs="Arial"/>
        </w:rPr>
      </w:pPr>
    </w:p>
    <w:p w:rsidR="00001B93" w:rsidRPr="00434950" w:rsidRDefault="00001B93" w:rsidP="00E666FE">
      <w:pPr>
        <w:pStyle w:val="DeptOutNumbered"/>
        <w:keepNext/>
        <w:numPr>
          <w:ilvl w:val="0"/>
          <w:numId w:val="0"/>
        </w:numPr>
        <w:spacing w:after="0"/>
        <w:ind w:left="3168" w:hanging="2448"/>
        <w:rPr>
          <w:b/>
          <w:sz w:val="22"/>
          <w:szCs w:val="22"/>
          <w:u w:val="single"/>
        </w:rPr>
      </w:pPr>
      <w:r w:rsidRPr="00BD418D">
        <w:rPr>
          <w:b/>
          <w:sz w:val="22"/>
          <w:szCs w:val="22"/>
        </w:rPr>
        <w:t>Recommendation 4:</w:t>
      </w:r>
      <w:r w:rsidRPr="00BD418D">
        <w:rPr>
          <w:b/>
          <w:sz w:val="22"/>
          <w:szCs w:val="22"/>
        </w:rPr>
        <w:tab/>
      </w:r>
      <w:r w:rsidR="00BD418D" w:rsidRPr="00BD418D">
        <w:rPr>
          <w:b/>
          <w:sz w:val="22"/>
          <w:szCs w:val="22"/>
        </w:rPr>
        <w:t>T</w:t>
      </w:r>
      <w:r w:rsidRPr="00BD418D">
        <w:rPr>
          <w:b/>
          <w:sz w:val="22"/>
          <w:szCs w:val="22"/>
        </w:rPr>
        <w:t xml:space="preserve">o </w:t>
      </w:r>
      <w:r w:rsidR="00BD418D" w:rsidRPr="00BD418D">
        <w:rPr>
          <w:b/>
          <w:sz w:val="22"/>
          <w:szCs w:val="22"/>
        </w:rPr>
        <w:t xml:space="preserve">agree </w:t>
      </w:r>
      <w:r w:rsidR="00EF24C8">
        <w:rPr>
          <w:b/>
          <w:sz w:val="22"/>
          <w:szCs w:val="22"/>
        </w:rPr>
        <w:t>that</w:t>
      </w:r>
      <w:r w:rsidR="00BD418D" w:rsidRPr="00BD418D">
        <w:rPr>
          <w:b/>
          <w:sz w:val="22"/>
          <w:szCs w:val="22"/>
        </w:rPr>
        <w:t xml:space="preserve"> </w:t>
      </w:r>
      <w:r w:rsidRPr="00BD418D">
        <w:rPr>
          <w:b/>
          <w:sz w:val="22"/>
          <w:szCs w:val="22"/>
        </w:rPr>
        <w:t xml:space="preserve">the various budgets within the High Needs Block </w:t>
      </w:r>
      <w:r w:rsidR="00EF24C8">
        <w:rPr>
          <w:b/>
          <w:sz w:val="22"/>
          <w:szCs w:val="22"/>
        </w:rPr>
        <w:t xml:space="preserve">be set </w:t>
      </w:r>
      <w:r w:rsidR="00BD418D" w:rsidRPr="00BD418D">
        <w:rPr>
          <w:b/>
          <w:sz w:val="22"/>
          <w:szCs w:val="22"/>
        </w:rPr>
        <w:t>at the meeting on 23 February 2016</w:t>
      </w:r>
      <w:r w:rsidRPr="00BD418D">
        <w:rPr>
          <w:b/>
          <w:sz w:val="22"/>
          <w:szCs w:val="22"/>
        </w:rPr>
        <w:t>.</w:t>
      </w:r>
    </w:p>
    <w:p w:rsidR="00FE433D" w:rsidRDefault="00FE433D" w:rsidP="00FE433D">
      <w:pPr>
        <w:ind w:left="720"/>
        <w:rPr>
          <w:rFonts w:cs="Arial"/>
        </w:rPr>
      </w:pPr>
    </w:p>
    <w:p w:rsidR="00001B93" w:rsidRPr="00434950" w:rsidRDefault="00001B93" w:rsidP="00FE433D">
      <w:pPr>
        <w:ind w:left="720"/>
        <w:rPr>
          <w:rFonts w:cs="Arial"/>
        </w:rPr>
      </w:pPr>
    </w:p>
    <w:p w:rsidR="004E2017" w:rsidRPr="004E2017" w:rsidRDefault="009140F1" w:rsidP="00FA38A5">
      <w:pPr>
        <w:pStyle w:val="DeptOutNumbered"/>
        <w:keepNext/>
        <w:numPr>
          <w:ilvl w:val="0"/>
          <w:numId w:val="0"/>
        </w:numPr>
        <w:spacing w:after="0"/>
        <w:rPr>
          <w:b/>
          <w:sz w:val="22"/>
          <w:szCs w:val="22"/>
          <w:u w:val="single"/>
        </w:rPr>
      </w:pPr>
      <w:r w:rsidRPr="009140F1">
        <w:rPr>
          <w:b/>
          <w:sz w:val="22"/>
          <w:szCs w:val="22"/>
        </w:rPr>
        <w:t>6.</w:t>
      </w:r>
      <w:r w:rsidRPr="009140F1">
        <w:rPr>
          <w:b/>
          <w:sz w:val="22"/>
          <w:szCs w:val="22"/>
        </w:rPr>
        <w:tab/>
      </w:r>
      <w:r w:rsidR="004E2017" w:rsidRPr="004E2017">
        <w:rPr>
          <w:b/>
          <w:sz w:val="22"/>
          <w:szCs w:val="22"/>
          <w:u w:val="single"/>
        </w:rPr>
        <w:t>Schools Block</w:t>
      </w:r>
    </w:p>
    <w:p w:rsidR="00FA38A5" w:rsidRDefault="00FA38A5" w:rsidP="00FA38A5">
      <w:pPr>
        <w:keepNext/>
        <w:ind w:left="720"/>
        <w:rPr>
          <w:rFonts w:cs="Arial"/>
        </w:rPr>
      </w:pPr>
    </w:p>
    <w:p w:rsidR="00A143D7" w:rsidRDefault="00E7112D" w:rsidP="00FA38A5">
      <w:pPr>
        <w:ind w:left="720"/>
        <w:rPr>
          <w:rFonts w:cs="Arial"/>
        </w:rPr>
      </w:pPr>
      <w:r>
        <w:rPr>
          <w:rFonts w:cs="Arial"/>
        </w:rPr>
        <w:t xml:space="preserve">The per pupil </w:t>
      </w:r>
      <w:r w:rsidR="003B712F">
        <w:rPr>
          <w:rFonts w:cs="Arial"/>
        </w:rPr>
        <w:t xml:space="preserve">funding </w:t>
      </w:r>
      <w:r>
        <w:rPr>
          <w:rFonts w:cs="Arial"/>
        </w:rPr>
        <w:t xml:space="preserve">allocation </w:t>
      </w:r>
      <w:r w:rsidR="001C3C3D">
        <w:rPr>
          <w:rFonts w:cs="Arial"/>
        </w:rPr>
        <w:t>at £</w:t>
      </w:r>
      <w:r w:rsidR="000E0853">
        <w:rPr>
          <w:rFonts w:cs="Arial"/>
        </w:rPr>
        <w:t>4</w:t>
      </w:r>
      <w:r w:rsidR="001C3C3D">
        <w:rPr>
          <w:rFonts w:cs="Arial"/>
        </w:rPr>
        <w:t>,</w:t>
      </w:r>
      <w:r w:rsidR="000E0853">
        <w:rPr>
          <w:rFonts w:cs="Arial"/>
        </w:rPr>
        <w:t>544</w:t>
      </w:r>
      <w:r w:rsidR="001C3C3D">
        <w:rPr>
          <w:rFonts w:cs="Arial"/>
        </w:rPr>
        <w:t>.</w:t>
      </w:r>
      <w:r w:rsidR="000E0853">
        <w:rPr>
          <w:rFonts w:cs="Arial"/>
        </w:rPr>
        <w:t>73</w:t>
      </w:r>
      <w:r w:rsidR="001C3C3D">
        <w:rPr>
          <w:rFonts w:cs="Arial"/>
        </w:rPr>
        <w:t xml:space="preserve"> in 2016/17 has </w:t>
      </w:r>
      <w:r w:rsidR="000E0853">
        <w:rPr>
          <w:rFonts w:cs="Arial"/>
        </w:rPr>
        <w:t xml:space="preserve">increased marginally </w:t>
      </w:r>
      <w:r>
        <w:rPr>
          <w:rFonts w:cs="Arial"/>
        </w:rPr>
        <w:t xml:space="preserve">from </w:t>
      </w:r>
      <w:r w:rsidR="00922923">
        <w:rPr>
          <w:rFonts w:cs="Arial"/>
        </w:rPr>
        <w:t>£4,543.76</w:t>
      </w:r>
      <w:r w:rsidR="00F97DF5">
        <w:rPr>
          <w:rFonts w:cs="Arial"/>
        </w:rPr>
        <w:t xml:space="preserve"> in 2015/16</w:t>
      </w:r>
      <w:r w:rsidR="001C3C3D">
        <w:rPr>
          <w:rFonts w:cs="Arial"/>
        </w:rPr>
        <w:t>.</w:t>
      </w:r>
    </w:p>
    <w:p w:rsidR="00456C1B" w:rsidRDefault="00456C1B" w:rsidP="00456C1B">
      <w:pPr>
        <w:ind w:left="720"/>
        <w:rPr>
          <w:rFonts w:cs="Arial"/>
        </w:rPr>
      </w:pPr>
    </w:p>
    <w:p w:rsidR="00456C1B" w:rsidRPr="000648F6" w:rsidRDefault="00456C1B" w:rsidP="00456C1B">
      <w:pPr>
        <w:ind w:left="720"/>
        <w:rPr>
          <w:rFonts w:cs="Arial"/>
          <w:b/>
        </w:rPr>
      </w:pPr>
      <w:r w:rsidRPr="000648F6">
        <w:rPr>
          <w:rFonts w:cs="Arial"/>
          <w:b/>
        </w:rPr>
        <w:t>The following paragraphs relate to the situation as at 3</w:t>
      </w:r>
      <w:r>
        <w:rPr>
          <w:rFonts w:cs="Arial"/>
          <w:b/>
        </w:rPr>
        <w:t>0</w:t>
      </w:r>
      <w:r w:rsidRPr="000648F6">
        <w:rPr>
          <w:rFonts w:cs="Arial"/>
          <w:b/>
        </w:rPr>
        <w:t> </w:t>
      </w:r>
      <w:r>
        <w:rPr>
          <w:rFonts w:cs="Arial"/>
          <w:b/>
        </w:rPr>
        <w:t>December</w:t>
      </w:r>
      <w:r w:rsidRPr="000648F6">
        <w:rPr>
          <w:rFonts w:cs="Arial"/>
          <w:b/>
        </w:rPr>
        <w:t> 201</w:t>
      </w:r>
      <w:r w:rsidR="001C3C3D">
        <w:rPr>
          <w:rFonts w:cs="Arial"/>
          <w:b/>
        </w:rPr>
        <w:t>5</w:t>
      </w:r>
      <w:r w:rsidRPr="000648F6">
        <w:rPr>
          <w:rFonts w:cs="Arial"/>
          <w:b/>
        </w:rPr>
        <w:t>.  If any of the data currently available changes, either in respect of an individual school and/or in Annex </w:t>
      </w:r>
      <w:r w:rsidR="002F7CD1">
        <w:rPr>
          <w:rFonts w:cs="Arial"/>
          <w:b/>
        </w:rPr>
        <w:t>3</w:t>
      </w:r>
      <w:r w:rsidRPr="000648F6">
        <w:rPr>
          <w:rFonts w:cs="Arial"/>
          <w:b/>
        </w:rPr>
        <w:t>, then cash values and percentages quoted below will also change.</w:t>
      </w:r>
    </w:p>
    <w:p w:rsidR="00F97DF5" w:rsidRDefault="004362B0" w:rsidP="00392CC3">
      <w:pPr>
        <w:spacing w:before="240"/>
        <w:ind w:left="720"/>
        <w:rPr>
          <w:rFonts w:cs="Arial"/>
        </w:rPr>
      </w:pPr>
      <w:r>
        <w:rPr>
          <w:rFonts w:cs="Arial"/>
        </w:rPr>
        <w:t xml:space="preserve">The total </w:t>
      </w:r>
      <w:r w:rsidR="005437D1">
        <w:rPr>
          <w:rFonts w:cs="Arial"/>
        </w:rPr>
        <w:t>S</w:t>
      </w:r>
      <w:r>
        <w:rPr>
          <w:rFonts w:cs="Arial"/>
        </w:rPr>
        <w:t xml:space="preserve">chools Block </w:t>
      </w:r>
      <w:r w:rsidR="00153E75">
        <w:rPr>
          <w:rFonts w:cs="Arial"/>
        </w:rPr>
        <w:t>for 201</w:t>
      </w:r>
      <w:r w:rsidR="001C3C3D">
        <w:rPr>
          <w:rFonts w:cs="Arial"/>
        </w:rPr>
        <w:t>6</w:t>
      </w:r>
      <w:r w:rsidR="00153E75">
        <w:rPr>
          <w:rFonts w:cs="Arial"/>
        </w:rPr>
        <w:t>/1</w:t>
      </w:r>
      <w:r w:rsidR="001C3C3D">
        <w:rPr>
          <w:rFonts w:cs="Arial"/>
        </w:rPr>
        <w:t>7</w:t>
      </w:r>
      <w:r w:rsidR="00153E75">
        <w:rPr>
          <w:rFonts w:cs="Arial"/>
        </w:rPr>
        <w:t xml:space="preserve"> </w:t>
      </w:r>
      <w:r>
        <w:rPr>
          <w:rFonts w:cs="Arial"/>
        </w:rPr>
        <w:t>is £</w:t>
      </w:r>
      <w:r w:rsidR="00E4632E">
        <w:rPr>
          <w:rFonts w:cs="Arial"/>
        </w:rPr>
        <w:t>1</w:t>
      </w:r>
      <w:r w:rsidR="00BD0169">
        <w:rPr>
          <w:rFonts w:cs="Arial"/>
        </w:rPr>
        <w:t>7</w:t>
      </w:r>
      <w:r w:rsidR="000E0853">
        <w:rPr>
          <w:rFonts w:cs="Arial"/>
        </w:rPr>
        <w:t>6</w:t>
      </w:r>
      <w:r w:rsidR="000868D6">
        <w:rPr>
          <w:rFonts w:cs="Arial"/>
        </w:rPr>
        <w:t>,</w:t>
      </w:r>
      <w:r w:rsidR="000E0853">
        <w:rPr>
          <w:rFonts w:cs="Arial"/>
        </w:rPr>
        <w:t>737</w:t>
      </w:r>
      <w:r w:rsidR="000868D6">
        <w:rPr>
          <w:rFonts w:cs="Arial"/>
        </w:rPr>
        <w:t>,</w:t>
      </w:r>
      <w:r w:rsidR="000E0853">
        <w:rPr>
          <w:rFonts w:cs="Arial"/>
        </w:rPr>
        <w:t>23</w:t>
      </w:r>
      <w:r w:rsidR="00BD0169">
        <w:rPr>
          <w:rFonts w:cs="Arial"/>
        </w:rPr>
        <w:t>8</w:t>
      </w:r>
      <w:r w:rsidR="00456C1B">
        <w:rPr>
          <w:rFonts w:cs="Arial"/>
        </w:rPr>
        <w:t xml:space="preserve">, but </w:t>
      </w:r>
      <w:r w:rsidR="007164B6">
        <w:rPr>
          <w:rFonts w:cs="Arial"/>
        </w:rPr>
        <w:t xml:space="preserve">as described above </w:t>
      </w:r>
      <w:r w:rsidR="00456C1B">
        <w:rPr>
          <w:rFonts w:cs="Arial"/>
        </w:rPr>
        <w:t>this needs to be increased and decreased with the</w:t>
      </w:r>
      <w:r w:rsidR="00F16AC7">
        <w:rPr>
          <w:rFonts w:cs="Arial"/>
        </w:rPr>
        <w:t xml:space="preserve"> virement of</w:t>
      </w:r>
      <w:r w:rsidR="00F97DF5">
        <w:rPr>
          <w:rFonts w:cs="Arial"/>
        </w:rPr>
        <w:t>:</w:t>
      </w:r>
    </w:p>
    <w:p w:rsidR="007164B6" w:rsidRDefault="007164B6" w:rsidP="007164B6">
      <w:pPr>
        <w:ind w:left="720"/>
        <w:rPr>
          <w:rFonts w:cs="Arial"/>
        </w:rPr>
      </w:pPr>
    </w:p>
    <w:p w:rsidR="00F97DF5" w:rsidRDefault="00F16AC7" w:rsidP="00FA21F9">
      <w:pPr>
        <w:pStyle w:val="ListParagraph"/>
        <w:numPr>
          <w:ilvl w:val="0"/>
          <w:numId w:val="11"/>
        </w:numPr>
        <w:rPr>
          <w:rFonts w:cs="Arial"/>
        </w:rPr>
      </w:pPr>
      <w:r w:rsidRPr="00F97DF5">
        <w:rPr>
          <w:rFonts w:cs="Arial"/>
        </w:rPr>
        <w:t xml:space="preserve">£1,174,920 </w:t>
      </w:r>
      <w:r w:rsidR="00F97DF5">
        <w:rPr>
          <w:rFonts w:cs="Arial"/>
        </w:rPr>
        <w:t xml:space="preserve">in </w:t>
      </w:r>
      <w:r w:rsidRPr="00F97DF5">
        <w:rPr>
          <w:rFonts w:cs="Arial"/>
        </w:rPr>
        <w:t>from the High Needs Block in respect of SEN Home to School Transport</w:t>
      </w:r>
      <w:r w:rsidR="00AD35A6">
        <w:rPr>
          <w:rFonts w:cs="Arial"/>
        </w:rPr>
        <w:t>;</w:t>
      </w:r>
      <w:r w:rsidR="001C3C3D">
        <w:rPr>
          <w:rFonts w:cs="Arial"/>
        </w:rPr>
        <w:t xml:space="preserve"> and</w:t>
      </w:r>
    </w:p>
    <w:p w:rsidR="006C3C30" w:rsidRPr="001C3C3D" w:rsidRDefault="00921E38" w:rsidP="001C3C3D">
      <w:pPr>
        <w:pStyle w:val="ListParagraph"/>
        <w:numPr>
          <w:ilvl w:val="0"/>
          <w:numId w:val="11"/>
        </w:numPr>
        <w:rPr>
          <w:rFonts w:cs="Arial"/>
        </w:rPr>
      </w:pPr>
      <w:r w:rsidRPr="00F97DF5">
        <w:rPr>
          <w:rFonts w:cs="Arial"/>
        </w:rPr>
        <w:t>£</w:t>
      </w:r>
      <w:r w:rsidR="000E0853">
        <w:rPr>
          <w:rFonts w:cs="Arial"/>
        </w:rPr>
        <w:t>6</w:t>
      </w:r>
      <w:r w:rsidRPr="00F97DF5">
        <w:rPr>
          <w:rFonts w:cs="Arial"/>
        </w:rPr>
        <w:t xml:space="preserve">20,000 </w:t>
      </w:r>
      <w:r w:rsidR="00F97DF5">
        <w:rPr>
          <w:rFonts w:cs="Arial"/>
        </w:rPr>
        <w:t xml:space="preserve">out </w:t>
      </w:r>
      <w:r w:rsidRPr="00F97DF5">
        <w:rPr>
          <w:rFonts w:cs="Arial"/>
        </w:rPr>
        <w:t>to the High Needs Block to recognise the increas</w:t>
      </w:r>
      <w:r w:rsidR="00C541AD">
        <w:rPr>
          <w:rFonts w:cs="Arial"/>
        </w:rPr>
        <w:t>ingly high</w:t>
      </w:r>
      <w:r w:rsidRPr="00F97DF5">
        <w:rPr>
          <w:rFonts w:cs="Arial"/>
        </w:rPr>
        <w:t xml:space="preserve"> costs </w:t>
      </w:r>
      <w:r w:rsidR="00302639">
        <w:rPr>
          <w:rFonts w:cs="Arial"/>
        </w:rPr>
        <w:t>to</w:t>
      </w:r>
      <w:r w:rsidRPr="00F97DF5">
        <w:rPr>
          <w:rFonts w:cs="Arial"/>
        </w:rPr>
        <w:t xml:space="preserve"> the EOTAS Team of </w:t>
      </w:r>
      <w:r w:rsidR="00C541AD">
        <w:rPr>
          <w:rFonts w:cs="Arial"/>
        </w:rPr>
        <w:t>proving</w:t>
      </w:r>
      <w:r w:rsidR="00AD35A6">
        <w:rPr>
          <w:rFonts w:cs="Arial"/>
        </w:rPr>
        <w:t xml:space="preserve"> educati</w:t>
      </w:r>
      <w:r w:rsidR="00C541AD">
        <w:rPr>
          <w:rFonts w:cs="Arial"/>
        </w:rPr>
        <w:t>o</w:t>
      </w:r>
      <w:r w:rsidR="00AD35A6">
        <w:rPr>
          <w:rFonts w:cs="Arial"/>
        </w:rPr>
        <w:t xml:space="preserve">n </w:t>
      </w:r>
      <w:r w:rsidR="00C541AD">
        <w:rPr>
          <w:rFonts w:cs="Arial"/>
        </w:rPr>
        <w:t xml:space="preserve">to </w:t>
      </w:r>
      <w:r w:rsidR="00AD35A6">
        <w:rPr>
          <w:rFonts w:cs="Arial"/>
        </w:rPr>
        <w:t xml:space="preserve">an </w:t>
      </w:r>
      <w:r w:rsidRPr="00F97DF5">
        <w:rPr>
          <w:rFonts w:cs="Arial"/>
        </w:rPr>
        <w:t xml:space="preserve">increased number of </w:t>
      </w:r>
      <w:r w:rsidR="00742FB8">
        <w:rPr>
          <w:rFonts w:cs="Arial"/>
        </w:rPr>
        <w:t>permanent</w:t>
      </w:r>
      <w:r w:rsidR="00AD35A6">
        <w:rPr>
          <w:rFonts w:cs="Arial"/>
        </w:rPr>
        <w:t>ly</w:t>
      </w:r>
      <w:r w:rsidR="00742FB8">
        <w:rPr>
          <w:rFonts w:cs="Arial"/>
        </w:rPr>
        <w:t xml:space="preserve"> </w:t>
      </w:r>
      <w:r w:rsidRPr="00F97DF5">
        <w:rPr>
          <w:rFonts w:cs="Arial"/>
        </w:rPr>
        <w:t>exclu</w:t>
      </w:r>
      <w:r w:rsidR="001C3C3D">
        <w:rPr>
          <w:rFonts w:cs="Arial"/>
        </w:rPr>
        <w:t>ded pupils.</w:t>
      </w:r>
    </w:p>
    <w:p w:rsidR="00F16AC7" w:rsidRDefault="00F16AC7" w:rsidP="00392CC3">
      <w:pPr>
        <w:ind w:left="720"/>
        <w:rPr>
          <w:rFonts w:cs="Arial"/>
        </w:rPr>
      </w:pPr>
    </w:p>
    <w:p w:rsidR="008117E7" w:rsidRDefault="00522819" w:rsidP="00392CC3">
      <w:pPr>
        <w:ind w:left="720"/>
        <w:rPr>
          <w:rFonts w:cs="Arial"/>
        </w:rPr>
      </w:pPr>
      <w:r>
        <w:rPr>
          <w:rFonts w:cs="Arial"/>
        </w:rPr>
        <w:t xml:space="preserve">The </w:t>
      </w:r>
      <w:r w:rsidR="008775D3">
        <w:rPr>
          <w:rFonts w:cs="Arial"/>
        </w:rPr>
        <w:t>S</w:t>
      </w:r>
      <w:r>
        <w:rPr>
          <w:rFonts w:cs="Arial"/>
        </w:rPr>
        <w:t xml:space="preserve">chools Block has to meet </w:t>
      </w:r>
      <w:r w:rsidR="00153E75">
        <w:rPr>
          <w:rFonts w:cs="Arial"/>
        </w:rPr>
        <w:t>certain</w:t>
      </w:r>
      <w:r>
        <w:rPr>
          <w:rFonts w:cs="Arial"/>
        </w:rPr>
        <w:t xml:space="preserve"> items of centrally retained expenditure</w:t>
      </w:r>
      <w:r w:rsidR="001915E8">
        <w:rPr>
          <w:rFonts w:cs="Arial"/>
        </w:rPr>
        <w:t xml:space="preserve">, some of which are cash limited by </w:t>
      </w:r>
      <w:r w:rsidR="00792887">
        <w:rPr>
          <w:rFonts w:cs="Arial"/>
        </w:rPr>
        <w:t>The School and Early Years Finance (England) R</w:t>
      </w:r>
      <w:r w:rsidR="001915E8">
        <w:rPr>
          <w:rFonts w:cs="Arial"/>
        </w:rPr>
        <w:t>egulation</w:t>
      </w:r>
      <w:r w:rsidR="00792887">
        <w:rPr>
          <w:rFonts w:cs="Arial"/>
        </w:rPr>
        <w:t>s 201</w:t>
      </w:r>
      <w:r w:rsidR="000E7736">
        <w:rPr>
          <w:rFonts w:cs="Arial"/>
        </w:rPr>
        <w:t>5</w:t>
      </w:r>
      <w:r w:rsidR="00792887">
        <w:rPr>
          <w:rFonts w:cs="Arial"/>
        </w:rPr>
        <w:t xml:space="preserve"> </w:t>
      </w:r>
      <w:r w:rsidR="00431169">
        <w:rPr>
          <w:rFonts w:cs="Arial"/>
        </w:rPr>
        <w:t xml:space="preserve">(which came into force on </w:t>
      </w:r>
      <w:r w:rsidR="00A174F4">
        <w:rPr>
          <w:rFonts w:cs="Arial"/>
        </w:rPr>
        <w:t>7</w:t>
      </w:r>
      <w:r w:rsidR="00431169">
        <w:rPr>
          <w:rFonts w:cs="Arial"/>
        </w:rPr>
        <w:t> January 201</w:t>
      </w:r>
      <w:r w:rsidR="000E7736">
        <w:rPr>
          <w:rFonts w:cs="Arial"/>
        </w:rPr>
        <w:t>6</w:t>
      </w:r>
      <w:r w:rsidR="00431169">
        <w:rPr>
          <w:rFonts w:cs="Arial"/>
        </w:rPr>
        <w:t xml:space="preserve">) </w:t>
      </w:r>
      <w:r w:rsidR="00792887">
        <w:rPr>
          <w:rFonts w:cs="Arial"/>
        </w:rPr>
        <w:t>to the previous (</w:t>
      </w:r>
      <w:r w:rsidR="001915E8">
        <w:rPr>
          <w:rFonts w:cs="Arial"/>
        </w:rPr>
        <w:t>201</w:t>
      </w:r>
      <w:r w:rsidR="000E7736">
        <w:rPr>
          <w:rFonts w:cs="Arial"/>
        </w:rPr>
        <w:t>5</w:t>
      </w:r>
      <w:r w:rsidR="00B746E8">
        <w:rPr>
          <w:rFonts w:cs="Arial"/>
        </w:rPr>
        <w:t>/</w:t>
      </w:r>
      <w:r w:rsidR="001915E8">
        <w:rPr>
          <w:rFonts w:cs="Arial"/>
        </w:rPr>
        <w:t>1</w:t>
      </w:r>
      <w:r w:rsidR="000E7736">
        <w:rPr>
          <w:rFonts w:cs="Arial"/>
        </w:rPr>
        <w:t>6</w:t>
      </w:r>
      <w:r w:rsidR="00792887">
        <w:rPr>
          <w:rFonts w:cs="Arial"/>
        </w:rPr>
        <w:t>) funding</w:t>
      </w:r>
      <w:r w:rsidR="001915E8">
        <w:rPr>
          <w:rFonts w:cs="Arial"/>
        </w:rPr>
        <w:t xml:space="preserve"> level</w:t>
      </w:r>
      <w:r w:rsidR="00153E75">
        <w:rPr>
          <w:rFonts w:cs="Arial"/>
        </w:rPr>
        <w:t>.  Details of the budgets set in 201</w:t>
      </w:r>
      <w:r w:rsidR="000E7736">
        <w:rPr>
          <w:rFonts w:cs="Arial"/>
        </w:rPr>
        <w:t>5</w:t>
      </w:r>
      <w:r w:rsidR="00153E75">
        <w:rPr>
          <w:rFonts w:cs="Arial"/>
        </w:rPr>
        <w:t>/1</w:t>
      </w:r>
      <w:r w:rsidR="000E7736">
        <w:rPr>
          <w:rFonts w:cs="Arial"/>
        </w:rPr>
        <w:t>6</w:t>
      </w:r>
      <w:r w:rsidR="00153E75">
        <w:rPr>
          <w:rFonts w:cs="Arial"/>
        </w:rPr>
        <w:t xml:space="preserve"> and the proposed </w:t>
      </w:r>
      <w:r w:rsidR="00AD35A6">
        <w:rPr>
          <w:rFonts w:cs="Arial"/>
        </w:rPr>
        <w:t xml:space="preserve">centrally retained </w:t>
      </w:r>
      <w:r w:rsidR="00153E75">
        <w:rPr>
          <w:rFonts w:cs="Arial"/>
        </w:rPr>
        <w:t>budgets for 201</w:t>
      </w:r>
      <w:r w:rsidR="000E7736">
        <w:rPr>
          <w:rFonts w:cs="Arial"/>
        </w:rPr>
        <w:t>6</w:t>
      </w:r>
      <w:r w:rsidR="00153E75">
        <w:rPr>
          <w:rFonts w:cs="Arial"/>
        </w:rPr>
        <w:t>/1</w:t>
      </w:r>
      <w:r w:rsidR="000E7736">
        <w:rPr>
          <w:rFonts w:cs="Arial"/>
        </w:rPr>
        <w:t>7</w:t>
      </w:r>
      <w:r w:rsidR="00153E75">
        <w:rPr>
          <w:rFonts w:cs="Arial"/>
        </w:rPr>
        <w:t xml:space="preserve"> are given in </w:t>
      </w:r>
      <w:r w:rsidR="00153E75" w:rsidRPr="00236EF9">
        <w:rPr>
          <w:rFonts w:cs="Arial"/>
          <w:b/>
        </w:rPr>
        <w:t>Annex </w:t>
      </w:r>
      <w:r w:rsidR="002F7CD1">
        <w:rPr>
          <w:rFonts w:cs="Arial"/>
          <w:b/>
        </w:rPr>
        <w:t>2</w:t>
      </w:r>
      <w:r w:rsidR="00153E75">
        <w:rPr>
          <w:rFonts w:cs="Arial"/>
        </w:rPr>
        <w:t>.</w:t>
      </w:r>
      <w:r w:rsidR="00AD35A6">
        <w:rPr>
          <w:rFonts w:cs="Arial"/>
        </w:rPr>
        <w:t xml:space="preserve">  </w:t>
      </w:r>
      <w:r w:rsidR="000F2E74">
        <w:rPr>
          <w:rFonts w:cs="Arial"/>
        </w:rPr>
        <w:t>A</w:t>
      </w:r>
      <w:r w:rsidR="007254E6">
        <w:rPr>
          <w:rFonts w:cs="Arial"/>
        </w:rPr>
        <w:t xml:space="preserve">greeing to all the centrally retained budgets </w:t>
      </w:r>
      <w:r w:rsidR="00456C1B">
        <w:rPr>
          <w:rFonts w:cs="Arial"/>
        </w:rPr>
        <w:t>and the above virements</w:t>
      </w:r>
      <w:r w:rsidR="00BC126F">
        <w:rPr>
          <w:rFonts w:cs="Arial"/>
        </w:rPr>
        <w:t>,</w:t>
      </w:r>
      <w:r w:rsidR="008117E7">
        <w:rPr>
          <w:rFonts w:cs="Arial"/>
        </w:rPr>
        <w:t xml:space="preserve"> would leave </w:t>
      </w:r>
      <w:r w:rsidR="008117E7" w:rsidRPr="000648F6">
        <w:rPr>
          <w:rFonts w:cs="Arial"/>
        </w:rPr>
        <w:t>£1</w:t>
      </w:r>
      <w:r w:rsidR="00456C1B">
        <w:rPr>
          <w:rFonts w:cs="Arial"/>
        </w:rPr>
        <w:t>7</w:t>
      </w:r>
      <w:r w:rsidR="007164B6">
        <w:rPr>
          <w:rFonts w:cs="Arial"/>
        </w:rPr>
        <w:t>3,584,908</w:t>
      </w:r>
      <w:r w:rsidR="005211DC">
        <w:rPr>
          <w:rFonts w:cs="Arial"/>
        </w:rPr>
        <w:t xml:space="preserve"> </w:t>
      </w:r>
      <w:r w:rsidR="008117E7">
        <w:rPr>
          <w:rFonts w:cs="Arial"/>
        </w:rPr>
        <w:t>available for school budgets.</w:t>
      </w:r>
    </w:p>
    <w:p w:rsidR="008117E7" w:rsidRDefault="008117E7" w:rsidP="00392CC3">
      <w:pPr>
        <w:ind w:left="720"/>
        <w:rPr>
          <w:rFonts w:cs="Arial"/>
        </w:rPr>
      </w:pPr>
    </w:p>
    <w:p w:rsidR="006853E7" w:rsidRDefault="00923F35" w:rsidP="006853E7">
      <w:pPr>
        <w:pStyle w:val="DeptOutNumbered"/>
        <w:numPr>
          <w:ilvl w:val="0"/>
          <w:numId w:val="0"/>
        </w:numPr>
        <w:spacing w:after="0"/>
        <w:ind w:left="720"/>
        <w:rPr>
          <w:sz w:val="22"/>
          <w:szCs w:val="22"/>
        </w:rPr>
      </w:pPr>
      <w:r>
        <w:rPr>
          <w:sz w:val="22"/>
          <w:szCs w:val="22"/>
        </w:rPr>
        <w:t>W</w:t>
      </w:r>
      <w:r w:rsidR="00A143D7">
        <w:rPr>
          <w:sz w:val="22"/>
          <w:szCs w:val="22"/>
        </w:rPr>
        <w:t xml:space="preserve">hen the </w:t>
      </w:r>
      <w:r w:rsidR="000E7736">
        <w:rPr>
          <w:sz w:val="22"/>
          <w:szCs w:val="22"/>
        </w:rPr>
        <w:t>formula values</w:t>
      </w:r>
      <w:r w:rsidR="00A143D7">
        <w:rPr>
          <w:sz w:val="22"/>
          <w:szCs w:val="22"/>
        </w:rPr>
        <w:t xml:space="preserve"> that were used in </w:t>
      </w:r>
      <w:r w:rsidR="000E7736">
        <w:rPr>
          <w:sz w:val="22"/>
          <w:szCs w:val="22"/>
        </w:rPr>
        <w:t>2015/16</w:t>
      </w:r>
      <w:r w:rsidR="00A143D7">
        <w:rPr>
          <w:sz w:val="22"/>
          <w:szCs w:val="22"/>
        </w:rPr>
        <w:t xml:space="preserve"> </w:t>
      </w:r>
      <w:r w:rsidR="00E63FE0">
        <w:rPr>
          <w:sz w:val="22"/>
          <w:szCs w:val="22"/>
        </w:rPr>
        <w:t xml:space="preserve">and all the other data </w:t>
      </w:r>
      <w:r w:rsidR="005A6FD7">
        <w:rPr>
          <w:sz w:val="22"/>
          <w:szCs w:val="22"/>
        </w:rPr>
        <w:t xml:space="preserve">(including capping at 1.5%) </w:t>
      </w:r>
      <w:r w:rsidR="00A143D7">
        <w:rPr>
          <w:sz w:val="22"/>
          <w:szCs w:val="22"/>
        </w:rPr>
        <w:t xml:space="preserve">were entered into the </w:t>
      </w:r>
      <w:r w:rsidR="002F0EA0">
        <w:rPr>
          <w:sz w:val="22"/>
          <w:szCs w:val="22"/>
        </w:rPr>
        <w:t xml:space="preserve">spreadsheet </w:t>
      </w:r>
      <w:r w:rsidR="004A33C7">
        <w:rPr>
          <w:sz w:val="22"/>
          <w:szCs w:val="22"/>
        </w:rPr>
        <w:t>supplied by the DfE for calculating school budget shares</w:t>
      </w:r>
      <w:r w:rsidR="000E7736">
        <w:rPr>
          <w:sz w:val="22"/>
          <w:szCs w:val="22"/>
        </w:rPr>
        <w:t xml:space="preserve"> for 2016/17</w:t>
      </w:r>
      <w:r w:rsidR="004A33C7">
        <w:rPr>
          <w:sz w:val="22"/>
          <w:szCs w:val="22"/>
        </w:rPr>
        <w:t xml:space="preserve">, the amount of money available </w:t>
      </w:r>
      <w:r w:rsidR="005E0E54">
        <w:rPr>
          <w:sz w:val="22"/>
          <w:szCs w:val="22"/>
        </w:rPr>
        <w:t xml:space="preserve">for school budget shares </w:t>
      </w:r>
      <w:r w:rsidR="004A33C7">
        <w:rPr>
          <w:sz w:val="22"/>
          <w:szCs w:val="22"/>
        </w:rPr>
        <w:t>was £</w:t>
      </w:r>
      <w:r w:rsidR="005A6FD7">
        <w:rPr>
          <w:sz w:val="22"/>
          <w:szCs w:val="22"/>
        </w:rPr>
        <w:t>406k</w:t>
      </w:r>
      <w:r w:rsidR="004A33C7">
        <w:rPr>
          <w:sz w:val="22"/>
          <w:szCs w:val="22"/>
        </w:rPr>
        <w:t xml:space="preserve"> more than would have been required</w:t>
      </w:r>
      <w:r w:rsidR="001E3EDD">
        <w:rPr>
          <w:sz w:val="22"/>
          <w:szCs w:val="22"/>
        </w:rPr>
        <w:t>.  T</w:t>
      </w:r>
      <w:r w:rsidR="00AF3F8E">
        <w:rPr>
          <w:sz w:val="22"/>
          <w:szCs w:val="22"/>
        </w:rPr>
        <w:t xml:space="preserve">his </w:t>
      </w:r>
      <w:r w:rsidR="001E3EDD">
        <w:rPr>
          <w:sz w:val="22"/>
          <w:szCs w:val="22"/>
        </w:rPr>
        <w:t xml:space="preserve">figure </w:t>
      </w:r>
      <w:r w:rsidR="00AF3F8E">
        <w:rPr>
          <w:sz w:val="22"/>
          <w:szCs w:val="22"/>
        </w:rPr>
        <w:t>is well within normal expectations for a standstill budget situation.</w:t>
      </w:r>
      <w:r w:rsidR="006853E7">
        <w:rPr>
          <w:sz w:val="22"/>
          <w:szCs w:val="22"/>
        </w:rPr>
        <w:t xml:space="preserve">  It should be noted that this surplus figure of £406k above assumes that the DfE approves an application to disapply the MFG factor in respect of the split site allocation at Ashington High School.  This school has just moved onto a single site and it is therefore not entitle to receive the Split Site allocation of £62,267 in 2016/17.  However, without the disapplication being approved most or all of this amount would be returned to the school through the MFG factor which is clearly inappropriate in the circumstances.  The result of this application will be reported to the Schools Forum at the meeting.</w:t>
      </w:r>
    </w:p>
    <w:p w:rsidR="006853E7" w:rsidRDefault="006853E7" w:rsidP="006853E7">
      <w:pPr>
        <w:pStyle w:val="DeptOutNumbered"/>
        <w:numPr>
          <w:ilvl w:val="0"/>
          <w:numId w:val="0"/>
        </w:numPr>
        <w:spacing w:after="0"/>
        <w:ind w:left="720"/>
        <w:rPr>
          <w:sz w:val="22"/>
          <w:szCs w:val="22"/>
        </w:rPr>
      </w:pPr>
    </w:p>
    <w:p w:rsidR="005F0CC1" w:rsidRDefault="00AF3F8E" w:rsidP="00392CC3">
      <w:pPr>
        <w:pStyle w:val="DeptOutNumbered"/>
        <w:numPr>
          <w:ilvl w:val="0"/>
          <w:numId w:val="0"/>
        </w:numPr>
        <w:spacing w:after="0"/>
        <w:ind w:left="720"/>
        <w:rPr>
          <w:sz w:val="22"/>
          <w:szCs w:val="22"/>
        </w:rPr>
      </w:pPr>
      <w:r>
        <w:rPr>
          <w:sz w:val="22"/>
          <w:szCs w:val="22"/>
        </w:rPr>
        <w:t>However</w:t>
      </w:r>
      <w:r w:rsidR="00173A99">
        <w:rPr>
          <w:sz w:val="22"/>
          <w:szCs w:val="22"/>
        </w:rPr>
        <w:t>, th</w:t>
      </w:r>
      <w:r w:rsidR="005E0E54">
        <w:rPr>
          <w:sz w:val="22"/>
          <w:szCs w:val="22"/>
        </w:rPr>
        <w:t xml:space="preserve">is masks </w:t>
      </w:r>
      <w:r w:rsidR="00C72B44">
        <w:rPr>
          <w:sz w:val="22"/>
          <w:szCs w:val="22"/>
        </w:rPr>
        <w:t xml:space="preserve">the financial effect of </w:t>
      </w:r>
      <w:r w:rsidR="005E0E54">
        <w:rPr>
          <w:sz w:val="22"/>
          <w:szCs w:val="22"/>
        </w:rPr>
        <w:t xml:space="preserve">a </w:t>
      </w:r>
      <w:r w:rsidR="00173A99">
        <w:rPr>
          <w:sz w:val="22"/>
          <w:szCs w:val="22"/>
        </w:rPr>
        <w:t>very significant change to the IDACI factor within the formula.  In previous years, the IDACI Index was based on deprivation levels as measured in 201</w:t>
      </w:r>
      <w:r w:rsidR="00CE561B">
        <w:rPr>
          <w:sz w:val="22"/>
          <w:szCs w:val="22"/>
        </w:rPr>
        <w:t>0</w:t>
      </w:r>
      <w:r w:rsidR="00173A99">
        <w:rPr>
          <w:sz w:val="22"/>
          <w:szCs w:val="22"/>
        </w:rPr>
        <w:t xml:space="preserve">, but the DfE have now changed to use the latest </w:t>
      </w:r>
      <w:r>
        <w:rPr>
          <w:sz w:val="22"/>
          <w:szCs w:val="22"/>
        </w:rPr>
        <w:t xml:space="preserve">IDACI </w:t>
      </w:r>
      <w:r w:rsidR="00173A99">
        <w:rPr>
          <w:sz w:val="22"/>
          <w:szCs w:val="22"/>
        </w:rPr>
        <w:t>data from September 2015</w:t>
      </w:r>
      <w:r w:rsidR="005F0CC1">
        <w:rPr>
          <w:sz w:val="22"/>
          <w:szCs w:val="22"/>
        </w:rPr>
        <w:t>, and for Northumberland this has meant more pupils in lower bands of deprivation and no pupils at all in Band 6.  The changes can be summarised as follows:</w:t>
      </w:r>
    </w:p>
    <w:p w:rsidR="005F0CC1" w:rsidRDefault="005F0CC1" w:rsidP="00392CC3">
      <w:pPr>
        <w:pStyle w:val="DeptOutNumbered"/>
        <w:numPr>
          <w:ilvl w:val="0"/>
          <w:numId w:val="0"/>
        </w:numPr>
        <w:spacing w:after="0"/>
        <w:ind w:left="720"/>
        <w:rPr>
          <w:sz w:val="22"/>
          <w:szCs w:val="22"/>
        </w:rPr>
      </w:pPr>
    </w:p>
    <w:tbl>
      <w:tblPr>
        <w:tblStyle w:val="TableGrid"/>
        <w:tblW w:w="0" w:type="auto"/>
        <w:tblInd w:w="828" w:type="dxa"/>
        <w:tblLook w:val="04A0" w:firstRow="1" w:lastRow="0" w:firstColumn="1" w:lastColumn="0" w:noHBand="0" w:noVBand="1"/>
      </w:tblPr>
      <w:tblGrid>
        <w:gridCol w:w="1426"/>
        <w:gridCol w:w="1637"/>
        <w:gridCol w:w="1637"/>
        <w:gridCol w:w="1790"/>
        <w:gridCol w:w="1790"/>
      </w:tblGrid>
      <w:tr w:rsidR="002C3D24" w:rsidTr="002C3D24">
        <w:tc>
          <w:tcPr>
            <w:tcW w:w="0" w:type="auto"/>
            <w:vMerge w:val="restart"/>
          </w:tcPr>
          <w:p w:rsidR="00653D6A" w:rsidRPr="005F0CC1" w:rsidRDefault="00653D6A" w:rsidP="005F0CC1">
            <w:pPr>
              <w:pStyle w:val="DeptOutNumbered"/>
              <w:numPr>
                <w:ilvl w:val="0"/>
                <w:numId w:val="0"/>
              </w:numPr>
              <w:spacing w:after="0"/>
              <w:jc w:val="center"/>
              <w:rPr>
                <w:b/>
                <w:sz w:val="22"/>
                <w:szCs w:val="22"/>
              </w:rPr>
            </w:pPr>
            <w:r w:rsidRPr="005F0CC1">
              <w:rPr>
                <w:b/>
                <w:sz w:val="22"/>
                <w:szCs w:val="22"/>
              </w:rPr>
              <w:t>IDACI Band</w:t>
            </w:r>
          </w:p>
        </w:tc>
        <w:tc>
          <w:tcPr>
            <w:tcW w:w="0" w:type="auto"/>
            <w:gridSpan w:val="2"/>
          </w:tcPr>
          <w:p w:rsidR="00653D6A" w:rsidRPr="005F0CC1" w:rsidRDefault="00653D6A" w:rsidP="005F0CC1">
            <w:pPr>
              <w:pStyle w:val="DeptOutNumbered"/>
              <w:numPr>
                <w:ilvl w:val="0"/>
                <w:numId w:val="0"/>
              </w:numPr>
              <w:spacing w:after="0"/>
              <w:jc w:val="center"/>
              <w:rPr>
                <w:b/>
                <w:sz w:val="22"/>
                <w:szCs w:val="22"/>
              </w:rPr>
            </w:pPr>
            <w:r w:rsidRPr="005F0CC1">
              <w:rPr>
                <w:b/>
                <w:sz w:val="22"/>
                <w:szCs w:val="22"/>
              </w:rPr>
              <w:t>Percentage</w:t>
            </w:r>
            <w:r w:rsidR="002D20CF">
              <w:rPr>
                <w:b/>
                <w:sz w:val="22"/>
                <w:szCs w:val="22"/>
              </w:rPr>
              <w:t xml:space="preserve"> of Primary Pupils</w:t>
            </w:r>
          </w:p>
        </w:tc>
        <w:tc>
          <w:tcPr>
            <w:tcW w:w="0" w:type="auto"/>
            <w:gridSpan w:val="2"/>
          </w:tcPr>
          <w:p w:rsidR="00653D6A" w:rsidRPr="005F0CC1" w:rsidRDefault="002D20CF" w:rsidP="002D20CF">
            <w:pPr>
              <w:pStyle w:val="DeptOutNumbered"/>
              <w:numPr>
                <w:ilvl w:val="0"/>
                <w:numId w:val="0"/>
              </w:numPr>
              <w:spacing w:after="0"/>
              <w:jc w:val="center"/>
              <w:rPr>
                <w:b/>
                <w:sz w:val="22"/>
                <w:szCs w:val="22"/>
              </w:rPr>
            </w:pPr>
            <w:r>
              <w:rPr>
                <w:b/>
                <w:sz w:val="22"/>
                <w:szCs w:val="22"/>
              </w:rPr>
              <w:t xml:space="preserve">Percentage of </w:t>
            </w:r>
            <w:r w:rsidR="00653D6A" w:rsidRPr="005F0CC1">
              <w:rPr>
                <w:b/>
                <w:sz w:val="22"/>
                <w:szCs w:val="22"/>
              </w:rPr>
              <w:t>Secondary P</w:t>
            </w:r>
            <w:r>
              <w:rPr>
                <w:b/>
                <w:sz w:val="22"/>
                <w:szCs w:val="22"/>
              </w:rPr>
              <w:t>upils</w:t>
            </w:r>
          </w:p>
        </w:tc>
      </w:tr>
      <w:tr w:rsidR="002D20CF" w:rsidTr="002C3D24">
        <w:tc>
          <w:tcPr>
            <w:tcW w:w="0" w:type="auto"/>
            <w:vMerge/>
          </w:tcPr>
          <w:p w:rsidR="00653D6A" w:rsidRDefault="00653D6A" w:rsidP="005F0CC1">
            <w:pPr>
              <w:pStyle w:val="DeptOutNumbered"/>
              <w:numPr>
                <w:ilvl w:val="0"/>
                <w:numId w:val="0"/>
              </w:numPr>
              <w:spacing w:after="0"/>
              <w:jc w:val="center"/>
              <w:rPr>
                <w:sz w:val="22"/>
                <w:szCs w:val="22"/>
              </w:rPr>
            </w:pPr>
          </w:p>
        </w:tc>
        <w:tc>
          <w:tcPr>
            <w:tcW w:w="0" w:type="auto"/>
          </w:tcPr>
          <w:p w:rsidR="00653D6A" w:rsidRPr="00653D6A" w:rsidRDefault="00653D6A" w:rsidP="00653D6A">
            <w:pPr>
              <w:pStyle w:val="DeptOutNumbered"/>
              <w:numPr>
                <w:ilvl w:val="0"/>
                <w:numId w:val="0"/>
              </w:numPr>
              <w:spacing w:after="0"/>
              <w:jc w:val="center"/>
              <w:rPr>
                <w:b/>
                <w:sz w:val="22"/>
                <w:szCs w:val="22"/>
              </w:rPr>
            </w:pPr>
            <w:r w:rsidRPr="00653D6A">
              <w:rPr>
                <w:b/>
                <w:sz w:val="22"/>
                <w:szCs w:val="22"/>
              </w:rPr>
              <w:t>2015/16</w:t>
            </w:r>
          </w:p>
        </w:tc>
        <w:tc>
          <w:tcPr>
            <w:tcW w:w="0" w:type="auto"/>
          </w:tcPr>
          <w:p w:rsidR="00653D6A" w:rsidRPr="00653D6A" w:rsidRDefault="00653D6A" w:rsidP="00653D6A">
            <w:pPr>
              <w:pStyle w:val="DeptOutNumbered"/>
              <w:numPr>
                <w:ilvl w:val="0"/>
                <w:numId w:val="0"/>
              </w:numPr>
              <w:spacing w:after="0"/>
              <w:jc w:val="center"/>
              <w:rPr>
                <w:b/>
                <w:sz w:val="22"/>
                <w:szCs w:val="22"/>
              </w:rPr>
            </w:pPr>
            <w:r w:rsidRPr="00653D6A">
              <w:rPr>
                <w:b/>
                <w:sz w:val="22"/>
                <w:szCs w:val="22"/>
              </w:rPr>
              <w:t>2016/17</w:t>
            </w:r>
          </w:p>
        </w:tc>
        <w:tc>
          <w:tcPr>
            <w:tcW w:w="0" w:type="auto"/>
          </w:tcPr>
          <w:p w:rsidR="00653D6A" w:rsidRPr="00653D6A" w:rsidRDefault="00653D6A" w:rsidP="000B1C30">
            <w:pPr>
              <w:pStyle w:val="DeptOutNumbered"/>
              <w:numPr>
                <w:ilvl w:val="0"/>
                <w:numId w:val="0"/>
              </w:numPr>
              <w:spacing w:after="0"/>
              <w:jc w:val="center"/>
              <w:rPr>
                <w:b/>
                <w:sz w:val="22"/>
                <w:szCs w:val="22"/>
              </w:rPr>
            </w:pPr>
            <w:r w:rsidRPr="00653D6A">
              <w:rPr>
                <w:b/>
                <w:sz w:val="22"/>
                <w:szCs w:val="22"/>
              </w:rPr>
              <w:t>2015/16</w:t>
            </w:r>
          </w:p>
        </w:tc>
        <w:tc>
          <w:tcPr>
            <w:tcW w:w="0" w:type="auto"/>
          </w:tcPr>
          <w:p w:rsidR="00653D6A" w:rsidRPr="00653D6A" w:rsidRDefault="00653D6A" w:rsidP="000B1C30">
            <w:pPr>
              <w:pStyle w:val="DeptOutNumbered"/>
              <w:numPr>
                <w:ilvl w:val="0"/>
                <w:numId w:val="0"/>
              </w:numPr>
              <w:spacing w:after="0"/>
              <w:jc w:val="center"/>
              <w:rPr>
                <w:b/>
                <w:sz w:val="22"/>
                <w:szCs w:val="22"/>
              </w:rPr>
            </w:pPr>
            <w:r w:rsidRPr="00653D6A">
              <w:rPr>
                <w:b/>
                <w:sz w:val="22"/>
                <w:szCs w:val="22"/>
              </w:rPr>
              <w:t>2016/17</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0</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61.6</w:t>
            </w:r>
          </w:p>
        </w:tc>
        <w:tc>
          <w:tcPr>
            <w:tcW w:w="0" w:type="auto"/>
          </w:tcPr>
          <w:p w:rsidR="00FA3A0E" w:rsidRDefault="009E4278" w:rsidP="00CE78D4">
            <w:pPr>
              <w:pStyle w:val="DeptOutNumbered"/>
              <w:numPr>
                <w:ilvl w:val="0"/>
                <w:numId w:val="0"/>
              </w:numPr>
              <w:spacing w:after="0"/>
              <w:jc w:val="center"/>
              <w:rPr>
                <w:sz w:val="22"/>
                <w:szCs w:val="22"/>
              </w:rPr>
            </w:pPr>
            <w:r>
              <w:rPr>
                <w:sz w:val="22"/>
                <w:szCs w:val="22"/>
              </w:rPr>
              <w:t xml:space="preserve"> 59.8</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64.1</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62.2</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1</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 xml:space="preserve">  8.2</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8.6</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 xml:space="preserve">  8.0</w:t>
            </w:r>
          </w:p>
        </w:tc>
        <w:tc>
          <w:tcPr>
            <w:tcW w:w="0" w:type="auto"/>
          </w:tcPr>
          <w:p w:rsidR="00FA3A0E" w:rsidRDefault="009300B7" w:rsidP="00FF41D2">
            <w:pPr>
              <w:pStyle w:val="DeptOutNumbered"/>
              <w:numPr>
                <w:ilvl w:val="0"/>
                <w:numId w:val="0"/>
              </w:numPr>
              <w:spacing w:after="0"/>
              <w:jc w:val="center"/>
              <w:rPr>
                <w:sz w:val="22"/>
                <w:szCs w:val="22"/>
              </w:rPr>
            </w:pPr>
            <w:r>
              <w:rPr>
                <w:sz w:val="22"/>
                <w:szCs w:val="22"/>
              </w:rPr>
              <w:t xml:space="preserve"> </w:t>
            </w:r>
            <w:r w:rsidR="009E4278">
              <w:rPr>
                <w:sz w:val="22"/>
                <w:szCs w:val="22"/>
              </w:rPr>
              <w:t xml:space="preserve"> </w:t>
            </w:r>
            <w:r>
              <w:rPr>
                <w:sz w:val="22"/>
                <w:szCs w:val="22"/>
              </w:rPr>
              <w:t xml:space="preserve"> 9.1</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2</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 xml:space="preserve">  3.4</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7.4</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 xml:space="preserve">  3.8</w:t>
            </w:r>
          </w:p>
        </w:tc>
        <w:tc>
          <w:tcPr>
            <w:tcW w:w="0" w:type="auto"/>
          </w:tcPr>
          <w:p w:rsidR="00FA3A0E" w:rsidRDefault="009300B7" w:rsidP="00FF41D2">
            <w:pPr>
              <w:pStyle w:val="DeptOutNumbered"/>
              <w:numPr>
                <w:ilvl w:val="0"/>
                <w:numId w:val="0"/>
              </w:numPr>
              <w:spacing w:after="0"/>
              <w:jc w:val="center"/>
              <w:rPr>
                <w:sz w:val="22"/>
                <w:szCs w:val="22"/>
              </w:rPr>
            </w:pPr>
            <w:r>
              <w:rPr>
                <w:sz w:val="22"/>
                <w:szCs w:val="22"/>
              </w:rPr>
              <w:t xml:space="preserve">  </w:t>
            </w:r>
            <w:r w:rsidR="009E4278">
              <w:rPr>
                <w:sz w:val="22"/>
                <w:szCs w:val="22"/>
              </w:rPr>
              <w:t xml:space="preserve"> </w:t>
            </w:r>
            <w:r>
              <w:rPr>
                <w:sz w:val="22"/>
                <w:szCs w:val="22"/>
              </w:rPr>
              <w:t>6.8</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3</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12.7</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11.4</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11.6</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10.7</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4</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 xml:space="preserve">  9.5</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10.6</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 xml:space="preserve">  8.4</w:t>
            </w:r>
          </w:p>
        </w:tc>
        <w:tc>
          <w:tcPr>
            <w:tcW w:w="0" w:type="auto"/>
          </w:tcPr>
          <w:p w:rsidR="00FA3A0E" w:rsidRDefault="009300B7" w:rsidP="00FF41D2">
            <w:pPr>
              <w:pStyle w:val="DeptOutNumbered"/>
              <w:numPr>
                <w:ilvl w:val="0"/>
                <w:numId w:val="0"/>
              </w:numPr>
              <w:spacing w:after="0"/>
              <w:jc w:val="center"/>
              <w:rPr>
                <w:sz w:val="22"/>
                <w:szCs w:val="22"/>
              </w:rPr>
            </w:pPr>
            <w:r>
              <w:rPr>
                <w:sz w:val="22"/>
                <w:szCs w:val="22"/>
              </w:rPr>
              <w:t xml:space="preserve"> </w:t>
            </w:r>
            <w:r w:rsidR="009E4278">
              <w:rPr>
                <w:sz w:val="22"/>
                <w:szCs w:val="22"/>
              </w:rPr>
              <w:t xml:space="preserve"> </w:t>
            </w:r>
            <w:r>
              <w:rPr>
                <w:sz w:val="22"/>
                <w:szCs w:val="22"/>
              </w:rPr>
              <w:t xml:space="preserve"> 9.5</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5</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 xml:space="preserve">  2.7</w:t>
            </w:r>
          </w:p>
        </w:tc>
        <w:tc>
          <w:tcPr>
            <w:tcW w:w="0" w:type="auto"/>
          </w:tcPr>
          <w:p w:rsidR="00FA3A0E" w:rsidRDefault="009E4278" w:rsidP="00FF41D2">
            <w:pPr>
              <w:pStyle w:val="DeptOutNumbered"/>
              <w:numPr>
                <w:ilvl w:val="0"/>
                <w:numId w:val="0"/>
              </w:numPr>
              <w:spacing w:after="0"/>
              <w:jc w:val="center"/>
              <w:rPr>
                <w:sz w:val="22"/>
                <w:szCs w:val="22"/>
              </w:rPr>
            </w:pPr>
            <w:r>
              <w:rPr>
                <w:sz w:val="22"/>
                <w:szCs w:val="22"/>
              </w:rPr>
              <w:t xml:space="preserve">   </w:t>
            </w:r>
            <w:r w:rsidR="009300B7">
              <w:rPr>
                <w:sz w:val="22"/>
                <w:szCs w:val="22"/>
              </w:rPr>
              <w:t>2.2</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 xml:space="preserve">  2.4</w:t>
            </w:r>
          </w:p>
        </w:tc>
        <w:tc>
          <w:tcPr>
            <w:tcW w:w="0" w:type="auto"/>
          </w:tcPr>
          <w:p w:rsidR="009300B7" w:rsidRDefault="009300B7" w:rsidP="009300B7">
            <w:pPr>
              <w:pStyle w:val="DeptOutNumbered"/>
              <w:numPr>
                <w:ilvl w:val="0"/>
                <w:numId w:val="0"/>
              </w:numPr>
              <w:spacing w:after="0"/>
              <w:jc w:val="center"/>
              <w:rPr>
                <w:sz w:val="22"/>
                <w:szCs w:val="22"/>
              </w:rPr>
            </w:pPr>
            <w:r>
              <w:rPr>
                <w:sz w:val="22"/>
                <w:szCs w:val="22"/>
              </w:rPr>
              <w:t xml:space="preserve">  </w:t>
            </w:r>
            <w:r w:rsidR="009E4278">
              <w:rPr>
                <w:sz w:val="22"/>
                <w:szCs w:val="22"/>
              </w:rPr>
              <w:t xml:space="preserve"> </w:t>
            </w:r>
            <w:r>
              <w:rPr>
                <w:sz w:val="22"/>
                <w:szCs w:val="22"/>
              </w:rPr>
              <w:t>1.8</w:t>
            </w:r>
          </w:p>
        </w:tc>
      </w:tr>
      <w:tr w:rsidR="002D20CF" w:rsidTr="002C3D24">
        <w:tc>
          <w:tcPr>
            <w:tcW w:w="0" w:type="auto"/>
          </w:tcPr>
          <w:p w:rsidR="00FA3A0E" w:rsidRDefault="00FA3A0E" w:rsidP="005F0CC1">
            <w:pPr>
              <w:pStyle w:val="DeptOutNumbered"/>
              <w:numPr>
                <w:ilvl w:val="0"/>
                <w:numId w:val="0"/>
              </w:numPr>
              <w:spacing w:after="0"/>
              <w:jc w:val="center"/>
              <w:rPr>
                <w:sz w:val="22"/>
                <w:szCs w:val="22"/>
              </w:rPr>
            </w:pPr>
            <w:r>
              <w:rPr>
                <w:sz w:val="22"/>
                <w:szCs w:val="22"/>
              </w:rPr>
              <w:t>6</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 xml:space="preserve">  1.9</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0</w:t>
            </w:r>
          </w:p>
        </w:tc>
        <w:tc>
          <w:tcPr>
            <w:tcW w:w="0" w:type="auto"/>
          </w:tcPr>
          <w:p w:rsidR="00FA3A0E" w:rsidRDefault="00FA3A0E" w:rsidP="000B1C30">
            <w:pPr>
              <w:pStyle w:val="DeptOutNumbered"/>
              <w:numPr>
                <w:ilvl w:val="0"/>
                <w:numId w:val="0"/>
              </w:numPr>
              <w:spacing w:after="0"/>
              <w:jc w:val="center"/>
              <w:rPr>
                <w:sz w:val="22"/>
                <w:szCs w:val="22"/>
              </w:rPr>
            </w:pPr>
            <w:r>
              <w:rPr>
                <w:sz w:val="22"/>
                <w:szCs w:val="22"/>
              </w:rPr>
              <w:t xml:space="preserve">  1.7</w:t>
            </w:r>
          </w:p>
        </w:tc>
        <w:tc>
          <w:tcPr>
            <w:tcW w:w="0" w:type="auto"/>
          </w:tcPr>
          <w:p w:rsidR="00FA3A0E" w:rsidRDefault="00FA3A0E" w:rsidP="00FF41D2">
            <w:pPr>
              <w:pStyle w:val="DeptOutNumbered"/>
              <w:numPr>
                <w:ilvl w:val="0"/>
                <w:numId w:val="0"/>
              </w:numPr>
              <w:spacing w:after="0"/>
              <w:jc w:val="center"/>
              <w:rPr>
                <w:sz w:val="22"/>
                <w:szCs w:val="22"/>
              </w:rPr>
            </w:pPr>
            <w:r>
              <w:rPr>
                <w:sz w:val="22"/>
                <w:szCs w:val="22"/>
              </w:rPr>
              <w:t>0</w:t>
            </w:r>
          </w:p>
        </w:tc>
      </w:tr>
    </w:tbl>
    <w:p w:rsidR="005F0CC1" w:rsidRDefault="005F0CC1" w:rsidP="00392CC3">
      <w:pPr>
        <w:pStyle w:val="DeptOutNumbered"/>
        <w:numPr>
          <w:ilvl w:val="0"/>
          <w:numId w:val="0"/>
        </w:numPr>
        <w:spacing w:after="0"/>
        <w:ind w:left="720"/>
        <w:rPr>
          <w:sz w:val="22"/>
          <w:szCs w:val="22"/>
        </w:rPr>
      </w:pPr>
    </w:p>
    <w:p w:rsidR="005F0CC1" w:rsidRDefault="00E316D7" w:rsidP="00392CC3">
      <w:pPr>
        <w:pStyle w:val="DeptOutNumbered"/>
        <w:numPr>
          <w:ilvl w:val="0"/>
          <w:numId w:val="0"/>
        </w:numPr>
        <w:spacing w:after="0"/>
        <w:ind w:left="720"/>
        <w:rPr>
          <w:sz w:val="22"/>
          <w:szCs w:val="22"/>
        </w:rPr>
      </w:pPr>
      <w:r>
        <w:rPr>
          <w:sz w:val="22"/>
          <w:szCs w:val="22"/>
        </w:rPr>
        <w:t>and if the cash values of each for each of these Bands remains unchanged there would be an unintentional reduced allocation of £</w:t>
      </w:r>
      <w:r w:rsidR="005B0857">
        <w:rPr>
          <w:sz w:val="22"/>
          <w:szCs w:val="22"/>
        </w:rPr>
        <w:t>497</w:t>
      </w:r>
      <w:r>
        <w:rPr>
          <w:sz w:val="22"/>
          <w:szCs w:val="22"/>
        </w:rPr>
        <w:t xml:space="preserve">k </w:t>
      </w:r>
      <w:r w:rsidR="003B63BA">
        <w:rPr>
          <w:sz w:val="22"/>
          <w:szCs w:val="22"/>
        </w:rPr>
        <w:t>through</w:t>
      </w:r>
      <w:r>
        <w:rPr>
          <w:sz w:val="22"/>
          <w:szCs w:val="22"/>
        </w:rPr>
        <w:t xml:space="preserve"> this factor</w:t>
      </w:r>
      <w:r w:rsidR="00D93ED7">
        <w:rPr>
          <w:sz w:val="22"/>
          <w:szCs w:val="22"/>
        </w:rPr>
        <w:t>, equivalent to 8% of the allocation last year</w:t>
      </w:r>
      <w:r>
        <w:rPr>
          <w:sz w:val="22"/>
          <w:szCs w:val="22"/>
        </w:rPr>
        <w:t>.</w:t>
      </w:r>
      <w:r w:rsidR="00835869">
        <w:rPr>
          <w:sz w:val="22"/>
          <w:szCs w:val="22"/>
        </w:rPr>
        <w:t xml:space="preserve">  The DfE have recognised this </w:t>
      </w:r>
      <w:r w:rsidR="003B63BA">
        <w:rPr>
          <w:sz w:val="22"/>
          <w:szCs w:val="22"/>
        </w:rPr>
        <w:t>impact</w:t>
      </w:r>
      <w:r w:rsidR="00835869">
        <w:rPr>
          <w:sz w:val="22"/>
          <w:szCs w:val="22"/>
        </w:rPr>
        <w:t xml:space="preserve"> on a national basis and have specifically advised that Local Authorities should review the cash </w:t>
      </w:r>
      <w:r w:rsidR="00212514">
        <w:rPr>
          <w:sz w:val="22"/>
          <w:szCs w:val="22"/>
        </w:rPr>
        <w:t>values associated with the IDACI formula factor</w:t>
      </w:r>
      <w:r w:rsidR="00835869">
        <w:rPr>
          <w:sz w:val="22"/>
          <w:szCs w:val="22"/>
        </w:rPr>
        <w:t xml:space="preserve"> as a result of </w:t>
      </w:r>
      <w:r w:rsidR="00212514">
        <w:rPr>
          <w:sz w:val="22"/>
          <w:szCs w:val="22"/>
        </w:rPr>
        <w:t xml:space="preserve">using </w:t>
      </w:r>
      <w:r w:rsidR="00835869">
        <w:rPr>
          <w:sz w:val="22"/>
          <w:szCs w:val="22"/>
        </w:rPr>
        <w:t xml:space="preserve">the </w:t>
      </w:r>
      <w:r w:rsidR="00D60BA2">
        <w:rPr>
          <w:sz w:val="22"/>
          <w:szCs w:val="22"/>
        </w:rPr>
        <w:t>revised index</w:t>
      </w:r>
      <w:r w:rsidR="00835869">
        <w:rPr>
          <w:sz w:val="22"/>
          <w:szCs w:val="22"/>
        </w:rPr>
        <w:t>.</w:t>
      </w:r>
      <w:r w:rsidR="00AD423C">
        <w:rPr>
          <w:sz w:val="22"/>
          <w:szCs w:val="22"/>
        </w:rPr>
        <w:t xml:space="preserve">  </w:t>
      </w:r>
      <w:r w:rsidR="00D60BA2">
        <w:rPr>
          <w:sz w:val="22"/>
          <w:szCs w:val="22"/>
        </w:rPr>
        <w:t xml:space="preserve">It is proposed that </w:t>
      </w:r>
      <w:r w:rsidR="00D93ED7">
        <w:rPr>
          <w:sz w:val="22"/>
          <w:szCs w:val="22"/>
        </w:rPr>
        <w:t xml:space="preserve">the IDACI factor </w:t>
      </w:r>
      <w:r w:rsidR="00D60BA2">
        <w:rPr>
          <w:sz w:val="22"/>
          <w:szCs w:val="22"/>
        </w:rPr>
        <w:t xml:space="preserve">should </w:t>
      </w:r>
      <w:r w:rsidR="00D93ED7">
        <w:rPr>
          <w:sz w:val="22"/>
          <w:szCs w:val="22"/>
        </w:rPr>
        <w:t xml:space="preserve">deliver the same amount of cash </w:t>
      </w:r>
      <w:r w:rsidR="00AD423C">
        <w:rPr>
          <w:sz w:val="22"/>
          <w:szCs w:val="22"/>
        </w:rPr>
        <w:t xml:space="preserve">overall </w:t>
      </w:r>
      <w:r w:rsidR="00D60BA2">
        <w:rPr>
          <w:sz w:val="22"/>
          <w:szCs w:val="22"/>
        </w:rPr>
        <w:t>in 2016/17 as it did</w:t>
      </w:r>
      <w:r w:rsidR="00D93ED7">
        <w:rPr>
          <w:sz w:val="22"/>
          <w:szCs w:val="22"/>
        </w:rPr>
        <w:t xml:space="preserve"> last year would cost £497k and it proposed </w:t>
      </w:r>
      <w:r w:rsidR="00AD423C">
        <w:rPr>
          <w:sz w:val="22"/>
          <w:szCs w:val="22"/>
        </w:rPr>
        <w:t xml:space="preserve">that this should be done </w:t>
      </w:r>
      <w:r w:rsidR="00D93ED7">
        <w:rPr>
          <w:sz w:val="22"/>
          <w:szCs w:val="22"/>
        </w:rPr>
        <w:t>by adopting the following formula values in 2016/17 compared with 2015/16:</w:t>
      </w:r>
    </w:p>
    <w:p w:rsidR="005F0CC1" w:rsidRDefault="005F0CC1" w:rsidP="00392CC3">
      <w:pPr>
        <w:pStyle w:val="DeptOutNumbered"/>
        <w:numPr>
          <w:ilvl w:val="0"/>
          <w:numId w:val="0"/>
        </w:numPr>
        <w:spacing w:after="0"/>
        <w:ind w:left="720"/>
        <w:rPr>
          <w:sz w:val="22"/>
          <w:szCs w:val="22"/>
        </w:rPr>
      </w:pPr>
    </w:p>
    <w:tbl>
      <w:tblPr>
        <w:tblStyle w:val="TableGrid"/>
        <w:tblW w:w="0" w:type="auto"/>
        <w:tblInd w:w="1728" w:type="dxa"/>
        <w:tblLook w:val="04A0" w:firstRow="1" w:lastRow="0" w:firstColumn="1" w:lastColumn="0" w:noHBand="0" w:noVBand="1"/>
      </w:tblPr>
      <w:tblGrid>
        <w:gridCol w:w="1426"/>
        <w:gridCol w:w="1012"/>
        <w:gridCol w:w="1012"/>
        <w:gridCol w:w="1012"/>
        <w:gridCol w:w="1012"/>
      </w:tblGrid>
      <w:tr w:rsidR="00D93ED7" w:rsidRPr="005F0CC1" w:rsidTr="000B1C30">
        <w:tc>
          <w:tcPr>
            <w:tcW w:w="0" w:type="auto"/>
            <w:vMerge w:val="restart"/>
          </w:tcPr>
          <w:p w:rsidR="00D93ED7" w:rsidRPr="005F0CC1" w:rsidRDefault="00D93ED7" w:rsidP="000B1C30">
            <w:pPr>
              <w:pStyle w:val="DeptOutNumbered"/>
              <w:numPr>
                <w:ilvl w:val="0"/>
                <w:numId w:val="0"/>
              </w:numPr>
              <w:spacing w:after="0"/>
              <w:jc w:val="center"/>
              <w:rPr>
                <w:b/>
                <w:sz w:val="22"/>
                <w:szCs w:val="22"/>
              </w:rPr>
            </w:pPr>
            <w:r w:rsidRPr="005F0CC1">
              <w:rPr>
                <w:b/>
                <w:sz w:val="22"/>
                <w:szCs w:val="22"/>
              </w:rPr>
              <w:t>IDACI Band</w:t>
            </w:r>
          </w:p>
        </w:tc>
        <w:tc>
          <w:tcPr>
            <w:tcW w:w="0" w:type="auto"/>
            <w:gridSpan w:val="2"/>
          </w:tcPr>
          <w:p w:rsidR="00D93ED7" w:rsidRPr="005F0CC1" w:rsidRDefault="00D93ED7" w:rsidP="00D93ED7">
            <w:pPr>
              <w:pStyle w:val="DeptOutNumbered"/>
              <w:numPr>
                <w:ilvl w:val="0"/>
                <w:numId w:val="0"/>
              </w:numPr>
              <w:spacing w:after="0"/>
              <w:jc w:val="center"/>
              <w:rPr>
                <w:b/>
                <w:sz w:val="22"/>
                <w:szCs w:val="22"/>
              </w:rPr>
            </w:pPr>
            <w:r w:rsidRPr="005F0CC1">
              <w:rPr>
                <w:b/>
                <w:sz w:val="22"/>
                <w:szCs w:val="22"/>
              </w:rPr>
              <w:t>Primary</w:t>
            </w:r>
          </w:p>
        </w:tc>
        <w:tc>
          <w:tcPr>
            <w:tcW w:w="0" w:type="auto"/>
            <w:gridSpan w:val="2"/>
          </w:tcPr>
          <w:p w:rsidR="00D93ED7" w:rsidRPr="005F0CC1" w:rsidRDefault="00D93ED7" w:rsidP="00D93ED7">
            <w:pPr>
              <w:pStyle w:val="DeptOutNumbered"/>
              <w:numPr>
                <w:ilvl w:val="0"/>
                <w:numId w:val="0"/>
              </w:numPr>
              <w:spacing w:after="0"/>
              <w:jc w:val="center"/>
              <w:rPr>
                <w:b/>
                <w:sz w:val="22"/>
                <w:szCs w:val="22"/>
              </w:rPr>
            </w:pPr>
            <w:r w:rsidRPr="005F0CC1">
              <w:rPr>
                <w:b/>
                <w:sz w:val="22"/>
                <w:szCs w:val="22"/>
              </w:rPr>
              <w:t>Secondary</w:t>
            </w:r>
          </w:p>
        </w:tc>
      </w:tr>
      <w:tr w:rsidR="00D93ED7" w:rsidRPr="00653D6A" w:rsidTr="000B1C30">
        <w:tc>
          <w:tcPr>
            <w:tcW w:w="0" w:type="auto"/>
            <w:vMerge/>
          </w:tcPr>
          <w:p w:rsidR="00D93ED7" w:rsidRDefault="00D93ED7" w:rsidP="000B1C30">
            <w:pPr>
              <w:pStyle w:val="DeptOutNumbered"/>
              <w:numPr>
                <w:ilvl w:val="0"/>
                <w:numId w:val="0"/>
              </w:numPr>
              <w:spacing w:after="0"/>
              <w:jc w:val="center"/>
              <w:rPr>
                <w:sz w:val="22"/>
                <w:szCs w:val="22"/>
              </w:rPr>
            </w:pPr>
          </w:p>
        </w:tc>
        <w:tc>
          <w:tcPr>
            <w:tcW w:w="0" w:type="auto"/>
          </w:tcPr>
          <w:p w:rsidR="00D93ED7" w:rsidRPr="00653D6A" w:rsidRDefault="00D93ED7" w:rsidP="000B1C30">
            <w:pPr>
              <w:pStyle w:val="DeptOutNumbered"/>
              <w:numPr>
                <w:ilvl w:val="0"/>
                <w:numId w:val="0"/>
              </w:numPr>
              <w:spacing w:after="0"/>
              <w:jc w:val="center"/>
              <w:rPr>
                <w:b/>
                <w:sz w:val="22"/>
                <w:szCs w:val="22"/>
              </w:rPr>
            </w:pPr>
            <w:r w:rsidRPr="00653D6A">
              <w:rPr>
                <w:b/>
                <w:sz w:val="22"/>
                <w:szCs w:val="22"/>
              </w:rPr>
              <w:t>2015/16</w:t>
            </w:r>
          </w:p>
        </w:tc>
        <w:tc>
          <w:tcPr>
            <w:tcW w:w="0" w:type="auto"/>
          </w:tcPr>
          <w:p w:rsidR="00D93ED7" w:rsidRPr="00653D6A" w:rsidRDefault="00D93ED7" w:rsidP="000B1C30">
            <w:pPr>
              <w:pStyle w:val="DeptOutNumbered"/>
              <w:numPr>
                <w:ilvl w:val="0"/>
                <w:numId w:val="0"/>
              </w:numPr>
              <w:spacing w:after="0"/>
              <w:jc w:val="center"/>
              <w:rPr>
                <w:b/>
                <w:sz w:val="22"/>
                <w:szCs w:val="22"/>
              </w:rPr>
            </w:pPr>
            <w:r w:rsidRPr="00653D6A">
              <w:rPr>
                <w:b/>
                <w:sz w:val="22"/>
                <w:szCs w:val="22"/>
              </w:rPr>
              <w:t>2016/17</w:t>
            </w:r>
          </w:p>
        </w:tc>
        <w:tc>
          <w:tcPr>
            <w:tcW w:w="0" w:type="auto"/>
          </w:tcPr>
          <w:p w:rsidR="00D93ED7" w:rsidRPr="00653D6A" w:rsidRDefault="00D93ED7" w:rsidP="000B1C30">
            <w:pPr>
              <w:pStyle w:val="DeptOutNumbered"/>
              <w:numPr>
                <w:ilvl w:val="0"/>
                <w:numId w:val="0"/>
              </w:numPr>
              <w:spacing w:after="0"/>
              <w:jc w:val="center"/>
              <w:rPr>
                <w:b/>
                <w:sz w:val="22"/>
                <w:szCs w:val="22"/>
              </w:rPr>
            </w:pPr>
            <w:r w:rsidRPr="00653D6A">
              <w:rPr>
                <w:b/>
                <w:sz w:val="22"/>
                <w:szCs w:val="22"/>
              </w:rPr>
              <w:t>2015/16</w:t>
            </w:r>
          </w:p>
        </w:tc>
        <w:tc>
          <w:tcPr>
            <w:tcW w:w="0" w:type="auto"/>
          </w:tcPr>
          <w:p w:rsidR="00D93ED7" w:rsidRPr="00653D6A" w:rsidRDefault="00D93ED7" w:rsidP="000B1C30">
            <w:pPr>
              <w:pStyle w:val="DeptOutNumbered"/>
              <w:numPr>
                <w:ilvl w:val="0"/>
                <w:numId w:val="0"/>
              </w:numPr>
              <w:spacing w:after="0"/>
              <w:jc w:val="center"/>
              <w:rPr>
                <w:b/>
                <w:sz w:val="22"/>
                <w:szCs w:val="22"/>
              </w:rPr>
            </w:pPr>
            <w:r w:rsidRPr="00653D6A">
              <w:rPr>
                <w:b/>
                <w:sz w:val="22"/>
                <w:szCs w:val="22"/>
              </w:rPr>
              <w:t>2016/17</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0</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1</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150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150</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 xml:space="preserve">  250</w:t>
            </w:r>
          </w:p>
        </w:tc>
        <w:tc>
          <w:tcPr>
            <w:tcW w:w="0" w:type="auto"/>
          </w:tcPr>
          <w:p w:rsidR="00D93ED7" w:rsidRDefault="002D20CF" w:rsidP="002D20CF">
            <w:pPr>
              <w:pStyle w:val="DeptOutNumbered"/>
              <w:numPr>
                <w:ilvl w:val="0"/>
                <w:numId w:val="0"/>
              </w:numPr>
              <w:spacing w:after="0"/>
              <w:jc w:val="center"/>
              <w:rPr>
                <w:sz w:val="22"/>
                <w:szCs w:val="22"/>
              </w:rPr>
            </w:pPr>
            <w:r>
              <w:rPr>
                <w:sz w:val="22"/>
                <w:szCs w:val="22"/>
              </w:rPr>
              <w:t xml:space="preserve">  250</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2</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150</w:t>
            </w:r>
          </w:p>
        </w:tc>
        <w:tc>
          <w:tcPr>
            <w:tcW w:w="0" w:type="auto"/>
          </w:tcPr>
          <w:p w:rsidR="00D93ED7" w:rsidRDefault="002D20CF" w:rsidP="00D345D3">
            <w:pPr>
              <w:pStyle w:val="DeptOutNumbered"/>
              <w:numPr>
                <w:ilvl w:val="0"/>
                <w:numId w:val="0"/>
              </w:numPr>
              <w:spacing w:after="0"/>
              <w:jc w:val="center"/>
              <w:rPr>
                <w:sz w:val="22"/>
                <w:szCs w:val="22"/>
              </w:rPr>
            </w:pPr>
            <w:r>
              <w:rPr>
                <w:sz w:val="22"/>
                <w:szCs w:val="22"/>
              </w:rPr>
              <w:t xml:space="preserve">  </w:t>
            </w:r>
            <w:r w:rsidR="00D345D3">
              <w:rPr>
                <w:sz w:val="22"/>
                <w:szCs w:val="22"/>
              </w:rPr>
              <w:t>175</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 xml:space="preserve">  250</w:t>
            </w:r>
          </w:p>
        </w:tc>
        <w:tc>
          <w:tcPr>
            <w:tcW w:w="0" w:type="auto"/>
          </w:tcPr>
          <w:p w:rsidR="00D93ED7" w:rsidRDefault="002D20CF" w:rsidP="00D345D3">
            <w:pPr>
              <w:pStyle w:val="DeptOutNumbered"/>
              <w:numPr>
                <w:ilvl w:val="0"/>
                <w:numId w:val="0"/>
              </w:numPr>
              <w:spacing w:after="0"/>
              <w:jc w:val="center"/>
              <w:rPr>
                <w:sz w:val="22"/>
                <w:szCs w:val="22"/>
              </w:rPr>
            </w:pPr>
            <w:r>
              <w:rPr>
                <w:sz w:val="22"/>
                <w:szCs w:val="22"/>
              </w:rPr>
              <w:t xml:space="preserve">  </w:t>
            </w:r>
            <w:r w:rsidR="00D345D3">
              <w:rPr>
                <w:sz w:val="22"/>
                <w:szCs w:val="22"/>
              </w:rPr>
              <w:t>275</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3</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350</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C50300">
              <w:rPr>
                <w:sz w:val="22"/>
                <w:szCs w:val="22"/>
              </w:rPr>
              <w:t>400</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 xml:space="preserve">  450</w:t>
            </w:r>
          </w:p>
        </w:tc>
        <w:tc>
          <w:tcPr>
            <w:tcW w:w="0" w:type="auto"/>
          </w:tcPr>
          <w:p w:rsidR="00D93ED7" w:rsidRDefault="002D20CF" w:rsidP="00C50300">
            <w:pPr>
              <w:pStyle w:val="DeptOutNumbered"/>
              <w:numPr>
                <w:ilvl w:val="0"/>
                <w:numId w:val="0"/>
              </w:numPr>
              <w:spacing w:after="0"/>
              <w:jc w:val="center"/>
              <w:rPr>
                <w:sz w:val="22"/>
                <w:szCs w:val="22"/>
              </w:rPr>
            </w:pPr>
            <w:r>
              <w:rPr>
                <w:sz w:val="22"/>
                <w:szCs w:val="22"/>
              </w:rPr>
              <w:t xml:space="preserve">  </w:t>
            </w:r>
            <w:r w:rsidR="00C50300">
              <w:rPr>
                <w:sz w:val="22"/>
                <w:szCs w:val="22"/>
              </w:rPr>
              <w:t>500</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4</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550</w:t>
            </w:r>
          </w:p>
        </w:tc>
        <w:tc>
          <w:tcPr>
            <w:tcW w:w="0" w:type="auto"/>
          </w:tcPr>
          <w:p w:rsidR="00D93ED7" w:rsidRDefault="002D20CF" w:rsidP="00D345D3">
            <w:pPr>
              <w:pStyle w:val="DeptOutNumbered"/>
              <w:numPr>
                <w:ilvl w:val="0"/>
                <w:numId w:val="0"/>
              </w:numPr>
              <w:spacing w:after="0"/>
              <w:jc w:val="center"/>
              <w:rPr>
                <w:sz w:val="22"/>
                <w:szCs w:val="22"/>
              </w:rPr>
            </w:pPr>
            <w:r>
              <w:rPr>
                <w:sz w:val="22"/>
                <w:szCs w:val="22"/>
              </w:rPr>
              <w:t xml:space="preserve">  </w:t>
            </w:r>
            <w:r w:rsidR="00D345D3">
              <w:rPr>
                <w:sz w:val="22"/>
                <w:szCs w:val="22"/>
              </w:rPr>
              <w:t>575</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 xml:space="preserve">  650</w:t>
            </w:r>
          </w:p>
        </w:tc>
        <w:tc>
          <w:tcPr>
            <w:tcW w:w="0" w:type="auto"/>
          </w:tcPr>
          <w:p w:rsidR="00D93ED7" w:rsidRDefault="002D20CF" w:rsidP="00D345D3">
            <w:pPr>
              <w:pStyle w:val="DeptOutNumbered"/>
              <w:numPr>
                <w:ilvl w:val="0"/>
                <w:numId w:val="0"/>
              </w:numPr>
              <w:spacing w:after="0"/>
              <w:jc w:val="center"/>
              <w:rPr>
                <w:sz w:val="22"/>
                <w:szCs w:val="22"/>
              </w:rPr>
            </w:pPr>
            <w:r>
              <w:rPr>
                <w:sz w:val="22"/>
                <w:szCs w:val="22"/>
              </w:rPr>
              <w:t xml:space="preserve">  </w:t>
            </w:r>
            <w:r w:rsidR="00D345D3">
              <w:rPr>
                <w:sz w:val="22"/>
                <w:szCs w:val="22"/>
              </w:rPr>
              <w:t>675</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5</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750</w:t>
            </w:r>
          </w:p>
        </w:tc>
        <w:tc>
          <w:tcPr>
            <w:tcW w:w="0" w:type="auto"/>
          </w:tcPr>
          <w:p w:rsidR="00D93ED7" w:rsidRDefault="002D20CF" w:rsidP="00E51B7C">
            <w:pPr>
              <w:pStyle w:val="DeptOutNumbered"/>
              <w:numPr>
                <w:ilvl w:val="0"/>
                <w:numId w:val="0"/>
              </w:numPr>
              <w:spacing w:after="0"/>
              <w:jc w:val="center"/>
              <w:rPr>
                <w:sz w:val="22"/>
                <w:szCs w:val="22"/>
              </w:rPr>
            </w:pPr>
            <w:r>
              <w:rPr>
                <w:sz w:val="22"/>
                <w:szCs w:val="22"/>
              </w:rPr>
              <w:t xml:space="preserve">  </w:t>
            </w:r>
            <w:r w:rsidR="00E51B7C">
              <w:rPr>
                <w:sz w:val="22"/>
                <w:szCs w:val="22"/>
              </w:rPr>
              <w:t>90</w:t>
            </w:r>
            <w:r>
              <w:rPr>
                <w:sz w:val="22"/>
                <w:szCs w:val="22"/>
              </w:rPr>
              <w:t>0</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 xml:space="preserve">  850</w:t>
            </w:r>
          </w:p>
        </w:tc>
        <w:tc>
          <w:tcPr>
            <w:tcW w:w="0" w:type="auto"/>
          </w:tcPr>
          <w:p w:rsidR="00D93ED7" w:rsidRDefault="00034088" w:rsidP="000B1C30">
            <w:pPr>
              <w:pStyle w:val="DeptOutNumbered"/>
              <w:numPr>
                <w:ilvl w:val="0"/>
                <w:numId w:val="0"/>
              </w:numPr>
              <w:spacing w:after="0"/>
              <w:jc w:val="center"/>
              <w:rPr>
                <w:sz w:val="22"/>
                <w:szCs w:val="22"/>
              </w:rPr>
            </w:pPr>
            <w:r>
              <w:rPr>
                <w:sz w:val="22"/>
                <w:szCs w:val="22"/>
              </w:rPr>
              <w:t>100</w:t>
            </w:r>
            <w:r w:rsidR="002D20CF">
              <w:rPr>
                <w:sz w:val="22"/>
                <w:szCs w:val="22"/>
              </w:rPr>
              <w:t>0</w:t>
            </w:r>
          </w:p>
        </w:tc>
      </w:tr>
      <w:tr w:rsidR="00D93ED7" w:rsidTr="000B1C30">
        <w:tc>
          <w:tcPr>
            <w:tcW w:w="0" w:type="auto"/>
          </w:tcPr>
          <w:p w:rsidR="00D93ED7" w:rsidRDefault="00D93ED7" w:rsidP="000B1C30">
            <w:pPr>
              <w:pStyle w:val="DeptOutNumbered"/>
              <w:numPr>
                <w:ilvl w:val="0"/>
                <w:numId w:val="0"/>
              </w:numPr>
              <w:spacing w:after="0"/>
              <w:jc w:val="center"/>
              <w:rPr>
                <w:sz w:val="22"/>
                <w:szCs w:val="22"/>
              </w:rPr>
            </w:pPr>
            <w:r>
              <w:rPr>
                <w:sz w:val="22"/>
                <w:szCs w:val="22"/>
              </w:rPr>
              <w:t>6</w:t>
            </w:r>
          </w:p>
        </w:tc>
        <w:tc>
          <w:tcPr>
            <w:tcW w:w="0" w:type="auto"/>
          </w:tcPr>
          <w:p w:rsidR="00D93ED7" w:rsidRDefault="002D20CF" w:rsidP="000B1C30">
            <w:pPr>
              <w:pStyle w:val="DeptOutNumbered"/>
              <w:numPr>
                <w:ilvl w:val="0"/>
                <w:numId w:val="0"/>
              </w:numPr>
              <w:spacing w:after="0"/>
              <w:jc w:val="center"/>
              <w:rPr>
                <w:sz w:val="22"/>
                <w:szCs w:val="22"/>
              </w:rPr>
            </w:pPr>
            <w:r>
              <w:rPr>
                <w:sz w:val="22"/>
                <w:szCs w:val="22"/>
              </w:rPr>
              <w:t xml:space="preserve">  </w:t>
            </w:r>
            <w:r w:rsidR="00D93ED7">
              <w:rPr>
                <w:sz w:val="22"/>
                <w:szCs w:val="22"/>
              </w:rPr>
              <w:t>950</w:t>
            </w:r>
          </w:p>
        </w:tc>
        <w:tc>
          <w:tcPr>
            <w:tcW w:w="0" w:type="auto"/>
          </w:tcPr>
          <w:p w:rsidR="00D93ED7" w:rsidRDefault="002D20CF" w:rsidP="002D20CF">
            <w:pPr>
              <w:pStyle w:val="DeptOutNumbered"/>
              <w:numPr>
                <w:ilvl w:val="0"/>
                <w:numId w:val="0"/>
              </w:numPr>
              <w:spacing w:after="0"/>
              <w:jc w:val="center"/>
              <w:rPr>
                <w:sz w:val="22"/>
                <w:szCs w:val="22"/>
              </w:rPr>
            </w:pPr>
            <w:r>
              <w:rPr>
                <w:sz w:val="22"/>
                <w:szCs w:val="22"/>
              </w:rPr>
              <w:t>11</w:t>
            </w:r>
            <w:r w:rsidR="00AD423C">
              <w:rPr>
                <w:sz w:val="22"/>
                <w:szCs w:val="22"/>
              </w:rPr>
              <w:t>0</w:t>
            </w:r>
            <w:r>
              <w:rPr>
                <w:sz w:val="22"/>
                <w:szCs w:val="22"/>
              </w:rPr>
              <w:t>0</w:t>
            </w:r>
          </w:p>
        </w:tc>
        <w:tc>
          <w:tcPr>
            <w:tcW w:w="0" w:type="auto"/>
          </w:tcPr>
          <w:p w:rsidR="00D93ED7" w:rsidRDefault="00D93ED7" w:rsidP="000B1C30">
            <w:pPr>
              <w:pStyle w:val="DeptOutNumbered"/>
              <w:numPr>
                <w:ilvl w:val="0"/>
                <w:numId w:val="0"/>
              </w:numPr>
              <w:spacing w:after="0"/>
              <w:jc w:val="center"/>
              <w:rPr>
                <w:sz w:val="22"/>
                <w:szCs w:val="22"/>
              </w:rPr>
            </w:pPr>
            <w:r>
              <w:rPr>
                <w:sz w:val="22"/>
                <w:szCs w:val="22"/>
              </w:rPr>
              <w:t>1050</w:t>
            </w:r>
          </w:p>
        </w:tc>
        <w:tc>
          <w:tcPr>
            <w:tcW w:w="0" w:type="auto"/>
          </w:tcPr>
          <w:p w:rsidR="00D93ED7" w:rsidRDefault="00AD423C" w:rsidP="000B1C30">
            <w:pPr>
              <w:pStyle w:val="DeptOutNumbered"/>
              <w:numPr>
                <w:ilvl w:val="0"/>
                <w:numId w:val="0"/>
              </w:numPr>
              <w:spacing w:after="0"/>
              <w:jc w:val="center"/>
              <w:rPr>
                <w:sz w:val="22"/>
                <w:szCs w:val="22"/>
              </w:rPr>
            </w:pPr>
            <w:r>
              <w:rPr>
                <w:sz w:val="22"/>
                <w:szCs w:val="22"/>
              </w:rPr>
              <w:t>120</w:t>
            </w:r>
            <w:r w:rsidR="002D20CF">
              <w:rPr>
                <w:sz w:val="22"/>
                <w:szCs w:val="22"/>
              </w:rPr>
              <w:t>0</w:t>
            </w:r>
          </w:p>
        </w:tc>
      </w:tr>
    </w:tbl>
    <w:p w:rsidR="005F0CC1" w:rsidRDefault="005F0CC1" w:rsidP="00392CC3">
      <w:pPr>
        <w:pStyle w:val="DeptOutNumbered"/>
        <w:numPr>
          <w:ilvl w:val="0"/>
          <w:numId w:val="0"/>
        </w:numPr>
        <w:spacing w:after="0"/>
        <w:ind w:left="720"/>
        <w:rPr>
          <w:sz w:val="22"/>
          <w:szCs w:val="22"/>
        </w:rPr>
      </w:pPr>
    </w:p>
    <w:p w:rsidR="00AF3F8E" w:rsidRDefault="00AF3F8E" w:rsidP="00AF3F8E">
      <w:pPr>
        <w:pStyle w:val="DeptOutNumbered"/>
        <w:numPr>
          <w:ilvl w:val="0"/>
          <w:numId w:val="0"/>
        </w:numPr>
        <w:spacing w:after="0"/>
        <w:ind w:left="720"/>
        <w:rPr>
          <w:sz w:val="22"/>
          <w:szCs w:val="22"/>
        </w:rPr>
      </w:pPr>
      <w:r>
        <w:rPr>
          <w:sz w:val="22"/>
          <w:szCs w:val="22"/>
        </w:rPr>
        <w:t xml:space="preserve">Implementing this change would mean that the amount of money available </w:t>
      </w:r>
      <w:r w:rsidR="00816EA7">
        <w:rPr>
          <w:sz w:val="22"/>
          <w:szCs w:val="22"/>
        </w:rPr>
        <w:t xml:space="preserve">for school budget shares </w:t>
      </w:r>
      <w:r w:rsidR="005E0E54">
        <w:rPr>
          <w:sz w:val="22"/>
          <w:szCs w:val="22"/>
        </w:rPr>
        <w:t>i</w:t>
      </w:r>
      <w:r>
        <w:rPr>
          <w:sz w:val="22"/>
          <w:szCs w:val="22"/>
        </w:rPr>
        <w:t>s £</w:t>
      </w:r>
      <w:r w:rsidR="009D1EEB">
        <w:rPr>
          <w:sz w:val="22"/>
          <w:szCs w:val="22"/>
        </w:rPr>
        <w:t>18</w:t>
      </w:r>
      <w:r w:rsidR="006853E7">
        <w:rPr>
          <w:sz w:val="22"/>
          <w:szCs w:val="22"/>
        </w:rPr>
        <w:t>1</w:t>
      </w:r>
      <w:r>
        <w:rPr>
          <w:sz w:val="22"/>
          <w:szCs w:val="22"/>
        </w:rPr>
        <w:t xml:space="preserve">k </w:t>
      </w:r>
      <w:r w:rsidR="00CE561B">
        <w:rPr>
          <w:sz w:val="22"/>
          <w:szCs w:val="22"/>
        </w:rPr>
        <w:t>more</w:t>
      </w:r>
      <w:r>
        <w:rPr>
          <w:sz w:val="22"/>
          <w:szCs w:val="22"/>
        </w:rPr>
        <w:t xml:space="preserve"> than </w:t>
      </w:r>
      <w:r w:rsidR="005E0E54">
        <w:rPr>
          <w:sz w:val="22"/>
          <w:szCs w:val="22"/>
        </w:rPr>
        <w:t>is</w:t>
      </w:r>
      <w:r>
        <w:rPr>
          <w:sz w:val="22"/>
          <w:szCs w:val="22"/>
        </w:rPr>
        <w:t xml:space="preserve"> required</w:t>
      </w:r>
      <w:r w:rsidR="005E0E54">
        <w:rPr>
          <w:sz w:val="22"/>
          <w:szCs w:val="22"/>
        </w:rPr>
        <w:t xml:space="preserve"> for a standstill situation, and this is still</w:t>
      </w:r>
      <w:r>
        <w:rPr>
          <w:sz w:val="22"/>
          <w:szCs w:val="22"/>
        </w:rPr>
        <w:t xml:space="preserve"> well within normal expectations for a standstill budget sit</w:t>
      </w:r>
      <w:r w:rsidR="005E0E54">
        <w:rPr>
          <w:sz w:val="22"/>
          <w:szCs w:val="22"/>
        </w:rPr>
        <w:t>uation.</w:t>
      </w:r>
      <w:r w:rsidR="001879FE">
        <w:rPr>
          <w:sz w:val="22"/>
          <w:szCs w:val="22"/>
        </w:rPr>
        <w:t xml:space="preserve">  Although this figure would have been expected to be £40</w:t>
      </w:r>
      <w:r w:rsidR="006853E7">
        <w:rPr>
          <w:sz w:val="22"/>
          <w:szCs w:val="22"/>
        </w:rPr>
        <w:t>6</w:t>
      </w:r>
      <w:r w:rsidR="001879FE">
        <w:rPr>
          <w:sz w:val="22"/>
          <w:szCs w:val="22"/>
        </w:rPr>
        <w:t>k - £497k = -£</w:t>
      </w:r>
      <w:r w:rsidR="006853E7">
        <w:rPr>
          <w:sz w:val="22"/>
          <w:szCs w:val="22"/>
        </w:rPr>
        <w:t>91k</w:t>
      </w:r>
      <w:r w:rsidR="001879FE">
        <w:rPr>
          <w:sz w:val="22"/>
          <w:szCs w:val="22"/>
        </w:rPr>
        <w:t>, putting in the additional money reduced the need for MFG by £272k</w:t>
      </w:r>
      <w:r w:rsidR="00886210">
        <w:rPr>
          <w:sz w:val="22"/>
          <w:szCs w:val="22"/>
        </w:rPr>
        <w:t xml:space="preserve"> to give the figure of +£181k</w:t>
      </w:r>
      <w:r w:rsidR="006853E7">
        <w:rPr>
          <w:sz w:val="22"/>
          <w:szCs w:val="22"/>
        </w:rPr>
        <w:t>.</w:t>
      </w:r>
    </w:p>
    <w:p w:rsidR="00D93ED7" w:rsidRDefault="00D93ED7" w:rsidP="00392CC3">
      <w:pPr>
        <w:pStyle w:val="DeptOutNumbered"/>
        <w:numPr>
          <w:ilvl w:val="0"/>
          <w:numId w:val="0"/>
        </w:numPr>
        <w:spacing w:after="0"/>
        <w:ind w:left="720"/>
        <w:rPr>
          <w:sz w:val="22"/>
          <w:szCs w:val="22"/>
        </w:rPr>
      </w:pPr>
    </w:p>
    <w:p w:rsidR="00DB09B9" w:rsidRDefault="00DB09B9" w:rsidP="00DB09B9">
      <w:pPr>
        <w:pStyle w:val="DeptOutNumbered"/>
        <w:numPr>
          <w:ilvl w:val="0"/>
          <w:numId w:val="0"/>
        </w:numPr>
        <w:spacing w:after="0"/>
        <w:ind w:left="720"/>
        <w:rPr>
          <w:sz w:val="22"/>
          <w:szCs w:val="22"/>
        </w:rPr>
      </w:pPr>
      <w:r>
        <w:rPr>
          <w:sz w:val="22"/>
          <w:szCs w:val="22"/>
        </w:rPr>
        <w:t xml:space="preserve">In 2016/17, there are </w:t>
      </w:r>
      <w:r w:rsidR="003E10F0">
        <w:rPr>
          <w:sz w:val="22"/>
          <w:szCs w:val="22"/>
        </w:rPr>
        <w:t>3</w:t>
      </w:r>
      <w:r w:rsidR="00886210">
        <w:rPr>
          <w:sz w:val="22"/>
          <w:szCs w:val="22"/>
        </w:rPr>
        <w:t>4</w:t>
      </w:r>
      <w:r>
        <w:rPr>
          <w:sz w:val="22"/>
          <w:szCs w:val="22"/>
        </w:rPr>
        <w:t xml:space="preserve"> schools which need the protection of the MFG at a cost of £</w:t>
      </w:r>
      <w:r w:rsidR="00886210">
        <w:rPr>
          <w:sz w:val="22"/>
          <w:szCs w:val="22"/>
        </w:rPr>
        <w:t>488</w:t>
      </w:r>
      <w:r>
        <w:rPr>
          <w:sz w:val="22"/>
          <w:szCs w:val="22"/>
        </w:rPr>
        <w:t xml:space="preserve">k compared with 12 </w:t>
      </w:r>
      <w:r w:rsidR="009F3D76">
        <w:rPr>
          <w:sz w:val="22"/>
          <w:szCs w:val="22"/>
        </w:rPr>
        <w:t>schools at a cost of £</w:t>
      </w:r>
      <w:r w:rsidR="00F67A49">
        <w:rPr>
          <w:sz w:val="22"/>
          <w:szCs w:val="22"/>
        </w:rPr>
        <w:t>185</w:t>
      </w:r>
      <w:r w:rsidR="009F3D76">
        <w:rPr>
          <w:sz w:val="22"/>
          <w:szCs w:val="22"/>
        </w:rPr>
        <w:t xml:space="preserve">k </w:t>
      </w:r>
      <w:r>
        <w:rPr>
          <w:sz w:val="22"/>
          <w:szCs w:val="22"/>
        </w:rPr>
        <w:t>in 2015/16</w:t>
      </w:r>
      <w:r w:rsidR="00724610">
        <w:rPr>
          <w:sz w:val="22"/>
          <w:szCs w:val="22"/>
        </w:rPr>
        <w:t>.  T</w:t>
      </w:r>
      <w:r>
        <w:rPr>
          <w:sz w:val="22"/>
          <w:szCs w:val="22"/>
        </w:rPr>
        <w:t xml:space="preserve">his increase has been caused at least in part by the change to the IDACI factor outlined above.  Similarly there are </w:t>
      </w:r>
      <w:r w:rsidR="005709C3">
        <w:rPr>
          <w:sz w:val="22"/>
          <w:szCs w:val="22"/>
        </w:rPr>
        <w:t>32</w:t>
      </w:r>
      <w:r>
        <w:rPr>
          <w:sz w:val="22"/>
          <w:szCs w:val="22"/>
        </w:rPr>
        <w:t xml:space="preserve"> schools that gain by more than 1.5%</w:t>
      </w:r>
      <w:r w:rsidR="00724610">
        <w:rPr>
          <w:sz w:val="22"/>
          <w:szCs w:val="22"/>
        </w:rPr>
        <w:t xml:space="preserve"> per pupil</w:t>
      </w:r>
      <w:r>
        <w:rPr>
          <w:sz w:val="22"/>
          <w:szCs w:val="22"/>
        </w:rPr>
        <w:t xml:space="preserve">, </w:t>
      </w:r>
      <w:r w:rsidR="000B1C30">
        <w:rPr>
          <w:sz w:val="22"/>
          <w:szCs w:val="22"/>
        </w:rPr>
        <w:t>and</w:t>
      </w:r>
      <w:r>
        <w:rPr>
          <w:sz w:val="22"/>
          <w:szCs w:val="22"/>
        </w:rPr>
        <w:t xml:space="preserve"> if the gains were capped at 1.5% this would make a contribution of £</w:t>
      </w:r>
      <w:r w:rsidR="00494717">
        <w:rPr>
          <w:sz w:val="22"/>
          <w:szCs w:val="22"/>
        </w:rPr>
        <w:t>224</w:t>
      </w:r>
      <w:r>
        <w:rPr>
          <w:sz w:val="22"/>
          <w:szCs w:val="22"/>
        </w:rPr>
        <w:t>k towards the cost of the MFG</w:t>
      </w:r>
      <w:r w:rsidR="00494717">
        <w:rPr>
          <w:sz w:val="22"/>
          <w:szCs w:val="22"/>
        </w:rPr>
        <w:t xml:space="preserve"> leaving a net cost of £264k</w:t>
      </w:r>
      <w:r>
        <w:rPr>
          <w:sz w:val="22"/>
          <w:szCs w:val="22"/>
        </w:rPr>
        <w:t xml:space="preserve">.  </w:t>
      </w:r>
      <w:r w:rsidR="00724610">
        <w:rPr>
          <w:sz w:val="22"/>
          <w:szCs w:val="22"/>
        </w:rPr>
        <w:t>T</w:t>
      </w:r>
      <w:r>
        <w:rPr>
          <w:sz w:val="22"/>
          <w:szCs w:val="22"/>
        </w:rPr>
        <w:t>he gains could be capped at 0</w:t>
      </w:r>
      <w:r w:rsidR="00494717">
        <w:rPr>
          <w:sz w:val="22"/>
          <w:szCs w:val="22"/>
        </w:rPr>
        <w:t>.51</w:t>
      </w:r>
      <w:r>
        <w:rPr>
          <w:sz w:val="22"/>
          <w:szCs w:val="22"/>
        </w:rPr>
        <w:t xml:space="preserve">% and this would </w:t>
      </w:r>
      <w:r w:rsidR="00157A3D">
        <w:rPr>
          <w:sz w:val="22"/>
          <w:szCs w:val="22"/>
        </w:rPr>
        <w:t>over the MFG costs in full</w:t>
      </w:r>
      <w:r w:rsidR="000B1C30">
        <w:rPr>
          <w:sz w:val="22"/>
          <w:szCs w:val="22"/>
        </w:rPr>
        <w:t xml:space="preserve">, </w:t>
      </w:r>
      <w:r w:rsidR="00724610">
        <w:rPr>
          <w:sz w:val="22"/>
          <w:szCs w:val="22"/>
        </w:rPr>
        <w:t xml:space="preserve">but </w:t>
      </w:r>
      <w:r w:rsidR="000B1C30">
        <w:rPr>
          <w:sz w:val="22"/>
          <w:szCs w:val="22"/>
        </w:rPr>
        <w:t>this approach is not recommended</w:t>
      </w:r>
      <w:r>
        <w:rPr>
          <w:sz w:val="22"/>
          <w:szCs w:val="22"/>
        </w:rPr>
        <w:t>.</w:t>
      </w:r>
      <w:r w:rsidR="000B1C30">
        <w:rPr>
          <w:sz w:val="22"/>
          <w:szCs w:val="22"/>
        </w:rPr>
        <w:t xml:space="preserve">  This net cost of </w:t>
      </w:r>
      <w:r w:rsidR="00724610">
        <w:rPr>
          <w:sz w:val="22"/>
          <w:szCs w:val="22"/>
        </w:rPr>
        <w:t>£</w:t>
      </w:r>
      <w:r w:rsidR="00157A3D">
        <w:rPr>
          <w:sz w:val="22"/>
          <w:szCs w:val="22"/>
        </w:rPr>
        <w:t>264</w:t>
      </w:r>
      <w:r w:rsidR="00724610">
        <w:rPr>
          <w:sz w:val="22"/>
          <w:szCs w:val="22"/>
        </w:rPr>
        <w:t xml:space="preserve">k towards </w:t>
      </w:r>
      <w:r w:rsidR="000B1C30">
        <w:rPr>
          <w:sz w:val="22"/>
          <w:szCs w:val="22"/>
        </w:rPr>
        <w:t xml:space="preserve">the MFG is included within the </w:t>
      </w:r>
      <w:r w:rsidR="009F3D76">
        <w:rPr>
          <w:sz w:val="22"/>
          <w:szCs w:val="22"/>
        </w:rPr>
        <w:t>£</w:t>
      </w:r>
      <w:r w:rsidR="000F52AA">
        <w:rPr>
          <w:sz w:val="22"/>
          <w:szCs w:val="22"/>
        </w:rPr>
        <w:t>181</w:t>
      </w:r>
      <w:r w:rsidR="009F3D76">
        <w:rPr>
          <w:sz w:val="22"/>
          <w:szCs w:val="22"/>
        </w:rPr>
        <w:t>k s</w:t>
      </w:r>
      <w:r w:rsidR="000F52AA">
        <w:rPr>
          <w:sz w:val="22"/>
          <w:szCs w:val="22"/>
        </w:rPr>
        <w:t>urplus</w:t>
      </w:r>
      <w:r w:rsidR="000B1C30">
        <w:rPr>
          <w:sz w:val="22"/>
          <w:szCs w:val="22"/>
        </w:rPr>
        <w:t xml:space="preserve"> above.</w:t>
      </w:r>
    </w:p>
    <w:p w:rsidR="00DB09B9" w:rsidRDefault="00DB09B9" w:rsidP="00DB09B9">
      <w:pPr>
        <w:pStyle w:val="DeptOutNumbered"/>
        <w:numPr>
          <w:ilvl w:val="0"/>
          <w:numId w:val="0"/>
        </w:numPr>
        <w:spacing w:after="0"/>
        <w:ind w:left="720"/>
        <w:rPr>
          <w:sz w:val="22"/>
          <w:szCs w:val="22"/>
        </w:rPr>
      </w:pPr>
    </w:p>
    <w:p w:rsidR="004A33C7" w:rsidRDefault="004958D2" w:rsidP="00392CC3">
      <w:pPr>
        <w:pStyle w:val="DeptOutNumbered"/>
        <w:numPr>
          <w:ilvl w:val="0"/>
          <w:numId w:val="0"/>
        </w:numPr>
        <w:spacing w:after="0"/>
        <w:ind w:left="720"/>
        <w:rPr>
          <w:sz w:val="22"/>
          <w:szCs w:val="22"/>
        </w:rPr>
      </w:pPr>
      <w:r>
        <w:rPr>
          <w:sz w:val="22"/>
          <w:szCs w:val="22"/>
        </w:rPr>
        <w:t>In October 201</w:t>
      </w:r>
      <w:r w:rsidR="000E7736">
        <w:rPr>
          <w:sz w:val="22"/>
          <w:szCs w:val="22"/>
        </w:rPr>
        <w:t>5</w:t>
      </w:r>
      <w:r>
        <w:rPr>
          <w:sz w:val="22"/>
          <w:szCs w:val="22"/>
        </w:rPr>
        <w:t xml:space="preserve">, the Council’s </w:t>
      </w:r>
      <w:r w:rsidR="000E7736">
        <w:rPr>
          <w:sz w:val="22"/>
          <w:szCs w:val="22"/>
        </w:rPr>
        <w:t>Cabinet</w:t>
      </w:r>
      <w:r>
        <w:rPr>
          <w:sz w:val="22"/>
          <w:szCs w:val="22"/>
        </w:rPr>
        <w:t xml:space="preserve"> agreed that</w:t>
      </w:r>
      <w:r w:rsidR="00D7736D">
        <w:rPr>
          <w:sz w:val="22"/>
          <w:szCs w:val="22"/>
        </w:rPr>
        <w:t>, in consultation with the Schools Forum,</w:t>
      </w:r>
      <w:r w:rsidR="00D7736D" w:rsidRPr="00D7736D">
        <w:rPr>
          <w:sz w:val="22"/>
          <w:szCs w:val="22"/>
        </w:rPr>
        <w:t xml:space="preserve"> </w:t>
      </w:r>
      <w:r w:rsidR="00D7736D">
        <w:rPr>
          <w:sz w:val="22"/>
          <w:szCs w:val="22"/>
        </w:rPr>
        <w:t>in such circumstances</w:t>
      </w:r>
      <w:r>
        <w:rPr>
          <w:sz w:val="22"/>
          <w:szCs w:val="22"/>
        </w:rPr>
        <w:t xml:space="preserve"> any additional funding would be distributed </w:t>
      </w:r>
      <w:r w:rsidR="00D7736D">
        <w:rPr>
          <w:sz w:val="22"/>
          <w:szCs w:val="22"/>
        </w:rPr>
        <w:t>in accordance with the agreed principles and criteria</w:t>
      </w:r>
      <w:r>
        <w:rPr>
          <w:sz w:val="22"/>
          <w:szCs w:val="22"/>
        </w:rPr>
        <w:t>.</w:t>
      </w:r>
      <w:r w:rsidR="00C836C7">
        <w:rPr>
          <w:sz w:val="22"/>
          <w:szCs w:val="22"/>
        </w:rPr>
        <w:t xml:space="preserve">  The </w:t>
      </w:r>
      <w:r w:rsidR="005949B4">
        <w:rPr>
          <w:sz w:val="22"/>
          <w:szCs w:val="22"/>
        </w:rPr>
        <w:t>following</w:t>
      </w:r>
      <w:r w:rsidR="005E090A">
        <w:rPr>
          <w:sz w:val="22"/>
          <w:szCs w:val="22"/>
        </w:rPr>
        <w:t xml:space="preserve"> </w:t>
      </w:r>
      <w:r w:rsidR="00C836C7">
        <w:rPr>
          <w:sz w:val="22"/>
          <w:szCs w:val="22"/>
        </w:rPr>
        <w:t xml:space="preserve">increases to </w:t>
      </w:r>
      <w:r w:rsidR="005E090A">
        <w:rPr>
          <w:sz w:val="22"/>
          <w:szCs w:val="22"/>
        </w:rPr>
        <w:t xml:space="preserve">the </w:t>
      </w:r>
      <w:r w:rsidR="00C836C7">
        <w:rPr>
          <w:sz w:val="22"/>
          <w:szCs w:val="22"/>
        </w:rPr>
        <w:lastRenderedPageBreak/>
        <w:t>formula funding values are proposed which are consistent with those principles and criteria:</w:t>
      </w:r>
    </w:p>
    <w:p w:rsidR="00C836C7" w:rsidRDefault="00C836C7" w:rsidP="00392CC3">
      <w:pPr>
        <w:pStyle w:val="DeptOutNumbered"/>
        <w:numPr>
          <w:ilvl w:val="0"/>
          <w:numId w:val="0"/>
        </w:numPr>
        <w:spacing w:after="0"/>
        <w:ind w:left="720"/>
        <w:rPr>
          <w:sz w:val="22"/>
          <w:szCs w:val="22"/>
        </w:rPr>
      </w:pPr>
    </w:p>
    <w:p w:rsidR="00851E0A" w:rsidRPr="00C204E9" w:rsidRDefault="00851E0A" w:rsidP="00C836C7">
      <w:pPr>
        <w:pStyle w:val="DeptOutNumbered"/>
        <w:numPr>
          <w:ilvl w:val="0"/>
          <w:numId w:val="14"/>
        </w:numPr>
        <w:spacing w:after="0"/>
        <w:rPr>
          <w:sz w:val="22"/>
          <w:szCs w:val="22"/>
        </w:rPr>
      </w:pPr>
      <w:r w:rsidRPr="00C204E9">
        <w:rPr>
          <w:sz w:val="22"/>
          <w:szCs w:val="22"/>
        </w:rPr>
        <w:t xml:space="preserve">The value for the KS3 AWPU should be increased by £12 to take the value to the Lower Quartile figure for the country in 2015/16.  This would cost £113k gross but the net effect due to </w:t>
      </w:r>
      <w:r w:rsidR="00883D0C" w:rsidRPr="00C204E9">
        <w:rPr>
          <w:sz w:val="22"/>
          <w:szCs w:val="22"/>
        </w:rPr>
        <w:t xml:space="preserve">a </w:t>
      </w:r>
      <w:r w:rsidRPr="00C204E9">
        <w:rPr>
          <w:sz w:val="22"/>
          <w:szCs w:val="22"/>
        </w:rPr>
        <w:t>reduction in the need for MFG is £82k;</w:t>
      </w:r>
      <w:r w:rsidR="00883D0C" w:rsidRPr="00C204E9">
        <w:rPr>
          <w:sz w:val="22"/>
          <w:szCs w:val="22"/>
        </w:rPr>
        <w:t xml:space="preserve"> and</w:t>
      </w:r>
    </w:p>
    <w:p w:rsidR="00C836C7" w:rsidRPr="00C204E9" w:rsidRDefault="00883D0C" w:rsidP="00C836C7">
      <w:pPr>
        <w:pStyle w:val="DeptOutNumbered"/>
        <w:numPr>
          <w:ilvl w:val="0"/>
          <w:numId w:val="14"/>
        </w:numPr>
        <w:spacing w:after="0"/>
        <w:rPr>
          <w:sz w:val="22"/>
          <w:szCs w:val="22"/>
        </w:rPr>
      </w:pPr>
      <w:r w:rsidRPr="00C204E9">
        <w:rPr>
          <w:sz w:val="22"/>
          <w:szCs w:val="22"/>
        </w:rPr>
        <w:t>The remainder of the £181k should be added to t</w:t>
      </w:r>
      <w:r w:rsidR="003E2359" w:rsidRPr="00C204E9">
        <w:rPr>
          <w:sz w:val="22"/>
          <w:szCs w:val="22"/>
        </w:rPr>
        <w:t xml:space="preserve">he values for </w:t>
      </w:r>
      <w:r w:rsidR="006566E5" w:rsidRPr="00C204E9">
        <w:rPr>
          <w:sz w:val="22"/>
          <w:szCs w:val="22"/>
        </w:rPr>
        <w:t xml:space="preserve">the </w:t>
      </w:r>
      <w:r w:rsidR="003E2359" w:rsidRPr="00C204E9">
        <w:rPr>
          <w:sz w:val="22"/>
          <w:szCs w:val="22"/>
        </w:rPr>
        <w:t xml:space="preserve">Free School Meals </w:t>
      </w:r>
      <w:r w:rsidR="006566E5" w:rsidRPr="00C204E9">
        <w:rPr>
          <w:sz w:val="22"/>
          <w:szCs w:val="22"/>
        </w:rPr>
        <w:t xml:space="preserve">factor </w:t>
      </w:r>
      <w:r w:rsidRPr="00C204E9">
        <w:rPr>
          <w:sz w:val="22"/>
          <w:szCs w:val="22"/>
        </w:rPr>
        <w:t xml:space="preserve">by increasing </w:t>
      </w:r>
      <w:r w:rsidR="00851E0A" w:rsidRPr="00C204E9">
        <w:rPr>
          <w:sz w:val="22"/>
          <w:szCs w:val="22"/>
        </w:rPr>
        <w:t xml:space="preserve">both </w:t>
      </w:r>
      <w:r w:rsidR="003E2359" w:rsidRPr="00C204E9">
        <w:rPr>
          <w:sz w:val="22"/>
          <w:szCs w:val="22"/>
        </w:rPr>
        <w:t xml:space="preserve">primary </w:t>
      </w:r>
      <w:r w:rsidR="00851E0A" w:rsidRPr="00C204E9">
        <w:rPr>
          <w:sz w:val="22"/>
          <w:szCs w:val="22"/>
        </w:rPr>
        <w:t xml:space="preserve">and secondary </w:t>
      </w:r>
      <w:r w:rsidRPr="00C204E9">
        <w:rPr>
          <w:sz w:val="22"/>
          <w:szCs w:val="22"/>
        </w:rPr>
        <w:t xml:space="preserve">values by £39 per eligible </w:t>
      </w:r>
      <w:r w:rsidR="003E2359" w:rsidRPr="00C204E9">
        <w:rPr>
          <w:sz w:val="22"/>
          <w:szCs w:val="22"/>
        </w:rPr>
        <w:t>pupil</w:t>
      </w:r>
      <w:r w:rsidR="00851E0A" w:rsidRPr="00C204E9">
        <w:rPr>
          <w:sz w:val="22"/>
          <w:szCs w:val="22"/>
        </w:rPr>
        <w:t xml:space="preserve">.  This would </w:t>
      </w:r>
      <w:r w:rsidRPr="00C204E9">
        <w:rPr>
          <w:sz w:val="22"/>
          <w:szCs w:val="22"/>
        </w:rPr>
        <w:t xml:space="preserve">have </w:t>
      </w:r>
      <w:r w:rsidR="00851E0A" w:rsidRPr="00C204E9">
        <w:rPr>
          <w:sz w:val="22"/>
          <w:szCs w:val="22"/>
        </w:rPr>
        <w:t>cost £196k gross but the net effect due to a reduction in the need for MFG is £99k.</w:t>
      </w:r>
      <w:r w:rsidR="00C204E9" w:rsidRPr="00C204E9">
        <w:rPr>
          <w:sz w:val="22"/>
          <w:szCs w:val="22"/>
        </w:rPr>
        <w:t xml:space="preserve">  </w:t>
      </w:r>
      <w:r w:rsidRPr="00C204E9">
        <w:rPr>
          <w:sz w:val="22"/>
          <w:szCs w:val="22"/>
        </w:rPr>
        <w:t>This has the effect of increasing the percentage of</w:t>
      </w:r>
      <w:r w:rsidR="003E2359" w:rsidRPr="00C204E9">
        <w:rPr>
          <w:sz w:val="22"/>
          <w:szCs w:val="22"/>
        </w:rPr>
        <w:t xml:space="preserve"> funding for deprivation </w:t>
      </w:r>
      <w:r w:rsidRPr="00C204E9">
        <w:rPr>
          <w:sz w:val="22"/>
          <w:szCs w:val="22"/>
        </w:rPr>
        <w:t xml:space="preserve">from </w:t>
      </w:r>
      <w:r w:rsidR="00C204E9" w:rsidRPr="00C204E9">
        <w:rPr>
          <w:sz w:val="22"/>
          <w:szCs w:val="22"/>
        </w:rPr>
        <w:t>7.58</w:t>
      </w:r>
      <w:r w:rsidRPr="00C204E9">
        <w:rPr>
          <w:sz w:val="22"/>
          <w:szCs w:val="22"/>
        </w:rPr>
        <w:t xml:space="preserve">% to 7.69%, which is still below the </w:t>
      </w:r>
      <w:r w:rsidR="00C204E9" w:rsidRPr="00C204E9">
        <w:rPr>
          <w:sz w:val="22"/>
          <w:szCs w:val="22"/>
        </w:rPr>
        <w:t xml:space="preserve">Northumberland </w:t>
      </w:r>
      <w:r w:rsidRPr="00C204E9">
        <w:rPr>
          <w:sz w:val="22"/>
          <w:szCs w:val="22"/>
        </w:rPr>
        <w:t>figure for 2015/16 of £7.73% and below the national median value of</w:t>
      </w:r>
      <w:r w:rsidR="003E2359" w:rsidRPr="00C204E9">
        <w:rPr>
          <w:sz w:val="22"/>
          <w:szCs w:val="22"/>
        </w:rPr>
        <w:t xml:space="preserve"> 7.</w:t>
      </w:r>
      <w:r w:rsidRPr="00C204E9">
        <w:rPr>
          <w:sz w:val="22"/>
          <w:szCs w:val="22"/>
        </w:rPr>
        <w:t>81</w:t>
      </w:r>
      <w:r w:rsidR="003E2359" w:rsidRPr="00C204E9">
        <w:rPr>
          <w:sz w:val="22"/>
          <w:szCs w:val="22"/>
        </w:rPr>
        <w:t>%</w:t>
      </w:r>
      <w:r w:rsidRPr="00C204E9">
        <w:rPr>
          <w:sz w:val="22"/>
          <w:szCs w:val="22"/>
        </w:rPr>
        <w:t>.</w:t>
      </w:r>
    </w:p>
    <w:p w:rsidR="00851E0A" w:rsidRDefault="00851E0A" w:rsidP="003E2359">
      <w:pPr>
        <w:pStyle w:val="DeptOutNumbered"/>
        <w:numPr>
          <w:ilvl w:val="0"/>
          <w:numId w:val="0"/>
        </w:numPr>
        <w:spacing w:after="0"/>
        <w:rPr>
          <w:sz w:val="22"/>
          <w:szCs w:val="22"/>
        </w:rPr>
      </w:pPr>
    </w:p>
    <w:p w:rsidR="00851E0A" w:rsidRDefault="00447E16" w:rsidP="00851E0A">
      <w:pPr>
        <w:pStyle w:val="DeptOutNumbered"/>
        <w:numPr>
          <w:ilvl w:val="0"/>
          <w:numId w:val="0"/>
        </w:numPr>
        <w:spacing w:after="0"/>
        <w:ind w:left="720"/>
        <w:rPr>
          <w:sz w:val="22"/>
          <w:szCs w:val="22"/>
        </w:rPr>
      </w:pPr>
      <w:r>
        <w:rPr>
          <w:sz w:val="22"/>
          <w:szCs w:val="22"/>
        </w:rPr>
        <w:t>All t</w:t>
      </w:r>
      <w:r w:rsidR="00851E0A" w:rsidRPr="00EC21DF">
        <w:rPr>
          <w:sz w:val="22"/>
          <w:szCs w:val="22"/>
        </w:rPr>
        <w:t>hese proposed increases</w:t>
      </w:r>
      <w:r w:rsidR="00EC21DF" w:rsidRPr="00EC21DF">
        <w:rPr>
          <w:sz w:val="22"/>
          <w:szCs w:val="22"/>
        </w:rPr>
        <w:t>, together with the changes to the IDACI values,</w:t>
      </w:r>
      <w:r w:rsidR="00851E0A" w:rsidRPr="00EC21DF">
        <w:rPr>
          <w:sz w:val="22"/>
          <w:szCs w:val="22"/>
        </w:rPr>
        <w:t xml:space="preserve"> are included in the final column of </w:t>
      </w:r>
      <w:r w:rsidR="00851E0A" w:rsidRPr="00EC21DF">
        <w:rPr>
          <w:b/>
          <w:sz w:val="22"/>
          <w:szCs w:val="22"/>
        </w:rPr>
        <w:t>Annex </w:t>
      </w:r>
      <w:r w:rsidR="002F7CD1">
        <w:rPr>
          <w:b/>
          <w:sz w:val="22"/>
          <w:szCs w:val="22"/>
        </w:rPr>
        <w:t>3</w:t>
      </w:r>
      <w:r w:rsidR="00851E0A" w:rsidRPr="00EC21DF">
        <w:rPr>
          <w:sz w:val="22"/>
          <w:szCs w:val="22"/>
        </w:rPr>
        <w:t>.</w:t>
      </w:r>
    </w:p>
    <w:p w:rsidR="00416A4F" w:rsidRDefault="00416A4F" w:rsidP="003E2359">
      <w:pPr>
        <w:pStyle w:val="DeptOutNumbered"/>
        <w:numPr>
          <w:ilvl w:val="0"/>
          <w:numId w:val="0"/>
        </w:numPr>
        <w:spacing w:after="0"/>
        <w:ind w:left="720"/>
        <w:rPr>
          <w:sz w:val="22"/>
          <w:szCs w:val="22"/>
        </w:rPr>
      </w:pPr>
    </w:p>
    <w:p w:rsidR="00447E16" w:rsidRDefault="00447E16" w:rsidP="00447E16">
      <w:pPr>
        <w:pStyle w:val="DeptOutNumbered"/>
        <w:numPr>
          <w:ilvl w:val="0"/>
          <w:numId w:val="0"/>
        </w:numPr>
        <w:spacing w:after="0"/>
        <w:ind w:left="720"/>
        <w:rPr>
          <w:sz w:val="22"/>
          <w:szCs w:val="22"/>
        </w:rPr>
      </w:pPr>
      <w:r>
        <w:rPr>
          <w:sz w:val="22"/>
          <w:szCs w:val="22"/>
        </w:rPr>
        <w:t xml:space="preserve">With these increases, there </w:t>
      </w:r>
      <w:r w:rsidR="00D03078">
        <w:rPr>
          <w:sz w:val="22"/>
          <w:szCs w:val="22"/>
        </w:rPr>
        <w:t>would then be</w:t>
      </w:r>
      <w:r>
        <w:rPr>
          <w:sz w:val="22"/>
          <w:szCs w:val="22"/>
        </w:rPr>
        <w:t xml:space="preserve"> 3</w:t>
      </w:r>
      <w:r w:rsidR="00876C9C">
        <w:rPr>
          <w:sz w:val="22"/>
          <w:szCs w:val="22"/>
        </w:rPr>
        <w:t>2</w:t>
      </w:r>
      <w:r>
        <w:rPr>
          <w:sz w:val="22"/>
          <w:szCs w:val="22"/>
        </w:rPr>
        <w:t xml:space="preserve"> schools which need the protection of the MFG at a cost of £4</w:t>
      </w:r>
      <w:r w:rsidR="00876C9C">
        <w:rPr>
          <w:sz w:val="22"/>
          <w:szCs w:val="22"/>
        </w:rPr>
        <w:t>14</w:t>
      </w:r>
      <w:r>
        <w:rPr>
          <w:sz w:val="22"/>
          <w:szCs w:val="22"/>
        </w:rPr>
        <w:t xml:space="preserve">k, and there </w:t>
      </w:r>
      <w:r w:rsidR="00D03078">
        <w:rPr>
          <w:sz w:val="22"/>
          <w:szCs w:val="22"/>
        </w:rPr>
        <w:t>would be</w:t>
      </w:r>
      <w:r>
        <w:rPr>
          <w:sz w:val="22"/>
          <w:szCs w:val="22"/>
        </w:rPr>
        <w:t xml:space="preserve"> 3</w:t>
      </w:r>
      <w:r w:rsidR="00876C9C">
        <w:rPr>
          <w:sz w:val="22"/>
          <w:szCs w:val="22"/>
        </w:rPr>
        <w:t>7</w:t>
      </w:r>
      <w:r>
        <w:rPr>
          <w:sz w:val="22"/>
          <w:szCs w:val="22"/>
        </w:rPr>
        <w:t xml:space="preserve"> schools that gain by more than 1.5% per pupil, and </w:t>
      </w:r>
      <w:r w:rsidR="008660E6">
        <w:rPr>
          <w:sz w:val="22"/>
          <w:szCs w:val="22"/>
        </w:rPr>
        <w:t>with</w:t>
      </w:r>
      <w:r>
        <w:rPr>
          <w:sz w:val="22"/>
          <w:szCs w:val="22"/>
        </w:rPr>
        <w:t xml:space="preserve"> the gains capped at 1.5% this would make a contribution of £2</w:t>
      </w:r>
      <w:r w:rsidR="00876C9C">
        <w:rPr>
          <w:sz w:val="22"/>
          <w:szCs w:val="22"/>
        </w:rPr>
        <w:t>78</w:t>
      </w:r>
      <w:r>
        <w:rPr>
          <w:sz w:val="22"/>
          <w:szCs w:val="22"/>
        </w:rPr>
        <w:t>k towards the cost of the MFG leaving a net cost of £</w:t>
      </w:r>
      <w:r w:rsidR="00876C9C">
        <w:rPr>
          <w:sz w:val="22"/>
          <w:szCs w:val="22"/>
        </w:rPr>
        <w:t>13</w:t>
      </w:r>
      <w:r>
        <w:rPr>
          <w:sz w:val="22"/>
          <w:szCs w:val="22"/>
        </w:rPr>
        <w:t>6k.</w:t>
      </w:r>
    </w:p>
    <w:p w:rsidR="00447E16" w:rsidRDefault="00447E16" w:rsidP="00447E16">
      <w:pPr>
        <w:pStyle w:val="DeptOutNumbered"/>
        <w:numPr>
          <w:ilvl w:val="0"/>
          <w:numId w:val="0"/>
        </w:numPr>
        <w:spacing w:after="0"/>
        <w:ind w:left="720"/>
        <w:rPr>
          <w:sz w:val="22"/>
          <w:szCs w:val="22"/>
        </w:rPr>
      </w:pPr>
    </w:p>
    <w:p w:rsidR="00392CC3" w:rsidRPr="007230F0" w:rsidRDefault="00952AD2" w:rsidP="00E666FE">
      <w:pPr>
        <w:keepNext/>
        <w:overflowPunct w:val="0"/>
        <w:autoSpaceDE w:val="0"/>
        <w:autoSpaceDN w:val="0"/>
        <w:adjustRightInd w:val="0"/>
        <w:ind w:left="3168" w:hanging="2448"/>
        <w:textAlignment w:val="baseline"/>
        <w:rPr>
          <w:rFonts w:cs="Arial"/>
          <w:b/>
        </w:rPr>
      </w:pPr>
      <w:r>
        <w:rPr>
          <w:rFonts w:cs="Arial"/>
          <w:b/>
        </w:rPr>
        <w:t>R</w:t>
      </w:r>
      <w:r w:rsidR="007230F0">
        <w:rPr>
          <w:rFonts w:cs="Arial"/>
          <w:b/>
        </w:rPr>
        <w:t xml:space="preserve">ecommendation </w:t>
      </w:r>
      <w:r w:rsidR="00616248">
        <w:rPr>
          <w:rFonts w:cs="Arial"/>
          <w:b/>
        </w:rPr>
        <w:t>5</w:t>
      </w:r>
      <w:r>
        <w:rPr>
          <w:rFonts w:cs="Arial"/>
          <w:b/>
        </w:rPr>
        <w:t>:</w:t>
      </w:r>
      <w:r>
        <w:rPr>
          <w:rFonts w:cs="Arial"/>
          <w:b/>
        </w:rPr>
        <w:tab/>
      </w:r>
      <w:r w:rsidR="00392CC3" w:rsidRPr="00B2214F">
        <w:rPr>
          <w:rFonts w:cs="Arial"/>
          <w:b/>
        </w:rPr>
        <w:t xml:space="preserve">The Schools Block </w:t>
      </w:r>
      <w:r w:rsidR="00780C13">
        <w:rPr>
          <w:rFonts w:cs="Arial"/>
          <w:b/>
        </w:rPr>
        <w:t xml:space="preserve">be set </w:t>
      </w:r>
      <w:r w:rsidR="00436A73" w:rsidRPr="00B2214F">
        <w:rPr>
          <w:rFonts w:cs="Arial"/>
          <w:b/>
        </w:rPr>
        <w:t>at £17</w:t>
      </w:r>
      <w:r w:rsidR="00392CC3" w:rsidRPr="00B2214F">
        <w:rPr>
          <w:rFonts w:cs="Arial"/>
          <w:b/>
        </w:rPr>
        <w:t>7,</w:t>
      </w:r>
      <w:r w:rsidR="00B2214F" w:rsidRPr="00B2214F">
        <w:rPr>
          <w:rFonts w:cs="Arial"/>
          <w:b/>
        </w:rPr>
        <w:t xml:space="preserve">292,158 </w:t>
      </w:r>
      <w:r w:rsidR="00392CC3" w:rsidRPr="00B2214F">
        <w:rPr>
          <w:rFonts w:cs="Arial"/>
          <w:b/>
        </w:rPr>
        <w:t xml:space="preserve">which includes the virement </w:t>
      </w:r>
      <w:r w:rsidR="00E81236" w:rsidRPr="00B2214F">
        <w:rPr>
          <w:rFonts w:cs="Arial"/>
          <w:b/>
        </w:rPr>
        <w:t xml:space="preserve">in </w:t>
      </w:r>
      <w:r w:rsidR="00392CC3" w:rsidRPr="00B2214F">
        <w:rPr>
          <w:rFonts w:cs="Arial"/>
          <w:b/>
        </w:rPr>
        <w:t>of £1,174,920 from the High Needs Block in respect of SEN Home to School Transport</w:t>
      </w:r>
      <w:r w:rsidR="000F46AA" w:rsidRPr="00B2214F">
        <w:rPr>
          <w:rFonts w:cs="Arial"/>
          <w:b/>
        </w:rPr>
        <w:t xml:space="preserve"> </w:t>
      </w:r>
      <w:r w:rsidR="00E81236" w:rsidRPr="00B2214F">
        <w:rPr>
          <w:rFonts w:cs="Arial"/>
          <w:b/>
        </w:rPr>
        <w:t xml:space="preserve">as well as </w:t>
      </w:r>
      <w:r w:rsidR="000F46AA" w:rsidRPr="00B2214F">
        <w:rPr>
          <w:rFonts w:cs="Arial"/>
          <w:b/>
        </w:rPr>
        <w:t>the virement of £</w:t>
      </w:r>
      <w:r w:rsidR="00B2214F" w:rsidRPr="00B2214F">
        <w:rPr>
          <w:rFonts w:cs="Arial"/>
          <w:b/>
        </w:rPr>
        <w:t>6</w:t>
      </w:r>
      <w:r w:rsidR="000F46AA" w:rsidRPr="00B2214F">
        <w:rPr>
          <w:rFonts w:cs="Arial"/>
          <w:b/>
        </w:rPr>
        <w:t>20,00</w:t>
      </w:r>
      <w:r w:rsidR="009140F1" w:rsidRPr="00B2214F">
        <w:rPr>
          <w:rFonts w:cs="Arial"/>
          <w:b/>
        </w:rPr>
        <w:t>0</w:t>
      </w:r>
      <w:r w:rsidR="000F46AA" w:rsidRPr="00B2214F">
        <w:rPr>
          <w:rFonts w:cs="Arial"/>
          <w:b/>
        </w:rPr>
        <w:t xml:space="preserve"> </w:t>
      </w:r>
      <w:r w:rsidR="00E81236" w:rsidRPr="00B2214F">
        <w:rPr>
          <w:rFonts w:cs="Arial"/>
          <w:b/>
        </w:rPr>
        <w:t xml:space="preserve">out </w:t>
      </w:r>
      <w:r w:rsidR="000F46AA" w:rsidRPr="00B2214F">
        <w:rPr>
          <w:rFonts w:cs="Arial"/>
          <w:b/>
        </w:rPr>
        <w:t>to the High Needs Block</w:t>
      </w:r>
      <w:r w:rsidR="00B2214F" w:rsidRPr="00B2214F">
        <w:rPr>
          <w:rFonts w:cs="Arial"/>
          <w:b/>
        </w:rPr>
        <w:t xml:space="preserve"> in respect of the increased number </w:t>
      </w:r>
      <w:r w:rsidR="001B513E">
        <w:rPr>
          <w:rFonts w:cs="Arial"/>
          <w:b/>
        </w:rPr>
        <w:t xml:space="preserve">and cost </w:t>
      </w:r>
      <w:r w:rsidR="00B2214F" w:rsidRPr="00B2214F">
        <w:rPr>
          <w:rFonts w:cs="Arial"/>
          <w:b/>
        </w:rPr>
        <w:t>of excluded pupils</w:t>
      </w:r>
      <w:r w:rsidR="007254E6" w:rsidRPr="00B2214F">
        <w:rPr>
          <w:rFonts w:cs="Arial"/>
          <w:b/>
        </w:rPr>
        <w:t>.</w:t>
      </w:r>
    </w:p>
    <w:p w:rsidR="00392CC3" w:rsidRPr="00D41EA5" w:rsidRDefault="00392CC3" w:rsidP="007230F0">
      <w:pPr>
        <w:ind w:left="1440"/>
        <w:rPr>
          <w:rFonts w:cs="Arial"/>
          <w:b/>
        </w:rPr>
      </w:pPr>
    </w:p>
    <w:p w:rsidR="00455B77" w:rsidRPr="00D41EA5" w:rsidRDefault="00616248" w:rsidP="00E666FE">
      <w:pPr>
        <w:keepNext/>
        <w:overflowPunct w:val="0"/>
        <w:autoSpaceDE w:val="0"/>
        <w:autoSpaceDN w:val="0"/>
        <w:adjustRightInd w:val="0"/>
        <w:ind w:left="3168" w:hanging="2448"/>
        <w:textAlignment w:val="baseline"/>
        <w:rPr>
          <w:rFonts w:cs="Arial"/>
          <w:b/>
        </w:rPr>
      </w:pPr>
      <w:r>
        <w:rPr>
          <w:rFonts w:cs="Arial"/>
          <w:b/>
        </w:rPr>
        <w:t>Recommendation 6</w:t>
      </w:r>
      <w:r w:rsidR="00952AD2">
        <w:rPr>
          <w:rFonts w:cs="Arial"/>
          <w:b/>
        </w:rPr>
        <w:t>:</w:t>
      </w:r>
      <w:r w:rsidR="00952AD2">
        <w:rPr>
          <w:rFonts w:cs="Arial"/>
          <w:b/>
        </w:rPr>
        <w:tab/>
      </w:r>
      <w:r w:rsidR="00352177" w:rsidRPr="00D41EA5">
        <w:rPr>
          <w:rFonts w:cs="Arial"/>
          <w:b/>
        </w:rPr>
        <w:t xml:space="preserve">Centrally retained budgets within the schools block </w:t>
      </w:r>
      <w:r w:rsidR="00780C13">
        <w:rPr>
          <w:rFonts w:cs="Arial"/>
          <w:b/>
        </w:rPr>
        <w:t>be</w:t>
      </w:r>
      <w:r w:rsidR="00352177" w:rsidRPr="00D41EA5">
        <w:rPr>
          <w:rFonts w:cs="Arial"/>
          <w:b/>
        </w:rPr>
        <w:t xml:space="preserve"> set at the values shown in the table </w:t>
      </w:r>
      <w:r w:rsidR="009A3ED2" w:rsidRPr="00D41EA5">
        <w:rPr>
          <w:rFonts w:cs="Arial"/>
          <w:b/>
        </w:rPr>
        <w:t>in Annex </w:t>
      </w:r>
      <w:r w:rsidR="002F7CD1">
        <w:rPr>
          <w:rFonts w:cs="Arial"/>
          <w:b/>
        </w:rPr>
        <w:t>2</w:t>
      </w:r>
      <w:r w:rsidR="007254E6">
        <w:rPr>
          <w:rFonts w:cs="Arial"/>
          <w:b/>
        </w:rPr>
        <w:t>.</w:t>
      </w:r>
    </w:p>
    <w:p w:rsidR="006935CE" w:rsidRPr="00D41EA5" w:rsidRDefault="006935CE" w:rsidP="007230F0">
      <w:pPr>
        <w:ind w:left="360"/>
        <w:rPr>
          <w:rFonts w:cs="Arial"/>
          <w:b/>
        </w:rPr>
      </w:pPr>
    </w:p>
    <w:p w:rsidR="00455B77" w:rsidRPr="00D41EA5" w:rsidRDefault="00616248" w:rsidP="00E666FE">
      <w:pPr>
        <w:keepNext/>
        <w:overflowPunct w:val="0"/>
        <w:autoSpaceDE w:val="0"/>
        <w:autoSpaceDN w:val="0"/>
        <w:adjustRightInd w:val="0"/>
        <w:ind w:left="3168" w:hanging="2448"/>
        <w:textAlignment w:val="baseline"/>
        <w:rPr>
          <w:rFonts w:cs="Arial"/>
          <w:b/>
        </w:rPr>
      </w:pPr>
      <w:r>
        <w:rPr>
          <w:rFonts w:cs="Arial"/>
          <w:b/>
        </w:rPr>
        <w:t>Recommendation 7</w:t>
      </w:r>
      <w:r w:rsidR="00952AD2">
        <w:rPr>
          <w:rFonts w:cs="Arial"/>
          <w:b/>
        </w:rPr>
        <w:t>:</w:t>
      </w:r>
      <w:r w:rsidR="00952AD2">
        <w:rPr>
          <w:rFonts w:cs="Arial"/>
          <w:b/>
        </w:rPr>
        <w:tab/>
      </w:r>
      <w:r w:rsidR="00952AD2" w:rsidRPr="00C21A07">
        <w:rPr>
          <w:rFonts w:cs="Arial"/>
          <w:b/>
        </w:rPr>
        <w:t>S</w:t>
      </w:r>
      <w:r w:rsidR="00352177" w:rsidRPr="00C21A07">
        <w:rPr>
          <w:rFonts w:cs="Arial"/>
          <w:b/>
        </w:rPr>
        <w:t xml:space="preserve">chool budget shares </w:t>
      </w:r>
      <w:r w:rsidR="00780C13">
        <w:rPr>
          <w:rFonts w:cs="Arial"/>
          <w:b/>
        </w:rPr>
        <w:t>be</w:t>
      </w:r>
      <w:r w:rsidR="00352177" w:rsidRPr="00C21A07">
        <w:rPr>
          <w:rFonts w:cs="Arial"/>
          <w:b/>
        </w:rPr>
        <w:t xml:space="preserve"> constructed based on the formula values </w:t>
      </w:r>
      <w:r w:rsidR="009A3ED2" w:rsidRPr="00C21A07">
        <w:rPr>
          <w:rFonts w:cs="Arial"/>
          <w:b/>
        </w:rPr>
        <w:t xml:space="preserve">shown </w:t>
      </w:r>
      <w:r w:rsidR="00A317AA" w:rsidRPr="00C21A07">
        <w:rPr>
          <w:rFonts w:cs="Arial"/>
          <w:b/>
        </w:rPr>
        <w:t xml:space="preserve">the final column of </w:t>
      </w:r>
      <w:r w:rsidR="009A3ED2" w:rsidRPr="00C21A07">
        <w:rPr>
          <w:rFonts w:cs="Arial"/>
          <w:b/>
        </w:rPr>
        <w:t>Annex </w:t>
      </w:r>
      <w:r w:rsidR="002F7CD1">
        <w:rPr>
          <w:rFonts w:cs="Arial"/>
          <w:b/>
        </w:rPr>
        <w:t>3</w:t>
      </w:r>
      <w:r w:rsidR="007254E6" w:rsidRPr="00C21A07">
        <w:rPr>
          <w:rFonts w:cs="Arial"/>
          <w:b/>
        </w:rPr>
        <w:t>.</w:t>
      </w:r>
    </w:p>
    <w:p w:rsidR="002F6324" w:rsidRPr="00D41EA5" w:rsidRDefault="002F6324" w:rsidP="007230F0">
      <w:pPr>
        <w:pStyle w:val="ListParagraph"/>
        <w:ind w:left="1080"/>
        <w:rPr>
          <w:rFonts w:cs="Arial"/>
          <w:b/>
        </w:rPr>
      </w:pPr>
    </w:p>
    <w:p w:rsidR="00D01422" w:rsidRDefault="00616248" w:rsidP="00D01422">
      <w:pPr>
        <w:keepNext/>
        <w:overflowPunct w:val="0"/>
        <w:autoSpaceDE w:val="0"/>
        <w:autoSpaceDN w:val="0"/>
        <w:adjustRightInd w:val="0"/>
        <w:ind w:left="3168" w:hanging="2448"/>
        <w:textAlignment w:val="baseline"/>
        <w:rPr>
          <w:rFonts w:cs="Arial"/>
          <w:b/>
        </w:rPr>
      </w:pPr>
      <w:r>
        <w:rPr>
          <w:rFonts w:cs="Arial"/>
          <w:b/>
        </w:rPr>
        <w:t>Recommendation 8</w:t>
      </w:r>
      <w:r w:rsidR="00952AD2">
        <w:rPr>
          <w:rFonts w:cs="Arial"/>
          <w:b/>
        </w:rPr>
        <w:t>:</w:t>
      </w:r>
      <w:r w:rsidR="00952AD2">
        <w:rPr>
          <w:rFonts w:cs="Arial"/>
          <w:b/>
        </w:rPr>
        <w:tab/>
      </w:r>
      <w:r w:rsidR="00D01422">
        <w:rPr>
          <w:rFonts w:cs="Arial"/>
          <w:b/>
        </w:rPr>
        <w:t>Schools gains</w:t>
      </w:r>
      <w:r w:rsidR="008660E6">
        <w:rPr>
          <w:rFonts w:cs="Arial"/>
          <w:b/>
        </w:rPr>
        <w:t xml:space="preserve"> be</w:t>
      </w:r>
      <w:r w:rsidR="00D01422">
        <w:rPr>
          <w:rFonts w:cs="Arial"/>
          <w:b/>
        </w:rPr>
        <w:t xml:space="preserve"> capped at 1.5% per pupil to contribute towards the costs of the MFG.</w:t>
      </w:r>
    </w:p>
    <w:p w:rsidR="00D01422" w:rsidRDefault="00D01422" w:rsidP="00D01422">
      <w:pPr>
        <w:keepNext/>
        <w:overflowPunct w:val="0"/>
        <w:autoSpaceDE w:val="0"/>
        <w:autoSpaceDN w:val="0"/>
        <w:adjustRightInd w:val="0"/>
        <w:ind w:left="3168" w:hanging="2448"/>
        <w:textAlignment w:val="baseline"/>
        <w:rPr>
          <w:rFonts w:cs="Arial"/>
          <w:b/>
        </w:rPr>
      </w:pPr>
    </w:p>
    <w:p w:rsidR="004140F5" w:rsidRDefault="00D01422" w:rsidP="00D01422">
      <w:pPr>
        <w:keepNext/>
        <w:overflowPunct w:val="0"/>
        <w:autoSpaceDE w:val="0"/>
        <w:autoSpaceDN w:val="0"/>
        <w:adjustRightInd w:val="0"/>
        <w:ind w:left="3168" w:hanging="2448"/>
        <w:textAlignment w:val="baseline"/>
        <w:rPr>
          <w:rFonts w:cs="Arial"/>
          <w:b/>
        </w:rPr>
      </w:pPr>
      <w:r>
        <w:rPr>
          <w:rFonts w:cs="Arial"/>
          <w:b/>
        </w:rPr>
        <w:t xml:space="preserve"> </w:t>
      </w:r>
    </w:p>
    <w:p w:rsidR="007254E6" w:rsidRDefault="0037624D" w:rsidP="00625905">
      <w:pPr>
        <w:keepNext/>
        <w:ind w:left="720"/>
        <w:rPr>
          <w:rFonts w:cs="Arial"/>
          <w:b/>
          <w:u w:val="single"/>
        </w:rPr>
      </w:pPr>
      <w:r w:rsidRPr="0037624D">
        <w:rPr>
          <w:rFonts w:cs="Arial"/>
          <w:b/>
          <w:u w:val="single"/>
        </w:rPr>
        <w:t>De-Delegation</w:t>
      </w:r>
    </w:p>
    <w:p w:rsidR="0037624D" w:rsidRPr="0037624D" w:rsidRDefault="0037624D" w:rsidP="00625905">
      <w:pPr>
        <w:keepNext/>
        <w:ind w:left="720"/>
        <w:rPr>
          <w:rFonts w:cs="Arial"/>
        </w:rPr>
      </w:pPr>
    </w:p>
    <w:p w:rsidR="002F45FC" w:rsidRDefault="002F45FC" w:rsidP="00625905">
      <w:pPr>
        <w:keepNext/>
        <w:ind w:left="720"/>
        <w:rPr>
          <w:rFonts w:cs="Arial"/>
        </w:rPr>
      </w:pPr>
      <w:r>
        <w:rPr>
          <w:rFonts w:cs="Arial"/>
        </w:rPr>
        <w:t xml:space="preserve">There are </w:t>
      </w:r>
      <w:r w:rsidRPr="00D5520D">
        <w:rPr>
          <w:rFonts w:cs="Arial"/>
        </w:rPr>
        <w:t>f</w:t>
      </w:r>
      <w:r w:rsidR="00C002A1">
        <w:rPr>
          <w:rFonts w:cs="Arial"/>
        </w:rPr>
        <w:t>our</w:t>
      </w:r>
      <w:r>
        <w:rPr>
          <w:rFonts w:cs="Arial"/>
        </w:rPr>
        <w:t xml:space="preserve"> services</w:t>
      </w:r>
      <w:r w:rsidR="00E86615">
        <w:rPr>
          <w:rFonts w:cs="Arial"/>
        </w:rPr>
        <w:t>,</w:t>
      </w:r>
      <w:r>
        <w:rPr>
          <w:rFonts w:cs="Arial"/>
        </w:rPr>
        <w:t xml:space="preserve"> the funding for which is included within the formula:</w:t>
      </w:r>
    </w:p>
    <w:p w:rsidR="002F45FC" w:rsidRPr="000555EE" w:rsidRDefault="00C14E73" w:rsidP="00625905">
      <w:pPr>
        <w:keepNext/>
        <w:spacing w:before="120"/>
        <w:ind w:left="1440"/>
        <w:rPr>
          <w:rFonts w:cs="Arial"/>
        </w:rPr>
      </w:pPr>
      <w:r>
        <w:rPr>
          <w:rFonts w:cs="Arial"/>
        </w:rPr>
        <w:t xml:space="preserve">Determination of </w:t>
      </w:r>
      <w:r w:rsidR="002F45FC" w:rsidRPr="000555EE">
        <w:rPr>
          <w:rFonts w:cs="Arial"/>
        </w:rPr>
        <w:t>FSM Eligibility</w:t>
      </w:r>
    </w:p>
    <w:p w:rsidR="002F45FC" w:rsidRPr="000555EE" w:rsidRDefault="002F45FC" w:rsidP="00625905">
      <w:pPr>
        <w:keepNext/>
        <w:ind w:left="1440"/>
        <w:rPr>
          <w:rFonts w:cs="Arial"/>
        </w:rPr>
      </w:pPr>
      <w:r w:rsidRPr="000555EE">
        <w:rPr>
          <w:rFonts w:cs="Arial"/>
        </w:rPr>
        <w:t>Behaviour Support</w:t>
      </w:r>
      <w:r w:rsidR="00C14E73">
        <w:rPr>
          <w:rFonts w:cs="Arial"/>
        </w:rPr>
        <w:t xml:space="preserve"> Services</w:t>
      </w:r>
    </w:p>
    <w:p w:rsidR="002F45FC" w:rsidRPr="000555EE" w:rsidRDefault="002F45FC" w:rsidP="00625905">
      <w:pPr>
        <w:keepNext/>
        <w:ind w:left="1440"/>
        <w:rPr>
          <w:rFonts w:cs="Arial"/>
        </w:rPr>
      </w:pPr>
      <w:r w:rsidRPr="000555EE">
        <w:rPr>
          <w:rFonts w:cs="Arial"/>
        </w:rPr>
        <w:t>EAL</w:t>
      </w:r>
    </w:p>
    <w:p w:rsidR="002F45FC" w:rsidRDefault="002F45FC" w:rsidP="00625905">
      <w:pPr>
        <w:keepNext/>
        <w:ind w:left="1440"/>
        <w:rPr>
          <w:rFonts w:cs="Arial"/>
        </w:rPr>
      </w:pPr>
      <w:r w:rsidRPr="000555EE">
        <w:rPr>
          <w:rFonts w:cs="Arial"/>
        </w:rPr>
        <w:t>Trades Union Facility Time</w:t>
      </w:r>
      <w:r w:rsidR="00C002A1">
        <w:rPr>
          <w:rFonts w:cs="Arial"/>
        </w:rPr>
        <w:t>.</w:t>
      </w:r>
    </w:p>
    <w:p w:rsidR="0037624D" w:rsidRDefault="00E24E7C" w:rsidP="00625905">
      <w:pPr>
        <w:spacing w:before="120"/>
        <w:ind w:left="720"/>
        <w:rPr>
          <w:rFonts w:cs="Arial"/>
        </w:rPr>
      </w:pPr>
      <w:r>
        <w:rPr>
          <w:rFonts w:cs="Arial"/>
        </w:rPr>
        <w:t>T</w:t>
      </w:r>
      <w:r w:rsidR="002F45FC">
        <w:rPr>
          <w:rFonts w:cs="Arial"/>
        </w:rPr>
        <w:t xml:space="preserve">he Regulations permit that these services be centrally retained </w:t>
      </w:r>
      <w:r w:rsidR="00625905">
        <w:rPr>
          <w:rFonts w:cs="Arial"/>
        </w:rPr>
        <w:t xml:space="preserve">for maintained schools </w:t>
      </w:r>
      <w:r w:rsidR="00690B18">
        <w:rPr>
          <w:rFonts w:cs="Arial"/>
        </w:rPr>
        <w:t>by the de-delegation of the funding from</w:t>
      </w:r>
      <w:r w:rsidR="002F45FC">
        <w:rPr>
          <w:rFonts w:cs="Arial"/>
        </w:rPr>
        <w:t xml:space="preserve"> maintained schools </w:t>
      </w:r>
      <w:r w:rsidR="00690B18">
        <w:rPr>
          <w:rFonts w:cs="Arial"/>
        </w:rPr>
        <w:t>(but not from academies) with the specific approval of the relevant members of the Schools Forum.</w:t>
      </w:r>
      <w:r w:rsidR="00625905">
        <w:rPr>
          <w:rFonts w:cs="Arial"/>
        </w:rPr>
        <w:t xml:space="preserve">  Academies are, however, free to purchase these services, either through a SLA or on a Pay As You Go basis.  Special Schools and the PRU are not affected by the de</w:t>
      </w:r>
      <w:r>
        <w:rPr>
          <w:rFonts w:cs="Arial"/>
        </w:rPr>
        <w:noBreakHyphen/>
      </w:r>
      <w:r w:rsidR="00625905">
        <w:rPr>
          <w:rFonts w:cs="Arial"/>
        </w:rPr>
        <w:t xml:space="preserve">delegation, </w:t>
      </w:r>
      <w:r w:rsidR="00C002A1">
        <w:rPr>
          <w:rFonts w:cs="Arial"/>
        </w:rPr>
        <w:t>but</w:t>
      </w:r>
      <w:r w:rsidR="00625905">
        <w:rPr>
          <w:rFonts w:cs="Arial"/>
        </w:rPr>
        <w:t xml:space="preserve"> can also participate through </w:t>
      </w:r>
      <w:r w:rsidR="00217EDC">
        <w:rPr>
          <w:rFonts w:cs="Arial"/>
        </w:rPr>
        <w:t>the</w:t>
      </w:r>
      <w:r w:rsidR="00625905">
        <w:rPr>
          <w:rFonts w:cs="Arial"/>
        </w:rPr>
        <w:t xml:space="preserve"> SLA or on a Pay As You Go basis.</w:t>
      </w:r>
    </w:p>
    <w:p w:rsidR="0037624D" w:rsidRDefault="0037624D" w:rsidP="002F45FC">
      <w:pPr>
        <w:ind w:left="720"/>
        <w:rPr>
          <w:rFonts w:cs="Arial"/>
        </w:rPr>
      </w:pPr>
    </w:p>
    <w:p w:rsidR="007D0E73" w:rsidRDefault="008876A0" w:rsidP="002F45FC">
      <w:pPr>
        <w:ind w:left="720"/>
        <w:rPr>
          <w:rFonts w:cs="Arial"/>
        </w:rPr>
      </w:pPr>
      <w:r>
        <w:rPr>
          <w:rFonts w:cs="Arial"/>
        </w:rPr>
        <w:t>De-</w:t>
      </w:r>
      <w:r w:rsidR="006100B5">
        <w:rPr>
          <w:rFonts w:cs="Arial"/>
        </w:rPr>
        <w:t>d</w:t>
      </w:r>
      <w:r>
        <w:rPr>
          <w:rFonts w:cs="Arial"/>
        </w:rPr>
        <w:t xml:space="preserve">elegation </w:t>
      </w:r>
      <w:r w:rsidR="00C002A1">
        <w:rPr>
          <w:rFonts w:cs="Arial"/>
        </w:rPr>
        <w:t>is</w:t>
      </w:r>
      <w:r>
        <w:rPr>
          <w:rFonts w:cs="Arial"/>
        </w:rPr>
        <w:t xml:space="preserve"> an integral part of the </w:t>
      </w:r>
      <w:r w:rsidR="00C002A1">
        <w:rPr>
          <w:rFonts w:cs="Arial"/>
        </w:rPr>
        <w:t>way in which these services</w:t>
      </w:r>
      <w:r w:rsidR="005F0071">
        <w:rPr>
          <w:rFonts w:cs="Arial"/>
        </w:rPr>
        <w:t xml:space="preserve"> are funded and any changes would require a significant </w:t>
      </w:r>
      <w:r w:rsidR="006B1582">
        <w:rPr>
          <w:rFonts w:cs="Arial"/>
        </w:rPr>
        <w:t xml:space="preserve">change of the way of working with schools.  </w:t>
      </w:r>
      <w:r w:rsidR="006B1582">
        <w:rPr>
          <w:rFonts w:cs="Arial"/>
        </w:rPr>
        <w:lastRenderedPageBreak/>
        <w:t>Anecdotal evidence suggests that schools are content with the de-delegation of the funding for these four services.</w:t>
      </w:r>
      <w:r w:rsidR="006100B5">
        <w:rPr>
          <w:rFonts w:cs="Arial"/>
        </w:rPr>
        <w:t xml:space="preserve">  Schools Forum agreed to de-delegate from all phases during </w:t>
      </w:r>
      <w:r w:rsidR="001235BC">
        <w:rPr>
          <w:rFonts w:cs="Arial"/>
        </w:rPr>
        <w:t xml:space="preserve">all years since </w:t>
      </w:r>
      <w:r w:rsidR="006100B5">
        <w:rPr>
          <w:rFonts w:cs="Arial"/>
        </w:rPr>
        <w:t xml:space="preserve">2013/14 </w:t>
      </w:r>
      <w:r w:rsidR="001235BC">
        <w:rPr>
          <w:rFonts w:cs="Arial"/>
        </w:rPr>
        <w:t>when the de-delegation regime was first introduced</w:t>
      </w:r>
      <w:r w:rsidR="006B1582">
        <w:rPr>
          <w:rFonts w:cs="Arial"/>
        </w:rPr>
        <w:t>, and it recommended that these are agreed again for 201</w:t>
      </w:r>
      <w:r w:rsidR="001235BC">
        <w:rPr>
          <w:rFonts w:cs="Arial"/>
        </w:rPr>
        <w:t>6</w:t>
      </w:r>
      <w:r w:rsidR="006B1582">
        <w:rPr>
          <w:rFonts w:cs="Arial"/>
        </w:rPr>
        <w:t>/1</w:t>
      </w:r>
      <w:r w:rsidR="001235BC">
        <w:rPr>
          <w:rFonts w:cs="Arial"/>
        </w:rPr>
        <w:t>7</w:t>
      </w:r>
      <w:r w:rsidR="001D6DE1">
        <w:rPr>
          <w:rFonts w:cs="Arial"/>
        </w:rPr>
        <w:t xml:space="preserve"> using the cash values set out in </w:t>
      </w:r>
      <w:r w:rsidR="001D6DE1" w:rsidRPr="00236EF9">
        <w:rPr>
          <w:rFonts w:cs="Arial"/>
          <w:b/>
        </w:rPr>
        <w:t xml:space="preserve">Annex </w:t>
      </w:r>
      <w:r w:rsidR="002F7CD1">
        <w:rPr>
          <w:rFonts w:cs="Arial"/>
          <w:b/>
        </w:rPr>
        <w:t>3</w:t>
      </w:r>
      <w:r w:rsidR="006B1582">
        <w:rPr>
          <w:rFonts w:cs="Arial"/>
        </w:rPr>
        <w:t>.</w:t>
      </w:r>
    </w:p>
    <w:p w:rsidR="00AF0EBB" w:rsidRDefault="00AF0EBB" w:rsidP="002F45FC">
      <w:pPr>
        <w:ind w:left="720"/>
        <w:rPr>
          <w:rFonts w:cs="Arial"/>
        </w:rPr>
      </w:pPr>
    </w:p>
    <w:p w:rsidR="0037624D" w:rsidRDefault="00616248" w:rsidP="00E666FE">
      <w:pPr>
        <w:keepNext/>
        <w:overflowPunct w:val="0"/>
        <w:autoSpaceDE w:val="0"/>
        <w:autoSpaceDN w:val="0"/>
        <w:adjustRightInd w:val="0"/>
        <w:ind w:left="3168" w:hanging="2448"/>
        <w:textAlignment w:val="baseline"/>
        <w:rPr>
          <w:rFonts w:cs="Arial"/>
          <w:b/>
        </w:rPr>
      </w:pPr>
      <w:r>
        <w:rPr>
          <w:rFonts w:cs="Arial"/>
          <w:b/>
        </w:rPr>
        <w:t>Recommendation 9</w:t>
      </w:r>
      <w:r w:rsidR="0037624D">
        <w:rPr>
          <w:rFonts w:cs="Arial"/>
          <w:b/>
        </w:rPr>
        <w:t>:</w:t>
      </w:r>
      <w:r w:rsidR="0037624D">
        <w:rPr>
          <w:rFonts w:cs="Arial"/>
          <w:b/>
        </w:rPr>
        <w:tab/>
        <w:t xml:space="preserve">Schools Members of the Schools Forum representing maintained </w:t>
      </w:r>
      <w:r w:rsidR="007D7B7E">
        <w:rPr>
          <w:rFonts w:cs="Arial"/>
          <w:b/>
        </w:rPr>
        <w:t xml:space="preserve">mainstream </w:t>
      </w:r>
      <w:r w:rsidR="0037624D">
        <w:rPr>
          <w:rFonts w:cs="Arial"/>
          <w:b/>
        </w:rPr>
        <w:t xml:space="preserve">schools agree </w:t>
      </w:r>
      <w:r w:rsidR="001C191A">
        <w:rPr>
          <w:rFonts w:cs="Arial"/>
          <w:b/>
        </w:rPr>
        <w:t xml:space="preserve">on a phase by phase basis to </w:t>
      </w:r>
      <w:r w:rsidR="0037624D">
        <w:rPr>
          <w:rFonts w:cs="Arial"/>
          <w:b/>
        </w:rPr>
        <w:t xml:space="preserve">the de-delegation in respect of </w:t>
      </w:r>
      <w:r w:rsidR="00690B18" w:rsidRPr="00D5520D">
        <w:rPr>
          <w:rFonts w:cs="Arial"/>
          <w:b/>
        </w:rPr>
        <w:t>the f</w:t>
      </w:r>
      <w:r w:rsidR="001D6DE1">
        <w:rPr>
          <w:rFonts w:cs="Arial"/>
          <w:b/>
        </w:rPr>
        <w:t>our</w:t>
      </w:r>
      <w:r w:rsidR="00690B18" w:rsidRPr="00D5520D">
        <w:rPr>
          <w:rFonts w:cs="Arial"/>
          <w:b/>
        </w:rPr>
        <w:t xml:space="preserve"> services</w:t>
      </w:r>
      <w:r w:rsidR="00690B18">
        <w:rPr>
          <w:rFonts w:cs="Arial"/>
          <w:b/>
        </w:rPr>
        <w:t xml:space="preserve"> listed above for 201</w:t>
      </w:r>
      <w:r w:rsidR="001235BC">
        <w:rPr>
          <w:rFonts w:cs="Arial"/>
          <w:b/>
        </w:rPr>
        <w:t>6</w:t>
      </w:r>
      <w:r w:rsidR="00690B18">
        <w:rPr>
          <w:rFonts w:cs="Arial"/>
          <w:b/>
        </w:rPr>
        <w:t>/1</w:t>
      </w:r>
      <w:r w:rsidR="001235BC">
        <w:rPr>
          <w:rFonts w:cs="Arial"/>
          <w:b/>
        </w:rPr>
        <w:t>7</w:t>
      </w:r>
      <w:r w:rsidR="00690B18">
        <w:rPr>
          <w:rFonts w:cs="Arial"/>
          <w:b/>
        </w:rPr>
        <w:t xml:space="preserve"> using the funding values as set out</w:t>
      </w:r>
      <w:r w:rsidR="0037624D">
        <w:rPr>
          <w:rFonts w:cs="Arial"/>
          <w:b/>
        </w:rPr>
        <w:t xml:space="preserve"> in </w:t>
      </w:r>
      <w:r w:rsidR="00A317AA">
        <w:rPr>
          <w:rFonts w:cs="Arial"/>
          <w:b/>
        </w:rPr>
        <w:t xml:space="preserve">the final column of </w:t>
      </w:r>
      <w:r w:rsidR="0037624D">
        <w:rPr>
          <w:rFonts w:cs="Arial"/>
          <w:b/>
        </w:rPr>
        <w:t>Annex</w:t>
      </w:r>
      <w:r w:rsidR="007D7B7E">
        <w:rPr>
          <w:rFonts w:cs="Arial"/>
          <w:b/>
        </w:rPr>
        <w:t> </w:t>
      </w:r>
      <w:r w:rsidR="002F7CD1">
        <w:rPr>
          <w:rFonts w:cs="Arial"/>
          <w:b/>
        </w:rPr>
        <w:t>3</w:t>
      </w:r>
      <w:r w:rsidR="0037624D">
        <w:rPr>
          <w:rFonts w:cs="Arial"/>
          <w:b/>
        </w:rPr>
        <w:t>.</w:t>
      </w:r>
    </w:p>
    <w:p w:rsidR="0037624D" w:rsidRDefault="0037624D" w:rsidP="007230F0">
      <w:pPr>
        <w:ind w:left="720"/>
        <w:rPr>
          <w:rFonts w:cs="Arial"/>
        </w:rPr>
      </w:pPr>
    </w:p>
    <w:p w:rsidR="00CF408C" w:rsidRDefault="00CF408C" w:rsidP="00CF408C">
      <w:pPr>
        <w:ind w:left="720"/>
      </w:pPr>
      <w:r>
        <w:t>The School and Early Years Finance (England) Regulations 201</w:t>
      </w:r>
      <w:r w:rsidR="001235BC">
        <w:t>5</w:t>
      </w:r>
      <w:r>
        <w:t xml:space="preserve"> make provision that allows Local Authorities to carry over into 201</w:t>
      </w:r>
      <w:r w:rsidR="001162E5">
        <w:t>6/17</w:t>
      </w:r>
      <w:r>
        <w:t xml:space="preserve"> any unspent de</w:t>
      </w:r>
      <w:r>
        <w:noBreakHyphen/>
        <w:t>delegated central expenditure to be used for the same purpose as it was used in 201</w:t>
      </w:r>
      <w:r w:rsidR="001235BC">
        <w:t>5</w:t>
      </w:r>
      <w:r w:rsidR="001162E5">
        <w:t>/</w:t>
      </w:r>
      <w:r>
        <w:t>1</w:t>
      </w:r>
      <w:r w:rsidR="001235BC">
        <w:t>6</w:t>
      </w:r>
      <w:r>
        <w:t xml:space="preserve">.  In other words, it can be used for de-delegated services without having to </w:t>
      </w:r>
      <w:r w:rsidR="001162E5">
        <w:t xml:space="preserve">be </w:t>
      </w:r>
      <w:r>
        <w:t>allocate</w:t>
      </w:r>
      <w:r w:rsidR="001162E5">
        <w:t>d</w:t>
      </w:r>
      <w:r>
        <w:t xml:space="preserve"> through the formula again.  This responds to representations during the DfE’s consultation that this money de-delegated from maintained schools should continue to be available for the use of maintained schools only, as academies have already had their share of this funding.  Th</w:t>
      </w:r>
      <w:r w:rsidR="001162E5">
        <w:t xml:space="preserve">is </w:t>
      </w:r>
      <w:r>
        <w:t xml:space="preserve">approach </w:t>
      </w:r>
      <w:r w:rsidR="00870684">
        <w:t xml:space="preserve">has been used for </w:t>
      </w:r>
      <w:r>
        <w:t>the balances carried forward from 2013/14 into 2014/15</w:t>
      </w:r>
      <w:r w:rsidR="001235BC">
        <w:t xml:space="preserve"> and again from 2014/15 into 2015/16</w:t>
      </w:r>
      <w:r w:rsidR="00870684">
        <w:t>, and it is intended to do the same again at the end of 2015/16</w:t>
      </w:r>
      <w:r>
        <w:t>.</w:t>
      </w:r>
    </w:p>
    <w:p w:rsidR="00CF408C" w:rsidRDefault="00CF408C" w:rsidP="00CF408C">
      <w:pPr>
        <w:ind w:left="720"/>
      </w:pPr>
    </w:p>
    <w:p w:rsidR="00CF408C" w:rsidRDefault="00CF408C" w:rsidP="00CF408C">
      <w:pPr>
        <w:ind w:left="720"/>
      </w:pPr>
      <w:r>
        <w:t>The budget</w:t>
      </w:r>
      <w:r w:rsidR="00870684">
        <w:t xml:space="preserve"> balance</w:t>
      </w:r>
      <w:r>
        <w:t>s to which this applies in 201</w:t>
      </w:r>
      <w:r w:rsidR="001235BC">
        <w:t>5/</w:t>
      </w:r>
      <w:r>
        <w:t>1</w:t>
      </w:r>
      <w:r w:rsidR="001235BC">
        <w:t>6</w:t>
      </w:r>
      <w:r>
        <w:t xml:space="preserve"> are:</w:t>
      </w:r>
    </w:p>
    <w:p w:rsidR="00CF408C" w:rsidRPr="000555EE" w:rsidRDefault="00CF408C" w:rsidP="007D7B7E">
      <w:pPr>
        <w:keepNext/>
        <w:spacing w:before="120"/>
        <w:ind w:left="2160"/>
        <w:rPr>
          <w:rFonts w:cs="Arial"/>
        </w:rPr>
      </w:pPr>
      <w:r>
        <w:rPr>
          <w:rFonts w:cs="Arial"/>
        </w:rPr>
        <w:t xml:space="preserve">Determination of </w:t>
      </w:r>
      <w:r w:rsidRPr="000555EE">
        <w:rPr>
          <w:rFonts w:cs="Arial"/>
        </w:rPr>
        <w:t>FSM Eligibility</w:t>
      </w:r>
    </w:p>
    <w:p w:rsidR="00CF408C" w:rsidRPr="000555EE" w:rsidRDefault="00CF408C" w:rsidP="007D7B7E">
      <w:pPr>
        <w:keepNext/>
        <w:ind w:left="2160"/>
        <w:rPr>
          <w:rFonts w:cs="Arial"/>
        </w:rPr>
      </w:pPr>
      <w:r w:rsidRPr="000555EE">
        <w:rPr>
          <w:rFonts w:cs="Arial"/>
        </w:rPr>
        <w:t>Behaviour Support</w:t>
      </w:r>
      <w:r>
        <w:rPr>
          <w:rFonts w:cs="Arial"/>
        </w:rPr>
        <w:t xml:space="preserve"> Services</w:t>
      </w:r>
    </w:p>
    <w:p w:rsidR="00CF408C" w:rsidRPr="000555EE" w:rsidRDefault="00CF408C" w:rsidP="007D7B7E">
      <w:pPr>
        <w:keepNext/>
        <w:ind w:left="2160"/>
        <w:rPr>
          <w:rFonts w:cs="Arial"/>
        </w:rPr>
      </w:pPr>
      <w:r w:rsidRPr="000555EE">
        <w:rPr>
          <w:rFonts w:cs="Arial"/>
        </w:rPr>
        <w:t>EAL</w:t>
      </w:r>
    </w:p>
    <w:p w:rsidR="00CF408C" w:rsidRDefault="00CF408C" w:rsidP="007D7B7E">
      <w:pPr>
        <w:ind w:left="2160"/>
        <w:rPr>
          <w:rFonts w:cs="Arial"/>
        </w:rPr>
      </w:pPr>
      <w:r>
        <w:rPr>
          <w:rFonts w:cs="Arial"/>
        </w:rPr>
        <w:t>Trades Union Facility Time</w:t>
      </w:r>
    </w:p>
    <w:p w:rsidR="00CF408C" w:rsidRDefault="00CF408C" w:rsidP="00CF408C">
      <w:pPr>
        <w:ind w:left="720"/>
      </w:pPr>
    </w:p>
    <w:p w:rsidR="000C55C5" w:rsidRDefault="00616248" w:rsidP="001235BC">
      <w:pPr>
        <w:keepNext/>
        <w:overflowPunct w:val="0"/>
        <w:autoSpaceDE w:val="0"/>
        <w:autoSpaceDN w:val="0"/>
        <w:adjustRightInd w:val="0"/>
        <w:ind w:left="3168" w:hanging="2448"/>
        <w:textAlignment w:val="baseline"/>
        <w:rPr>
          <w:rFonts w:cs="Arial"/>
          <w:b/>
        </w:rPr>
      </w:pPr>
      <w:r>
        <w:rPr>
          <w:rFonts w:cs="Arial"/>
          <w:b/>
        </w:rPr>
        <w:t>Recommendation 10</w:t>
      </w:r>
      <w:r w:rsidR="005E26F8">
        <w:rPr>
          <w:rFonts w:cs="Arial"/>
          <w:b/>
        </w:rPr>
        <w:t>:</w:t>
      </w:r>
      <w:r w:rsidR="005E26F8">
        <w:rPr>
          <w:rFonts w:cs="Arial"/>
          <w:b/>
        </w:rPr>
        <w:tab/>
      </w:r>
      <w:r w:rsidR="007D7B7E">
        <w:rPr>
          <w:rFonts w:cs="Arial"/>
          <w:b/>
        </w:rPr>
        <w:t xml:space="preserve">Schools </w:t>
      </w:r>
      <w:r w:rsidR="005E26F8">
        <w:rPr>
          <w:rFonts w:cs="Arial"/>
          <w:b/>
        </w:rPr>
        <w:t xml:space="preserve">Members of the Schools Forum </w:t>
      </w:r>
      <w:r w:rsidR="007D7B7E">
        <w:rPr>
          <w:rFonts w:cs="Arial"/>
          <w:b/>
        </w:rPr>
        <w:t xml:space="preserve">representing maintained mainstream schools agree that </w:t>
      </w:r>
      <w:r w:rsidR="005E26F8">
        <w:rPr>
          <w:rFonts w:cs="Arial"/>
          <w:b/>
        </w:rPr>
        <w:t>any under or overspends in the</w:t>
      </w:r>
      <w:r w:rsidR="00D02C11">
        <w:rPr>
          <w:rFonts w:cs="Arial"/>
          <w:b/>
        </w:rPr>
        <w:t>se four</w:t>
      </w:r>
      <w:r w:rsidR="005E26F8">
        <w:rPr>
          <w:rFonts w:cs="Arial"/>
          <w:b/>
        </w:rPr>
        <w:t xml:space="preserve"> de-delegated budgets </w:t>
      </w:r>
      <w:r w:rsidR="00D02C11">
        <w:rPr>
          <w:rFonts w:cs="Arial"/>
          <w:b/>
        </w:rPr>
        <w:t>in</w:t>
      </w:r>
      <w:r w:rsidR="005E26F8">
        <w:rPr>
          <w:rFonts w:cs="Arial"/>
          <w:b/>
        </w:rPr>
        <w:t xml:space="preserve"> 201</w:t>
      </w:r>
      <w:r w:rsidR="001235BC">
        <w:rPr>
          <w:rFonts w:cs="Arial"/>
          <w:b/>
        </w:rPr>
        <w:t>5</w:t>
      </w:r>
      <w:r w:rsidR="005E26F8">
        <w:rPr>
          <w:rFonts w:cs="Arial"/>
          <w:b/>
        </w:rPr>
        <w:t>/1</w:t>
      </w:r>
      <w:r w:rsidR="001235BC">
        <w:rPr>
          <w:rFonts w:cs="Arial"/>
          <w:b/>
        </w:rPr>
        <w:t>6</w:t>
      </w:r>
      <w:r w:rsidR="005E26F8">
        <w:rPr>
          <w:rFonts w:cs="Arial"/>
          <w:b/>
        </w:rPr>
        <w:t xml:space="preserve"> be carried forward </w:t>
      </w:r>
      <w:r w:rsidR="00AD7F94">
        <w:rPr>
          <w:rFonts w:cs="Arial"/>
          <w:b/>
        </w:rPr>
        <w:t xml:space="preserve">in a ring fenced way </w:t>
      </w:r>
      <w:r w:rsidR="005E26F8">
        <w:rPr>
          <w:rFonts w:cs="Arial"/>
          <w:b/>
        </w:rPr>
        <w:t>to be used for the same purpose</w:t>
      </w:r>
      <w:r w:rsidR="00E81236">
        <w:rPr>
          <w:rFonts w:cs="Arial"/>
          <w:b/>
        </w:rPr>
        <w:t>s</w:t>
      </w:r>
      <w:r w:rsidR="005E26F8">
        <w:rPr>
          <w:rFonts w:cs="Arial"/>
          <w:b/>
        </w:rPr>
        <w:t xml:space="preserve"> in 201</w:t>
      </w:r>
      <w:r w:rsidR="001235BC">
        <w:rPr>
          <w:rFonts w:cs="Arial"/>
          <w:b/>
        </w:rPr>
        <w:t>6</w:t>
      </w:r>
      <w:r w:rsidR="005E26F8">
        <w:rPr>
          <w:rFonts w:cs="Arial"/>
          <w:b/>
        </w:rPr>
        <w:t>/1</w:t>
      </w:r>
      <w:r w:rsidR="001235BC">
        <w:rPr>
          <w:rFonts w:cs="Arial"/>
          <w:b/>
        </w:rPr>
        <w:t>7</w:t>
      </w:r>
      <w:r w:rsidR="005E26F8">
        <w:rPr>
          <w:rFonts w:cs="Arial"/>
          <w:b/>
        </w:rPr>
        <w:t>.</w:t>
      </w:r>
    </w:p>
    <w:p w:rsidR="00E63FE0" w:rsidRDefault="00E63FE0" w:rsidP="001235BC">
      <w:pPr>
        <w:keepNext/>
        <w:overflowPunct w:val="0"/>
        <w:autoSpaceDE w:val="0"/>
        <w:autoSpaceDN w:val="0"/>
        <w:adjustRightInd w:val="0"/>
        <w:ind w:left="3168" w:hanging="2448"/>
        <w:textAlignment w:val="baseline"/>
        <w:rPr>
          <w:rFonts w:cs="Arial"/>
          <w:b/>
        </w:rPr>
      </w:pPr>
    </w:p>
    <w:p w:rsidR="00AF3F8E" w:rsidRDefault="00AF3F8E" w:rsidP="001235BC">
      <w:pPr>
        <w:keepNext/>
        <w:overflowPunct w:val="0"/>
        <w:autoSpaceDE w:val="0"/>
        <w:autoSpaceDN w:val="0"/>
        <w:adjustRightInd w:val="0"/>
        <w:ind w:left="3168" w:hanging="2448"/>
        <w:textAlignment w:val="baseline"/>
        <w:rPr>
          <w:rFonts w:cs="Arial"/>
          <w:b/>
        </w:rPr>
      </w:pPr>
    </w:p>
    <w:p w:rsidR="00AF3F8E" w:rsidRDefault="00AF3F8E" w:rsidP="001235BC">
      <w:pPr>
        <w:keepNext/>
        <w:overflowPunct w:val="0"/>
        <w:autoSpaceDE w:val="0"/>
        <w:autoSpaceDN w:val="0"/>
        <w:adjustRightInd w:val="0"/>
        <w:ind w:left="3168" w:hanging="2448"/>
        <w:textAlignment w:val="baseline"/>
        <w:rPr>
          <w:rFonts w:cs="Arial"/>
          <w:b/>
        </w:rPr>
      </w:pPr>
    </w:p>
    <w:p w:rsidR="00AF3F8E" w:rsidRDefault="00AF3F8E" w:rsidP="001235BC">
      <w:pPr>
        <w:keepNext/>
        <w:overflowPunct w:val="0"/>
        <w:autoSpaceDE w:val="0"/>
        <w:autoSpaceDN w:val="0"/>
        <w:adjustRightInd w:val="0"/>
        <w:ind w:left="3168" w:hanging="2448"/>
        <w:textAlignment w:val="baseline"/>
        <w:rPr>
          <w:rFonts w:cs="Arial"/>
          <w:b/>
        </w:rPr>
      </w:pPr>
    </w:p>
    <w:p w:rsidR="00AF3F8E" w:rsidRDefault="00AF3F8E" w:rsidP="008660E6">
      <w:pPr>
        <w:keepNext/>
        <w:overflowPunct w:val="0"/>
        <w:autoSpaceDE w:val="0"/>
        <w:autoSpaceDN w:val="0"/>
        <w:adjustRightInd w:val="0"/>
        <w:textAlignment w:val="baseline"/>
        <w:rPr>
          <w:rFonts w:cs="Arial"/>
          <w:b/>
        </w:rPr>
      </w:pPr>
    </w:p>
    <w:sectPr w:rsidR="00AF3F8E" w:rsidSect="00D73061">
      <w:headerReference w:type="even" r:id="rId10"/>
      <w:headerReference w:type="default" r:id="rId11"/>
      <w:footerReference w:type="even" r:id="rId12"/>
      <w:footerReference w:type="default" r:id="rId13"/>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30" w:rsidRDefault="000B1C30" w:rsidP="00F516D4">
      <w:pPr>
        <w:pStyle w:val="Footer"/>
      </w:pPr>
      <w:r>
        <w:separator/>
      </w:r>
    </w:p>
  </w:endnote>
  <w:endnote w:type="continuationSeparator" w:id="0">
    <w:p w:rsidR="000B1C30" w:rsidRDefault="000B1C30"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30" w:rsidRDefault="000B1C30"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1C30" w:rsidRDefault="000B1C30"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30" w:rsidRDefault="000B1C30" w:rsidP="00B4328E">
    <w:pPr>
      <w:pStyle w:val="Footer"/>
      <w:framePr w:wrap="around" w:vAnchor="text" w:hAnchor="margin" w:xAlign="right" w:y="1"/>
      <w:rPr>
        <w:rStyle w:val="PageNumber"/>
      </w:rPr>
    </w:pPr>
  </w:p>
  <w:p w:rsidR="000B1C30" w:rsidRDefault="000B1C30" w:rsidP="00B4328E">
    <w:pPr>
      <w:pStyle w:val="Footer"/>
      <w:ind w:right="360"/>
      <w:rPr>
        <w:sz w:val="12"/>
        <w:szCs w:val="12"/>
      </w:rPr>
    </w:pPr>
  </w:p>
  <w:p w:rsidR="000B1C30" w:rsidRDefault="000B1C30"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30" w:rsidRDefault="000B1C30" w:rsidP="00F516D4">
      <w:pPr>
        <w:pStyle w:val="Footer"/>
      </w:pPr>
      <w:r>
        <w:separator/>
      </w:r>
    </w:p>
  </w:footnote>
  <w:footnote w:type="continuationSeparator" w:id="0">
    <w:p w:rsidR="000B1C30" w:rsidRDefault="000B1C30"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30" w:rsidRDefault="000B1C3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1C30" w:rsidRDefault="000B1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30" w:rsidRDefault="000B1C3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5905">
      <w:rPr>
        <w:rStyle w:val="PageNumber"/>
        <w:noProof/>
      </w:rPr>
      <w:t>7</w:t>
    </w:r>
    <w:r>
      <w:rPr>
        <w:rStyle w:val="PageNumber"/>
      </w:rPr>
      <w:fldChar w:fldCharType="end"/>
    </w:r>
  </w:p>
  <w:p w:rsidR="000B1C30" w:rsidRDefault="000B1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627"/>
    <w:multiLevelType w:val="hybridMultilevel"/>
    <w:tmpl w:val="15388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23EA4"/>
    <w:multiLevelType w:val="hybridMultilevel"/>
    <w:tmpl w:val="9048A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29112229"/>
    <w:multiLevelType w:val="hybridMultilevel"/>
    <w:tmpl w:val="6594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72B05E4"/>
    <w:multiLevelType w:val="hybridMultilevel"/>
    <w:tmpl w:val="60CE2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3"/>
  </w:num>
  <w:num w:numId="4">
    <w:abstractNumId w:val="12"/>
  </w:num>
  <w:num w:numId="5">
    <w:abstractNumId w:val="6"/>
  </w:num>
  <w:num w:numId="6">
    <w:abstractNumId w:val="8"/>
  </w:num>
  <w:num w:numId="7">
    <w:abstractNumId w:val="13"/>
  </w:num>
  <w:num w:numId="8">
    <w:abstractNumId w:val="10"/>
  </w:num>
  <w:num w:numId="9">
    <w:abstractNumId w:val="1"/>
  </w:num>
  <w:num w:numId="10">
    <w:abstractNumId w:val="7"/>
  </w:num>
  <w:num w:numId="11">
    <w:abstractNumId w:val="2"/>
  </w:num>
  <w:num w:numId="12">
    <w:abstractNumId w:val="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01B93"/>
    <w:rsid w:val="00032643"/>
    <w:rsid w:val="00034088"/>
    <w:rsid w:val="00044B69"/>
    <w:rsid w:val="000463FB"/>
    <w:rsid w:val="00047A1E"/>
    <w:rsid w:val="00050200"/>
    <w:rsid w:val="00056A38"/>
    <w:rsid w:val="000648F6"/>
    <w:rsid w:val="00067F40"/>
    <w:rsid w:val="000868D6"/>
    <w:rsid w:val="000871CC"/>
    <w:rsid w:val="000A709C"/>
    <w:rsid w:val="000B0E55"/>
    <w:rsid w:val="000B1C30"/>
    <w:rsid w:val="000B77B1"/>
    <w:rsid w:val="000C55C5"/>
    <w:rsid w:val="000D475D"/>
    <w:rsid w:val="000D7965"/>
    <w:rsid w:val="000E0853"/>
    <w:rsid w:val="000E2241"/>
    <w:rsid w:val="000E417E"/>
    <w:rsid w:val="000E7736"/>
    <w:rsid w:val="000F22BE"/>
    <w:rsid w:val="000F2E74"/>
    <w:rsid w:val="000F46AA"/>
    <w:rsid w:val="000F52AA"/>
    <w:rsid w:val="001036A6"/>
    <w:rsid w:val="001047EA"/>
    <w:rsid w:val="00112F03"/>
    <w:rsid w:val="00113DFC"/>
    <w:rsid w:val="00115788"/>
    <w:rsid w:val="001162E5"/>
    <w:rsid w:val="00120AD9"/>
    <w:rsid w:val="001235BC"/>
    <w:rsid w:val="00126469"/>
    <w:rsid w:val="0012687C"/>
    <w:rsid w:val="00127345"/>
    <w:rsid w:val="00133390"/>
    <w:rsid w:val="00137F7B"/>
    <w:rsid w:val="001415E5"/>
    <w:rsid w:val="0015379B"/>
    <w:rsid w:val="00153A3A"/>
    <w:rsid w:val="00153E75"/>
    <w:rsid w:val="00157A3D"/>
    <w:rsid w:val="0016054C"/>
    <w:rsid w:val="00164BFF"/>
    <w:rsid w:val="0017241F"/>
    <w:rsid w:val="00173A99"/>
    <w:rsid w:val="001858C9"/>
    <w:rsid w:val="00187811"/>
    <w:rsid w:val="001879FE"/>
    <w:rsid w:val="00190BA5"/>
    <w:rsid w:val="001915E8"/>
    <w:rsid w:val="00191A1A"/>
    <w:rsid w:val="001A1E4E"/>
    <w:rsid w:val="001A3AEE"/>
    <w:rsid w:val="001A57D8"/>
    <w:rsid w:val="001A68EA"/>
    <w:rsid w:val="001B513E"/>
    <w:rsid w:val="001C00C1"/>
    <w:rsid w:val="001C191A"/>
    <w:rsid w:val="001C3C3D"/>
    <w:rsid w:val="001C5B90"/>
    <w:rsid w:val="001C6701"/>
    <w:rsid w:val="001D4231"/>
    <w:rsid w:val="001D6DE1"/>
    <w:rsid w:val="001E3EDD"/>
    <w:rsid w:val="001E692E"/>
    <w:rsid w:val="001F1992"/>
    <w:rsid w:val="00201BCA"/>
    <w:rsid w:val="0020596F"/>
    <w:rsid w:val="00211C6B"/>
    <w:rsid w:val="00212514"/>
    <w:rsid w:val="0021302B"/>
    <w:rsid w:val="00217EDC"/>
    <w:rsid w:val="00221E35"/>
    <w:rsid w:val="002313B8"/>
    <w:rsid w:val="00236EF9"/>
    <w:rsid w:val="00240FAA"/>
    <w:rsid w:val="00242149"/>
    <w:rsid w:val="00244754"/>
    <w:rsid w:val="00254DDA"/>
    <w:rsid w:val="00256F8A"/>
    <w:rsid w:val="002578DB"/>
    <w:rsid w:val="002603BB"/>
    <w:rsid w:val="002630E2"/>
    <w:rsid w:val="002642E8"/>
    <w:rsid w:val="00274829"/>
    <w:rsid w:val="002756DD"/>
    <w:rsid w:val="00275C88"/>
    <w:rsid w:val="00281223"/>
    <w:rsid w:val="00285B9E"/>
    <w:rsid w:val="002A0465"/>
    <w:rsid w:val="002B089F"/>
    <w:rsid w:val="002B27C6"/>
    <w:rsid w:val="002C3D24"/>
    <w:rsid w:val="002C6BB6"/>
    <w:rsid w:val="002D0B55"/>
    <w:rsid w:val="002D20CF"/>
    <w:rsid w:val="002E0964"/>
    <w:rsid w:val="002E778E"/>
    <w:rsid w:val="002F0EA0"/>
    <w:rsid w:val="002F42E1"/>
    <w:rsid w:val="002F45FC"/>
    <w:rsid w:val="002F6324"/>
    <w:rsid w:val="002F7CD1"/>
    <w:rsid w:val="00300EB9"/>
    <w:rsid w:val="00302639"/>
    <w:rsid w:val="00331D01"/>
    <w:rsid w:val="00332304"/>
    <w:rsid w:val="0033370A"/>
    <w:rsid w:val="00344C21"/>
    <w:rsid w:val="00345017"/>
    <w:rsid w:val="003511AD"/>
    <w:rsid w:val="00352177"/>
    <w:rsid w:val="00355ABB"/>
    <w:rsid w:val="00365F3E"/>
    <w:rsid w:val="0037455A"/>
    <w:rsid w:val="00374C5D"/>
    <w:rsid w:val="0037624D"/>
    <w:rsid w:val="00376BAA"/>
    <w:rsid w:val="00382126"/>
    <w:rsid w:val="00392CC3"/>
    <w:rsid w:val="0039337B"/>
    <w:rsid w:val="003B63BA"/>
    <w:rsid w:val="003B712F"/>
    <w:rsid w:val="003C5670"/>
    <w:rsid w:val="003C6098"/>
    <w:rsid w:val="003D70BB"/>
    <w:rsid w:val="003E10F0"/>
    <w:rsid w:val="003E2359"/>
    <w:rsid w:val="003E26C1"/>
    <w:rsid w:val="003F6A9C"/>
    <w:rsid w:val="004049CA"/>
    <w:rsid w:val="00411EBA"/>
    <w:rsid w:val="00412A1F"/>
    <w:rsid w:val="004140F5"/>
    <w:rsid w:val="00416A4F"/>
    <w:rsid w:val="00423237"/>
    <w:rsid w:val="00431169"/>
    <w:rsid w:val="00434950"/>
    <w:rsid w:val="00434E8E"/>
    <w:rsid w:val="004362B0"/>
    <w:rsid w:val="00436A73"/>
    <w:rsid w:val="00437726"/>
    <w:rsid w:val="004418E1"/>
    <w:rsid w:val="004457BB"/>
    <w:rsid w:val="004470C8"/>
    <w:rsid w:val="00447E16"/>
    <w:rsid w:val="004523B7"/>
    <w:rsid w:val="00455B77"/>
    <w:rsid w:val="00456C1B"/>
    <w:rsid w:val="00462688"/>
    <w:rsid w:val="00462D3D"/>
    <w:rsid w:val="00463AA9"/>
    <w:rsid w:val="00465A3F"/>
    <w:rsid w:val="00467348"/>
    <w:rsid w:val="00481717"/>
    <w:rsid w:val="00494717"/>
    <w:rsid w:val="004958D2"/>
    <w:rsid w:val="004A33C7"/>
    <w:rsid w:val="004A4CD4"/>
    <w:rsid w:val="004A52AA"/>
    <w:rsid w:val="004A56F7"/>
    <w:rsid w:val="004B3967"/>
    <w:rsid w:val="004C52C4"/>
    <w:rsid w:val="004D0CE6"/>
    <w:rsid w:val="004D1F38"/>
    <w:rsid w:val="004D49C5"/>
    <w:rsid w:val="004D6B2E"/>
    <w:rsid w:val="004E2017"/>
    <w:rsid w:val="004F59D2"/>
    <w:rsid w:val="004F6C55"/>
    <w:rsid w:val="00504D29"/>
    <w:rsid w:val="00507A50"/>
    <w:rsid w:val="00516276"/>
    <w:rsid w:val="00517E13"/>
    <w:rsid w:val="00520B5B"/>
    <w:rsid w:val="005211DC"/>
    <w:rsid w:val="0052251F"/>
    <w:rsid w:val="00522819"/>
    <w:rsid w:val="00541099"/>
    <w:rsid w:val="005437D1"/>
    <w:rsid w:val="005449AE"/>
    <w:rsid w:val="00554215"/>
    <w:rsid w:val="00557DCC"/>
    <w:rsid w:val="005621E1"/>
    <w:rsid w:val="00565214"/>
    <w:rsid w:val="005709C3"/>
    <w:rsid w:val="00577F1C"/>
    <w:rsid w:val="005929B8"/>
    <w:rsid w:val="005949B4"/>
    <w:rsid w:val="00594A7A"/>
    <w:rsid w:val="005A2993"/>
    <w:rsid w:val="005A6FD7"/>
    <w:rsid w:val="005B0857"/>
    <w:rsid w:val="005B30ED"/>
    <w:rsid w:val="005C1B98"/>
    <w:rsid w:val="005D264C"/>
    <w:rsid w:val="005D6F62"/>
    <w:rsid w:val="005D749A"/>
    <w:rsid w:val="005D764C"/>
    <w:rsid w:val="005E090A"/>
    <w:rsid w:val="005E0E54"/>
    <w:rsid w:val="005E26F8"/>
    <w:rsid w:val="005E3A7E"/>
    <w:rsid w:val="005F0071"/>
    <w:rsid w:val="005F0CC1"/>
    <w:rsid w:val="005F27DD"/>
    <w:rsid w:val="005F593A"/>
    <w:rsid w:val="00603AE2"/>
    <w:rsid w:val="00605013"/>
    <w:rsid w:val="006100B5"/>
    <w:rsid w:val="00610FC1"/>
    <w:rsid w:val="00616248"/>
    <w:rsid w:val="00616C84"/>
    <w:rsid w:val="006215D0"/>
    <w:rsid w:val="00625905"/>
    <w:rsid w:val="00630E9F"/>
    <w:rsid w:val="00631BBD"/>
    <w:rsid w:val="006322C1"/>
    <w:rsid w:val="006347E6"/>
    <w:rsid w:val="00647CEC"/>
    <w:rsid w:val="006509AF"/>
    <w:rsid w:val="00651D3E"/>
    <w:rsid w:val="006528D3"/>
    <w:rsid w:val="00653D6A"/>
    <w:rsid w:val="00655B9E"/>
    <w:rsid w:val="006566E5"/>
    <w:rsid w:val="00663927"/>
    <w:rsid w:val="00670DC1"/>
    <w:rsid w:val="00670FFE"/>
    <w:rsid w:val="0067193A"/>
    <w:rsid w:val="0067745C"/>
    <w:rsid w:val="00684BAA"/>
    <w:rsid w:val="006853E7"/>
    <w:rsid w:val="00686993"/>
    <w:rsid w:val="00690B18"/>
    <w:rsid w:val="00690B30"/>
    <w:rsid w:val="00690E80"/>
    <w:rsid w:val="006935CE"/>
    <w:rsid w:val="00695D43"/>
    <w:rsid w:val="006A4557"/>
    <w:rsid w:val="006B1418"/>
    <w:rsid w:val="006B1582"/>
    <w:rsid w:val="006B43E3"/>
    <w:rsid w:val="006C3C30"/>
    <w:rsid w:val="006E55C8"/>
    <w:rsid w:val="006F11AC"/>
    <w:rsid w:val="006F4401"/>
    <w:rsid w:val="006F635C"/>
    <w:rsid w:val="007026FB"/>
    <w:rsid w:val="0070656F"/>
    <w:rsid w:val="00711D37"/>
    <w:rsid w:val="007164B6"/>
    <w:rsid w:val="00722B5F"/>
    <w:rsid w:val="007230F0"/>
    <w:rsid w:val="00724610"/>
    <w:rsid w:val="00725477"/>
    <w:rsid w:val="007254E6"/>
    <w:rsid w:val="00727F02"/>
    <w:rsid w:val="00731FA6"/>
    <w:rsid w:val="007342C3"/>
    <w:rsid w:val="00734EDC"/>
    <w:rsid w:val="00737E40"/>
    <w:rsid w:val="007402D1"/>
    <w:rsid w:val="007422D1"/>
    <w:rsid w:val="00742FB8"/>
    <w:rsid w:val="00743892"/>
    <w:rsid w:val="00745C8E"/>
    <w:rsid w:val="00754255"/>
    <w:rsid w:val="00763E0A"/>
    <w:rsid w:val="00765676"/>
    <w:rsid w:val="00767CD1"/>
    <w:rsid w:val="00772FEA"/>
    <w:rsid w:val="00774C00"/>
    <w:rsid w:val="00780C13"/>
    <w:rsid w:val="00785CEC"/>
    <w:rsid w:val="00790208"/>
    <w:rsid w:val="00792887"/>
    <w:rsid w:val="00792F20"/>
    <w:rsid w:val="00797D9D"/>
    <w:rsid w:val="007C3E33"/>
    <w:rsid w:val="007C69C6"/>
    <w:rsid w:val="007D0E73"/>
    <w:rsid w:val="007D7B7E"/>
    <w:rsid w:val="007E1A65"/>
    <w:rsid w:val="007E2BB6"/>
    <w:rsid w:val="00806DC6"/>
    <w:rsid w:val="008117E7"/>
    <w:rsid w:val="008147C5"/>
    <w:rsid w:val="00816EA7"/>
    <w:rsid w:val="0082076C"/>
    <w:rsid w:val="00835869"/>
    <w:rsid w:val="008461C3"/>
    <w:rsid w:val="008508BA"/>
    <w:rsid w:val="00851E0A"/>
    <w:rsid w:val="00855589"/>
    <w:rsid w:val="00862525"/>
    <w:rsid w:val="00864BF9"/>
    <w:rsid w:val="008660E6"/>
    <w:rsid w:val="00870684"/>
    <w:rsid w:val="00874D1D"/>
    <w:rsid w:val="00876C9C"/>
    <w:rsid w:val="008775D3"/>
    <w:rsid w:val="008777EA"/>
    <w:rsid w:val="00883D0C"/>
    <w:rsid w:val="0088492F"/>
    <w:rsid w:val="00886210"/>
    <w:rsid w:val="008869CA"/>
    <w:rsid w:val="008876A0"/>
    <w:rsid w:val="008A4194"/>
    <w:rsid w:val="008A4D76"/>
    <w:rsid w:val="008A5D3A"/>
    <w:rsid w:val="008A6A1E"/>
    <w:rsid w:val="008B3146"/>
    <w:rsid w:val="008B5F24"/>
    <w:rsid w:val="008E2D1D"/>
    <w:rsid w:val="008E3070"/>
    <w:rsid w:val="008F2383"/>
    <w:rsid w:val="008F24F8"/>
    <w:rsid w:val="00901241"/>
    <w:rsid w:val="0090487E"/>
    <w:rsid w:val="00913562"/>
    <w:rsid w:val="009140F1"/>
    <w:rsid w:val="009167DE"/>
    <w:rsid w:val="0092047B"/>
    <w:rsid w:val="00921E38"/>
    <w:rsid w:val="009224DA"/>
    <w:rsid w:val="00922923"/>
    <w:rsid w:val="00922F48"/>
    <w:rsid w:val="00923F35"/>
    <w:rsid w:val="009300B7"/>
    <w:rsid w:val="00934FB1"/>
    <w:rsid w:val="009368DD"/>
    <w:rsid w:val="009369E1"/>
    <w:rsid w:val="00944D6A"/>
    <w:rsid w:val="009468C0"/>
    <w:rsid w:val="0095163D"/>
    <w:rsid w:val="00952AD2"/>
    <w:rsid w:val="009650F1"/>
    <w:rsid w:val="0098261E"/>
    <w:rsid w:val="009875AE"/>
    <w:rsid w:val="00987996"/>
    <w:rsid w:val="00994266"/>
    <w:rsid w:val="00994880"/>
    <w:rsid w:val="00996650"/>
    <w:rsid w:val="009A3ED2"/>
    <w:rsid w:val="009B395E"/>
    <w:rsid w:val="009C063B"/>
    <w:rsid w:val="009C129B"/>
    <w:rsid w:val="009D0505"/>
    <w:rsid w:val="009D1EEB"/>
    <w:rsid w:val="009D2306"/>
    <w:rsid w:val="009E4278"/>
    <w:rsid w:val="009E59E2"/>
    <w:rsid w:val="009E6D8F"/>
    <w:rsid w:val="009F23BD"/>
    <w:rsid w:val="009F3689"/>
    <w:rsid w:val="009F3D76"/>
    <w:rsid w:val="009F5494"/>
    <w:rsid w:val="009F69F9"/>
    <w:rsid w:val="00A143D7"/>
    <w:rsid w:val="00A174F4"/>
    <w:rsid w:val="00A206EF"/>
    <w:rsid w:val="00A20F12"/>
    <w:rsid w:val="00A24E4E"/>
    <w:rsid w:val="00A24F18"/>
    <w:rsid w:val="00A317AA"/>
    <w:rsid w:val="00A379E5"/>
    <w:rsid w:val="00A41565"/>
    <w:rsid w:val="00A473C3"/>
    <w:rsid w:val="00A53350"/>
    <w:rsid w:val="00A658D5"/>
    <w:rsid w:val="00A65D1E"/>
    <w:rsid w:val="00A751EF"/>
    <w:rsid w:val="00A8285C"/>
    <w:rsid w:val="00A92774"/>
    <w:rsid w:val="00A96CAF"/>
    <w:rsid w:val="00AB3565"/>
    <w:rsid w:val="00AB7F59"/>
    <w:rsid w:val="00AD35A6"/>
    <w:rsid w:val="00AD423C"/>
    <w:rsid w:val="00AD7F94"/>
    <w:rsid w:val="00AE0F8E"/>
    <w:rsid w:val="00AE2DBC"/>
    <w:rsid w:val="00AF06A3"/>
    <w:rsid w:val="00AF0EBB"/>
    <w:rsid w:val="00AF3F8E"/>
    <w:rsid w:val="00B06E2D"/>
    <w:rsid w:val="00B11110"/>
    <w:rsid w:val="00B20A81"/>
    <w:rsid w:val="00B2214F"/>
    <w:rsid w:val="00B22F92"/>
    <w:rsid w:val="00B33E8B"/>
    <w:rsid w:val="00B34C1B"/>
    <w:rsid w:val="00B34CDC"/>
    <w:rsid w:val="00B3630D"/>
    <w:rsid w:val="00B41539"/>
    <w:rsid w:val="00B4328E"/>
    <w:rsid w:val="00B46F8C"/>
    <w:rsid w:val="00B4777A"/>
    <w:rsid w:val="00B65527"/>
    <w:rsid w:val="00B67C59"/>
    <w:rsid w:val="00B746E8"/>
    <w:rsid w:val="00B82ABA"/>
    <w:rsid w:val="00B908C0"/>
    <w:rsid w:val="00B9171B"/>
    <w:rsid w:val="00B91918"/>
    <w:rsid w:val="00B94559"/>
    <w:rsid w:val="00BA146D"/>
    <w:rsid w:val="00BA5A7B"/>
    <w:rsid w:val="00BB323C"/>
    <w:rsid w:val="00BB7BB7"/>
    <w:rsid w:val="00BC126F"/>
    <w:rsid w:val="00BC5AD9"/>
    <w:rsid w:val="00BD0169"/>
    <w:rsid w:val="00BD1FB3"/>
    <w:rsid w:val="00BD418D"/>
    <w:rsid w:val="00BE2447"/>
    <w:rsid w:val="00BE39C5"/>
    <w:rsid w:val="00BE4C76"/>
    <w:rsid w:val="00BF2A7D"/>
    <w:rsid w:val="00C002A1"/>
    <w:rsid w:val="00C0723B"/>
    <w:rsid w:val="00C115BB"/>
    <w:rsid w:val="00C14E73"/>
    <w:rsid w:val="00C157AB"/>
    <w:rsid w:val="00C204E9"/>
    <w:rsid w:val="00C21A07"/>
    <w:rsid w:val="00C250C5"/>
    <w:rsid w:val="00C258F4"/>
    <w:rsid w:val="00C31587"/>
    <w:rsid w:val="00C33FFC"/>
    <w:rsid w:val="00C45B47"/>
    <w:rsid w:val="00C46E6D"/>
    <w:rsid w:val="00C501BF"/>
    <w:rsid w:val="00C50300"/>
    <w:rsid w:val="00C53DF9"/>
    <w:rsid w:val="00C541AD"/>
    <w:rsid w:val="00C55070"/>
    <w:rsid w:val="00C55E31"/>
    <w:rsid w:val="00C560E1"/>
    <w:rsid w:val="00C67EE6"/>
    <w:rsid w:val="00C70EFC"/>
    <w:rsid w:val="00C72B44"/>
    <w:rsid w:val="00C77CF7"/>
    <w:rsid w:val="00C836C7"/>
    <w:rsid w:val="00C83F45"/>
    <w:rsid w:val="00C857C0"/>
    <w:rsid w:val="00C863FE"/>
    <w:rsid w:val="00C935C3"/>
    <w:rsid w:val="00CA08C2"/>
    <w:rsid w:val="00CB7DC6"/>
    <w:rsid w:val="00CC091C"/>
    <w:rsid w:val="00CC44F8"/>
    <w:rsid w:val="00CD51DA"/>
    <w:rsid w:val="00CD618A"/>
    <w:rsid w:val="00CE561B"/>
    <w:rsid w:val="00CE78D4"/>
    <w:rsid w:val="00CF408C"/>
    <w:rsid w:val="00CF48C6"/>
    <w:rsid w:val="00CF671F"/>
    <w:rsid w:val="00D008A0"/>
    <w:rsid w:val="00D01422"/>
    <w:rsid w:val="00D018C1"/>
    <w:rsid w:val="00D02C11"/>
    <w:rsid w:val="00D03078"/>
    <w:rsid w:val="00D03FC8"/>
    <w:rsid w:val="00D05038"/>
    <w:rsid w:val="00D13DA0"/>
    <w:rsid w:val="00D1458C"/>
    <w:rsid w:val="00D15F3C"/>
    <w:rsid w:val="00D22485"/>
    <w:rsid w:val="00D22A8C"/>
    <w:rsid w:val="00D345D3"/>
    <w:rsid w:val="00D41EA5"/>
    <w:rsid w:val="00D51691"/>
    <w:rsid w:val="00D517D4"/>
    <w:rsid w:val="00D5520D"/>
    <w:rsid w:val="00D56E8B"/>
    <w:rsid w:val="00D60BA2"/>
    <w:rsid w:val="00D73061"/>
    <w:rsid w:val="00D7736D"/>
    <w:rsid w:val="00D864B9"/>
    <w:rsid w:val="00D93ED7"/>
    <w:rsid w:val="00DA0959"/>
    <w:rsid w:val="00DB09B9"/>
    <w:rsid w:val="00DB773C"/>
    <w:rsid w:val="00DD1BD0"/>
    <w:rsid w:val="00DD21B5"/>
    <w:rsid w:val="00DE2ACA"/>
    <w:rsid w:val="00DE2EE5"/>
    <w:rsid w:val="00DE4605"/>
    <w:rsid w:val="00DE7119"/>
    <w:rsid w:val="00DF3C9A"/>
    <w:rsid w:val="00E02037"/>
    <w:rsid w:val="00E07E97"/>
    <w:rsid w:val="00E23391"/>
    <w:rsid w:val="00E238FD"/>
    <w:rsid w:val="00E24CD9"/>
    <w:rsid w:val="00E24E7C"/>
    <w:rsid w:val="00E316D7"/>
    <w:rsid w:val="00E41CB5"/>
    <w:rsid w:val="00E451AA"/>
    <w:rsid w:val="00E45BF3"/>
    <w:rsid w:val="00E4632E"/>
    <w:rsid w:val="00E51B7C"/>
    <w:rsid w:val="00E5571D"/>
    <w:rsid w:val="00E57292"/>
    <w:rsid w:val="00E574C6"/>
    <w:rsid w:val="00E603DF"/>
    <w:rsid w:val="00E62A45"/>
    <w:rsid w:val="00E63FE0"/>
    <w:rsid w:val="00E65AFA"/>
    <w:rsid w:val="00E666FE"/>
    <w:rsid w:val="00E67CC9"/>
    <w:rsid w:val="00E7112D"/>
    <w:rsid w:val="00E76FDB"/>
    <w:rsid w:val="00E81236"/>
    <w:rsid w:val="00E8278B"/>
    <w:rsid w:val="00E86615"/>
    <w:rsid w:val="00E91548"/>
    <w:rsid w:val="00E9424A"/>
    <w:rsid w:val="00EA194C"/>
    <w:rsid w:val="00EA560C"/>
    <w:rsid w:val="00EB0362"/>
    <w:rsid w:val="00EB41D7"/>
    <w:rsid w:val="00EB5D58"/>
    <w:rsid w:val="00EC21DF"/>
    <w:rsid w:val="00EC4EE1"/>
    <w:rsid w:val="00EC657A"/>
    <w:rsid w:val="00EC69D2"/>
    <w:rsid w:val="00EC70E3"/>
    <w:rsid w:val="00ED013C"/>
    <w:rsid w:val="00ED37CC"/>
    <w:rsid w:val="00ED405E"/>
    <w:rsid w:val="00EE1418"/>
    <w:rsid w:val="00EE19C6"/>
    <w:rsid w:val="00EE3AB3"/>
    <w:rsid w:val="00EE5316"/>
    <w:rsid w:val="00EF0E63"/>
    <w:rsid w:val="00EF24C8"/>
    <w:rsid w:val="00EF4CB7"/>
    <w:rsid w:val="00F02AFA"/>
    <w:rsid w:val="00F04915"/>
    <w:rsid w:val="00F04DE7"/>
    <w:rsid w:val="00F058CD"/>
    <w:rsid w:val="00F06107"/>
    <w:rsid w:val="00F06167"/>
    <w:rsid w:val="00F100C1"/>
    <w:rsid w:val="00F13B49"/>
    <w:rsid w:val="00F16AC7"/>
    <w:rsid w:val="00F204CD"/>
    <w:rsid w:val="00F22D78"/>
    <w:rsid w:val="00F278F8"/>
    <w:rsid w:val="00F37BC9"/>
    <w:rsid w:val="00F37FD5"/>
    <w:rsid w:val="00F419B2"/>
    <w:rsid w:val="00F42AB3"/>
    <w:rsid w:val="00F42E4F"/>
    <w:rsid w:val="00F43047"/>
    <w:rsid w:val="00F5158A"/>
    <w:rsid w:val="00F516D4"/>
    <w:rsid w:val="00F538A4"/>
    <w:rsid w:val="00F5559F"/>
    <w:rsid w:val="00F56838"/>
    <w:rsid w:val="00F64D98"/>
    <w:rsid w:val="00F67960"/>
    <w:rsid w:val="00F67A49"/>
    <w:rsid w:val="00F87BCF"/>
    <w:rsid w:val="00F944A2"/>
    <w:rsid w:val="00F95905"/>
    <w:rsid w:val="00F97DF5"/>
    <w:rsid w:val="00FA21F9"/>
    <w:rsid w:val="00FA38A5"/>
    <w:rsid w:val="00FA3A0E"/>
    <w:rsid w:val="00FA4E2B"/>
    <w:rsid w:val="00FD2BCF"/>
    <w:rsid w:val="00FE433D"/>
    <w:rsid w:val="00FF3D6E"/>
    <w:rsid w:val="00FF4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B048-FEF0-44D9-86D8-9F68787D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3070</Words>
  <Characters>15086</Characters>
  <Application>Microsoft Office Word</Application>
  <DocSecurity>4</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Papaioannou, Linda</cp:lastModifiedBy>
  <cp:revision>2</cp:revision>
  <cp:lastPrinted>2016-01-04T15:00:00Z</cp:lastPrinted>
  <dcterms:created xsi:type="dcterms:W3CDTF">2016-01-04T15:00:00Z</dcterms:created>
  <dcterms:modified xsi:type="dcterms:W3CDTF">2016-01-04T15:00:00Z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