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F0" w:rsidRDefault="002460F0">
      <w:bookmarkStart w:id="0" w:name="_GoBack"/>
      <w:bookmarkEnd w:id="0"/>
    </w:p>
    <w:p w:rsidR="002460F0" w:rsidRDefault="006361A1">
      <w:pPr>
        <w:jc w:val="center"/>
        <w:rPr>
          <w:sz w:val="28"/>
          <w:szCs w:val="28"/>
        </w:rPr>
      </w:pPr>
      <w:r>
        <w:rPr>
          <w:sz w:val="28"/>
          <w:szCs w:val="28"/>
        </w:rPr>
        <w:t>Key Characteristics of Quality First Teaching</w:t>
      </w:r>
    </w:p>
    <w:p w:rsidR="002460F0" w:rsidRDefault="006361A1">
      <w:pPr>
        <w:shd w:val="clear" w:color="auto" w:fill="FFFFFF"/>
        <w:spacing w:before="300" w:after="300"/>
      </w:pPr>
      <w:r>
        <w:t>QFT originates in the then Department for Children, Schools and Families’ guide to personalised learning published in 2008.  The key characteristics are summarised as:</w:t>
      </w:r>
    </w:p>
    <w:p w:rsidR="002460F0" w:rsidRDefault="006361A1">
      <w:pPr>
        <w:numPr>
          <w:ilvl w:val="0"/>
          <w:numId w:val="1"/>
        </w:numPr>
        <w:spacing w:after="300"/>
        <w:ind w:left="425"/>
        <w:contextualSpacing/>
      </w:pPr>
      <w:r>
        <w:t>highly focused lesson design with sharp objectives</w:t>
      </w:r>
    </w:p>
    <w:p w:rsidR="002460F0" w:rsidRDefault="006361A1">
      <w:pPr>
        <w:numPr>
          <w:ilvl w:val="0"/>
          <w:numId w:val="1"/>
        </w:numPr>
        <w:spacing w:after="300"/>
        <w:ind w:left="425"/>
        <w:contextualSpacing/>
      </w:pPr>
      <w:r>
        <w:t>high demands of pupil involvement and engagement with their learning</w:t>
      </w:r>
    </w:p>
    <w:p w:rsidR="002460F0" w:rsidRDefault="006361A1">
      <w:pPr>
        <w:numPr>
          <w:ilvl w:val="0"/>
          <w:numId w:val="1"/>
        </w:numPr>
        <w:spacing w:after="300"/>
        <w:ind w:left="425"/>
        <w:contextualSpacing/>
      </w:pPr>
      <w:r>
        <w:t>high levels of interaction for all pupils</w:t>
      </w:r>
    </w:p>
    <w:p w:rsidR="002460F0" w:rsidRDefault="006361A1">
      <w:pPr>
        <w:numPr>
          <w:ilvl w:val="0"/>
          <w:numId w:val="1"/>
        </w:numPr>
        <w:spacing w:after="300"/>
        <w:ind w:left="425"/>
        <w:contextualSpacing/>
      </w:pPr>
      <w:r>
        <w:t>appropriate use of teacher questioning, modelling and explaining</w:t>
      </w:r>
    </w:p>
    <w:p w:rsidR="002460F0" w:rsidRDefault="006361A1">
      <w:pPr>
        <w:numPr>
          <w:ilvl w:val="0"/>
          <w:numId w:val="1"/>
        </w:numPr>
        <w:spacing w:after="300"/>
        <w:ind w:left="425"/>
        <w:contextualSpacing/>
      </w:pPr>
      <w:r>
        <w:t>an emphasis on learning throu</w:t>
      </w:r>
      <w:r>
        <w:t>gh dialogue, with regular opportunities for pupils to talk both individually and in groups</w:t>
      </w:r>
    </w:p>
    <w:p w:rsidR="002460F0" w:rsidRDefault="006361A1">
      <w:pPr>
        <w:numPr>
          <w:ilvl w:val="0"/>
          <w:numId w:val="1"/>
        </w:numPr>
        <w:spacing w:after="300"/>
        <w:ind w:left="425"/>
        <w:contextualSpacing/>
      </w:pPr>
      <w:r>
        <w:t>an expectation that pupils will accept responsibility for their own learning and work independently</w:t>
      </w:r>
    </w:p>
    <w:p w:rsidR="002460F0" w:rsidRDefault="006361A1">
      <w:pPr>
        <w:numPr>
          <w:ilvl w:val="0"/>
          <w:numId w:val="1"/>
        </w:numPr>
        <w:spacing w:after="300" w:line="240" w:lineRule="auto"/>
        <w:ind w:left="425"/>
        <w:contextualSpacing/>
      </w:pPr>
      <w:proofErr w:type="gramStart"/>
      <w:r>
        <w:t>regular</w:t>
      </w:r>
      <w:proofErr w:type="gramEnd"/>
      <w:r>
        <w:t xml:space="preserve"> use of encouragement and authentic praise to engage and m</w:t>
      </w:r>
      <w:r>
        <w:t>otivate pupils.</w:t>
      </w:r>
    </w:p>
    <w:p w:rsidR="002460F0" w:rsidRDefault="006361A1">
      <w:pPr>
        <w:shd w:val="clear" w:color="auto" w:fill="FFFFFF"/>
        <w:spacing w:before="300" w:after="300" w:line="240" w:lineRule="auto"/>
        <w:ind w:left="425" w:hanging="360"/>
        <w:jc w:val="right"/>
      </w:pPr>
      <w:r>
        <w:t xml:space="preserve">(DCSF, 2008) </w:t>
      </w:r>
      <w:r>
        <w:rPr>
          <w:i/>
        </w:rPr>
        <w:t>Personalised learning – a practical guide</w:t>
      </w:r>
      <w:r>
        <w:t xml:space="preserve"> 00844-2008DOM-EN</w:t>
      </w:r>
    </w:p>
    <w:p w:rsidR="002460F0" w:rsidRDefault="006361A1">
      <w:pPr>
        <w:shd w:val="clear" w:color="auto" w:fill="FFFFFF"/>
        <w:spacing w:before="300" w:after="300" w:line="240" w:lineRule="auto"/>
      </w:pPr>
      <w:r>
        <w:t xml:space="preserve">QFT should be on offer to all students; the inclusion of all in high quality, </w:t>
      </w:r>
      <w:proofErr w:type="gramStart"/>
      <w:r>
        <w:t>everyday  personalised</w:t>
      </w:r>
      <w:proofErr w:type="gramEnd"/>
      <w:r>
        <w:t xml:space="preserve"> learning. The approaches listed below are cited as being the best w</w:t>
      </w:r>
      <w:r>
        <w:t xml:space="preserve">ay to reduce from the start the number of learners who need support with their learning and/or behaviour. The list could help remind classroom teachers about strategies to employ in order to engage and motivate all students, including those where there is </w:t>
      </w:r>
      <w:r>
        <w:t>concern about progress:</w:t>
      </w:r>
    </w:p>
    <w:tbl>
      <w:tblPr>
        <w:tblStyle w:val="a"/>
        <w:tblW w:w="904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780"/>
        <w:gridCol w:w="3735"/>
        <w:gridCol w:w="720"/>
      </w:tblGrid>
      <w:tr w:rsidR="002460F0">
        <w:trPr>
          <w:trHeight w:val="420"/>
        </w:trPr>
        <w:tc>
          <w:tcPr>
            <w:tcW w:w="4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Lessons should include:</w:t>
            </w:r>
          </w:p>
        </w:tc>
        <w:tc>
          <w:tcPr>
            <w:tcW w:w="445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Teachers should provide opportunities for :</w:t>
            </w:r>
          </w:p>
        </w:tc>
      </w:tr>
      <w:tr w:rsidR="002460F0">
        <w:tc>
          <w:tcPr>
            <w:tcW w:w="381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Freedom and flexibility</w:t>
            </w:r>
          </w:p>
        </w:tc>
        <w:tc>
          <w:tcPr>
            <w:tcW w:w="780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top w:val="single" w:sz="12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Reflecting on and talking through a process</w:t>
            </w:r>
          </w:p>
        </w:tc>
        <w:tc>
          <w:tcPr>
            <w:tcW w:w="72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Consistency of expectations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Reflecting and evaluating at the end of a process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Explaining and illustrating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Exploring and investigating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Guided learning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Choosing tasks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An element of humour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Working with different people within well thought out group work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Directing and telling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Developing independence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The chance to have fun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Working at individual pace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Explanations of clear targets and how to reach them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Interesting and relevant extension activities when work is completed quickly 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Summarising and reminding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Making useful mistakes, and learning from them in a supportive environment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lastRenderedPageBreak/>
              <w:t>Practical work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Taking risks when working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Study skills taught through subjects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Extended interaction and dialogue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Treating children as intellectual equals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Challenging beliefs and perceptions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Variety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Alternative forms of recording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Chances to have the whole class involved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Working beyond the syllabus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Quizzes and competitions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Questioning and being curious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Thinking activities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Investigation and problem solving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Drama and role play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Making connections with the real world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Activities of varying length appropriate to task and need of class/individual learner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Demonstration (teacher and other pupils)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spacing w:line="240" w:lineRule="auto"/>
            </w:pPr>
          </w:p>
          <w:p w:rsidR="002460F0" w:rsidRDefault="006361A1">
            <w:pPr>
              <w:widowControl w:val="0"/>
              <w:spacing w:line="240" w:lineRule="auto"/>
            </w:pPr>
            <w:r>
              <w:t>Time limited tasks</w:t>
            </w:r>
          </w:p>
        </w:tc>
        <w:tc>
          <w:tcPr>
            <w:tcW w:w="7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Consolidating and embedding learning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0F0">
        <w:tc>
          <w:tcPr>
            <w:tcW w:w="381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spacing w:line="240" w:lineRule="auto"/>
            </w:pPr>
            <w:r>
              <w:t>A focus on big ideas</w:t>
            </w:r>
          </w:p>
        </w:tc>
        <w:tc>
          <w:tcPr>
            <w:tcW w:w="780" w:type="dxa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tcBorders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636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Demonstrating their own love of learning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F0" w:rsidRDefault="0024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460F0" w:rsidRDefault="002460F0"/>
    <w:sectPr w:rsidR="002460F0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61A1">
      <w:pPr>
        <w:spacing w:line="240" w:lineRule="auto"/>
      </w:pPr>
      <w:r>
        <w:separator/>
      </w:r>
    </w:p>
  </w:endnote>
  <w:endnote w:type="continuationSeparator" w:id="0">
    <w:p w:rsidR="00000000" w:rsidRDefault="00636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0" w:rsidRDefault="006361A1">
    <w:pPr>
      <w:rPr>
        <w:sz w:val="20"/>
        <w:szCs w:val="20"/>
      </w:rPr>
    </w:pPr>
    <w:r>
      <w:rPr>
        <w:sz w:val="20"/>
        <w:szCs w:val="20"/>
      </w:rPr>
      <w:t>Version 1 June 2018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0" w:rsidRDefault="006361A1">
    <w:pPr>
      <w:rPr>
        <w:sz w:val="20"/>
        <w:szCs w:val="20"/>
      </w:rPr>
    </w:pPr>
    <w:r>
      <w:rPr>
        <w:sz w:val="20"/>
        <w:szCs w:val="20"/>
      </w:rPr>
      <w:t>Version 1 June 2018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61A1">
      <w:pPr>
        <w:spacing w:line="240" w:lineRule="auto"/>
      </w:pPr>
      <w:r>
        <w:separator/>
      </w:r>
    </w:p>
  </w:footnote>
  <w:footnote w:type="continuationSeparator" w:id="0">
    <w:p w:rsidR="00000000" w:rsidRDefault="00636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0" w:rsidRDefault="002460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0" w:rsidRDefault="006361A1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1857375</wp:posOffset>
          </wp:positionH>
          <wp:positionV relativeFrom="paragraph">
            <wp:posOffset>104776</wp:posOffset>
          </wp:positionV>
          <wp:extent cx="1743075" cy="738681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7386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6111C"/>
    <w:multiLevelType w:val="multilevel"/>
    <w:tmpl w:val="166C86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60F0"/>
    <w:rsid w:val="002460F0"/>
    <w:rsid w:val="0063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Angela</dc:creator>
  <cp:lastModifiedBy>Davies, Angela</cp:lastModifiedBy>
  <cp:revision>2</cp:revision>
  <dcterms:created xsi:type="dcterms:W3CDTF">2018-06-19T14:58:00Z</dcterms:created>
  <dcterms:modified xsi:type="dcterms:W3CDTF">2018-06-19T14:58:00Z</dcterms:modified>
</cp:coreProperties>
</file>