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DFF9" w14:textId="2C1BED7E" w:rsidR="008012F3" w:rsidRDefault="00154AA6">
      <w:pPr>
        <w:pStyle w:val="Heading3"/>
        <w:keepLines w:val="0"/>
        <w:spacing w:before="0" w:after="0" w:line="240" w:lineRule="auto"/>
        <w:jc w:val="center"/>
        <w:rPr>
          <w:color w:val="000000"/>
        </w:rPr>
      </w:pPr>
      <w:r>
        <w:rPr>
          <w:b/>
          <w:color w:val="000000"/>
        </w:rPr>
        <w:t>HACKNEY CARRIAGE VEHICLE LICENCE</w:t>
      </w:r>
    </w:p>
    <w:p w14:paraId="2A3F3D85" w14:textId="77777777" w:rsidR="008012F3" w:rsidRDefault="008012F3">
      <w:pPr>
        <w:spacing w:line="240" w:lineRule="auto"/>
        <w:rPr>
          <w:sz w:val="28"/>
          <w:szCs w:val="28"/>
        </w:rPr>
      </w:pPr>
    </w:p>
    <w:p w14:paraId="5727E23E" w14:textId="77777777" w:rsidR="008012F3" w:rsidRDefault="00154AA6">
      <w:pPr>
        <w:spacing w:line="240" w:lineRule="auto"/>
      </w:pPr>
      <w:r>
        <w:t>The application form should be completed in BLOCK CAPITALS.  Where the required relevant information is not provided, applications may not be accepted and may be returned to the applicant.</w:t>
      </w:r>
    </w:p>
    <w:p w14:paraId="301F56F1" w14:textId="77777777" w:rsidR="008012F3" w:rsidRDefault="008012F3">
      <w:pPr>
        <w:spacing w:line="240" w:lineRule="auto"/>
        <w:rPr>
          <w:sz w:val="16"/>
          <w:szCs w:val="16"/>
        </w:rPr>
      </w:pPr>
    </w:p>
    <w:p w14:paraId="67E18C4C" w14:textId="77777777" w:rsidR="00045DCC" w:rsidRPr="00A1391A" w:rsidRDefault="00045DCC" w:rsidP="00045DCC">
      <w:pPr>
        <w:pBdr>
          <w:top w:val="single" w:sz="4" w:space="1" w:color="000000"/>
          <w:left w:val="single" w:sz="4" w:space="4" w:color="000000"/>
          <w:bottom w:val="single" w:sz="4" w:space="1" w:color="000000"/>
          <w:right w:val="single" w:sz="4" w:space="4" w:color="000000"/>
        </w:pBdr>
        <w:spacing w:line="240" w:lineRule="auto"/>
        <w:rPr>
          <w:b/>
        </w:rPr>
      </w:pPr>
      <w:r w:rsidRPr="00A1391A">
        <w:rPr>
          <w:b/>
        </w:rPr>
        <w:t xml:space="preserve">You can check </w:t>
      </w:r>
      <w:r>
        <w:rPr>
          <w:b/>
        </w:rPr>
        <w:t xml:space="preserve">the Euro Status of your vehicle </w:t>
      </w:r>
      <w:r w:rsidRPr="00A1391A">
        <w:rPr>
          <w:b/>
        </w:rPr>
        <w:t xml:space="preserve">on </w:t>
      </w:r>
      <w:hyperlink r:id="rId7" w:history="1">
        <w:r w:rsidRPr="00A1391A">
          <w:rPr>
            <w:bCs/>
            <w:color w:val="0000FF" w:themeColor="hyperlink"/>
            <w:u w:val="single"/>
          </w:rPr>
          <w:t>https://www.hpi.co.uk/content/diesel-news-the-future-of-diesel/hpi-euro-emission-standards-checker/</w:t>
        </w:r>
      </w:hyperlink>
      <w:r w:rsidRPr="00A1391A">
        <w:rPr>
          <w:bCs/>
        </w:rPr>
        <w:t xml:space="preserve"> </w:t>
      </w:r>
      <w:r w:rsidRPr="00A1391A">
        <w:rPr>
          <w:b/>
        </w:rPr>
        <w:t xml:space="preserve">or check with the manufacturer. </w:t>
      </w:r>
    </w:p>
    <w:p w14:paraId="2BEFDDED" w14:textId="77777777" w:rsidR="008012F3" w:rsidRDefault="008012F3">
      <w:pPr>
        <w:tabs>
          <w:tab w:val="center" w:pos="4153"/>
          <w:tab w:val="right" w:pos="8306"/>
        </w:tabs>
        <w:spacing w:line="240" w:lineRule="auto"/>
        <w:jc w:val="both"/>
        <w:rPr>
          <w:sz w:val="16"/>
          <w:szCs w:val="16"/>
        </w:rPr>
      </w:pPr>
    </w:p>
    <w:p w14:paraId="2C2194A8" w14:textId="77777777" w:rsidR="008012F3" w:rsidRDefault="00154AA6">
      <w:pPr>
        <w:tabs>
          <w:tab w:val="center" w:pos="4153"/>
          <w:tab w:val="right" w:pos="8306"/>
        </w:tabs>
        <w:spacing w:line="240" w:lineRule="auto"/>
      </w:pPr>
      <w:r>
        <w:t xml:space="preserve">Please note that applications are not complete unless they contain </w:t>
      </w:r>
      <w:r>
        <w:rPr>
          <w:b/>
          <w:u w:val="single"/>
        </w:rPr>
        <w:t>all</w:t>
      </w:r>
      <w:r>
        <w:t xml:space="preserve"> the documentation listed below.</w:t>
      </w:r>
    </w:p>
    <w:p w14:paraId="1F50B66B" w14:textId="77777777" w:rsidR="008012F3" w:rsidRDefault="008012F3">
      <w:pPr>
        <w:tabs>
          <w:tab w:val="center" w:pos="4153"/>
          <w:tab w:val="right" w:pos="8306"/>
        </w:tabs>
        <w:spacing w:line="240" w:lineRule="auto"/>
        <w:rPr>
          <w:sz w:val="16"/>
          <w:szCs w:val="16"/>
        </w:rPr>
      </w:pPr>
    </w:p>
    <w:p w14:paraId="7672E1FD" w14:textId="77777777" w:rsidR="008012F3" w:rsidRDefault="00154AA6">
      <w:pPr>
        <w:numPr>
          <w:ilvl w:val="0"/>
          <w:numId w:val="3"/>
        </w:numPr>
        <w:tabs>
          <w:tab w:val="center" w:pos="4153"/>
          <w:tab w:val="right" w:pos="8306"/>
        </w:tabs>
        <w:spacing w:line="240" w:lineRule="auto"/>
      </w:pPr>
      <w:r>
        <w:t>Fully completed application form</w:t>
      </w:r>
    </w:p>
    <w:p w14:paraId="30548CD0" w14:textId="77777777" w:rsidR="008012F3" w:rsidRDefault="00154AA6">
      <w:pPr>
        <w:numPr>
          <w:ilvl w:val="0"/>
          <w:numId w:val="3"/>
        </w:numPr>
        <w:tabs>
          <w:tab w:val="center" w:pos="4153"/>
          <w:tab w:val="right" w:pos="8306"/>
        </w:tabs>
        <w:spacing w:line="240" w:lineRule="auto"/>
      </w:pPr>
      <w:r>
        <w:t>Registration document in the proprietor’s name</w:t>
      </w:r>
    </w:p>
    <w:p w14:paraId="36AAE29A" w14:textId="77777777" w:rsidR="008012F3" w:rsidRDefault="00154AA6">
      <w:pPr>
        <w:numPr>
          <w:ilvl w:val="0"/>
          <w:numId w:val="3"/>
        </w:numPr>
        <w:tabs>
          <w:tab w:val="center" w:pos="4153"/>
          <w:tab w:val="right" w:pos="8306"/>
        </w:tabs>
        <w:spacing w:line="240" w:lineRule="auto"/>
      </w:pPr>
      <w:r>
        <w:t>Current certificate of insurance and schedule if on a fleet policy. The insurance certificate submitted must cover the vehicle to be used as a hackney carriage. Where the applicant is not the holder of the insurance, the Council may require further information.</w:t>
      </w:r>
    </w:p>
    <w:p w14:paraId="54C3FC05" w14:textId="77777777" w:rsidR="008012F3" w:rsidRDefault="00154AA6">
      <w:pPr>
        <w:numPr>
          <w:ilvl w:val="0"/>
          <w:numId w:val="3"/>
        </w:numPr>
        <w:tabs>
          <w:tab w:val="center" w:pos="4153"/>
          <w:tab w:val="right" w:pos="8306"/>
        </w:tabs>
        <w:spacing w:line="240" w:lineRule="auto"/>
      </w:pPr>
      <w:r>
        <w:t xml:space="preserve">Meter certificate completed by meter installer </w:t>
      </w:r>
    </w:p>
    <w:p w14:paraId="7DA82FFE" w14:textId="77777777" w:rsidR="008012F3" w:rsidRDefault="00154AA6">
      <w:pPr>
        <w:numPr>
          <w:ilvl w:val="0"/>
          <w:numId w:val="3"/>
        </w:numPr>
        <w:tabs>
          <w:tab w:val="center" w:pos="4153"/>
          <w:tab w:val="right" w:pos="8306"/>
        </w:tabs>
        <w:spacing w:line="240" w:lineRule="auto"/>
      </w:pPr>
      <w:r>
        <w:t>A vehicle inspection certificate (MOT and Taxi Compliance Report) – see vehicle testing below.</w:t>
      </w:r>
    </w:p>
    <w:p w14:paraId="38461DDB" w14:textId="77777777" w:rsidR="008012F3" w:rsidRDefault="00154AA6">
      <w:pPr>
        <w:numPr>
          <w:ilvl w:val="0"/>
          <w:numId w:val="3"/>
        </w:numPr>
        <w:tabs>
          <w:tab w:val="center" w:pos="4153"/>
          <w:tab w:val="right" w:pos="8306"/>
        </w:tabs>
        <w:spacing w:line="240" w:lineRule="auto"/>
      </w:pPr>
      <w:r>
        <w:t>Proof of payment of licence fees</w:t>
      </w:r>
    </w:p>
    <w:p w14:paraId="74F43AB0" w14:textId="77777777" w:rsidR="008012F3" w:rsidRDefault="00154AA6">
      <w:pPr>
        <w:numPr>
          <w:ilvl w:val="0"/>
          <w:numId w:val="3"/>
        </w:numPr>
        <w:tabs>
          <w:tab w:val="center" w:pos="4153"/>
          <w:tab w:val="right" w:pos="8306"/>
        </w:tabs>
        <w:spacing w:line="240" w:lineRule="auto"/>
      </w:pPr>
      <w:r>
        <w:t>Individual Vehicle Approval certificate or equivalent documentation where the vehicle has been subject to any modification that may affect its conformity to the terms of its type approval certificate</w:t>
      </w:r>
    </w:p>
    <w:p w14:paraId="587C73DD" w14:textId="33AD036C" w:rsidR="008012F3" w:rsidRDefault="00154AA6">
      <w:pPr>
        <w:numPr>
          <w:ilvl w:val="0"/>
          <w:numId w:val="2"/>
        </w:numPr>
        <w:tabs>
          <w:tab w:val="center" w:pos="4153"/>
          <w:tab w:val="right" w:pos="8306"/>
        </w:tabs>
        <w:spacing w:line="240" w:lineRule="auto"/>
      </w:pPr>
      <w:r>
        <w:t xml:space="preserve">Evidence of compliance with Euro </w:t>
      </w:r>
      <w:r w:rsidR="00393AC1">
        <w:t>VI</w:t>
      </w:r>
      <w:r>
        <w:t xml:space="preserve"> Technology standard</w:t>
      </w:r>
    </w:p>
    <w:p w14:paraId="79F1C9B1" w14:textId="77777777" w:rsidR="00F262E6" w:rsidRDefault="00154AA6" w:rsidP="00F262E6">
      <w:pPr>
        <w:numPr>
          <w:ilvl w:val="0"/>
          <w:numId w:val="2"/>
        </w:numPr>
        <w:tabs>
          <w:tab w:val="center" w:pos="4153"/>
          <w:tab w:val="right" w:pos="8306"/>
        </w:tabs>
        <w:spacing w:line="240" w:lineRule="auto"/>
      </w:pPr>
      <w:r>
        <w:t>Current plat</w:t>
      </w:r>
      <w:r w:rsidR="00F262E6">
        <w:t>e</w:t>
      </w:r>
    </w:p>
    <w:p w14:paraId="3975BDED" w14:textId="6BED9757" w:rsidR="008012F3" w:rsidRDefault="00F262E6" w:rsidP="00F262E6">
      <w:pPr>
        <w:numPr>
          <w:ilvl w:val="0"/>
          <w:numId w:val="2"/>
        </w:numPr>
        <w:tabs>
          <w:tab w:val="center" w:pos="4153"/>
          <w:tab w:val="right" w:pos="8306"/>
        </w:tabs>
        <w:spacing w:line="240" w:lineRule="auto"/>
      </w:pPr>
      <w:r>
        <w:t>Indicate in appropriate box whether applying as Sole Trader or Limited Company</w:t>
      </w:r>
      <w:r>
        <w:br/>
      </w:r>
    </w:p>
    <w:p w14:paraId="7504025D" w14:textId="77777777" w:rsidR="008012F3" w:rsidRDefault="008012F3">
      <w:pPr>
        <w:tabs>
          <w:tab w:val="center" w:pos="4153"/>
          <w:tab w:val="right" w:pos="8306"/>
        </w:tabs>
        <w:spacing w:line="240" w:lineRule="auto"/>
        <w:rPr>
          <w:sz w:val="16"/>
          <w:szCs w:val="16"/>
        </w:rPr>
      </w:pPr>
    </w:p>
    <w:p w14:paraId="35DB9EC0" w14:textId="77777777" w:rsidR="008012F3" w:rsidRDefault="00154AA6">
      <w:pPr>
        <w:tabs>
          <w:tab w:val="center" w:pos="4153"/>
          <w:tab w:val="right" w:pos="8306"/>
        </w:tabs>
        <w:spacing w:line="240" w:lineRule="auto"/>
        <w:rPr>
          <w:b/>
          <w:u w:val="single"/>
        </w:rPr>
      </w:pPr>
      <w:r>
        <w:rPr>
          <w:b/>
          <w:u w:val="single"/>
        </w:rPr>
        <w:t>Vehicle Testing</w:t>
      </w:r>
    </w:p>
    <w:p w14:paraId="4565F40E" w14:textId="77777777" w:rsidR="008012F3" w:rsidRDefault="00154AA6">
      <w:pPr>
        <w:spacing w:before="200" w:line="240" w:lineRule="auto"/>
      </w:pPr>
      <w:r>
        <w:t>Applicants should arrange directly with one of the garages listed overleaf for the vehicle to be inspected. The inspection fee is payable to the garage at the time of inspection. The fee for the inspection is £55.00. Vehicles must be tested at one of the garages listed below.</w:t>
      </w:r>
    </w:p>
    <w:p w14:paraId="7350A1C9" w14:textId="77777777" w:rsidR="008012F3" w:rsidRDefault="008012F3">
      <w:pPr>
        <w:spacing w:line="240" w:lineRule="auto"/>
      </w:pPr>
    </w:p>
    <w:tbl>
      <w:tblPr>
        <w:tblStyle w:val="a"/>
        <w:tblW w:w="11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27"/>
        <w:gridCol w:w="2713"/>
      </w:tblGrid>
      <w:tr w:rsidR="008012F3" w14:paraId="6F27132C" w14:textId="77777777">
        <w:trPr>
          <w:jc w:val="center"/>
        </w:trPr>
        <w:tc>
          <w:tcPr>
            <w:tcW w:w="7060" w:type="dxa"/>
            <w:tcBorders>
              <w:top w:val="single" w:sz="4" w:space="0" w:color="000000"/>
              <w:left w:val="single" w:sz="4" w:space="0" w:color="000000"/>
              <w:bottom w:val="single" w:sz="4" w:space="0" w:color="000000"/>
              <w:right w:val="single" w:sz="4" w:space="0" w:color="000000"/>
            </w:tcBorders>
          </w:tcPr>
          <w:p w14:paraId="775BA104" w14:textId="77777777" w:rsidR="008012F3" w:rsidRDefault="008012F3">
            <w:pPr>
              <w:spacing w:line="240" w:lineRule="auto"/>
              <w:rPr>
                <w:b/>
              </w:rPr>
            </w:pPr>
          </w:p>
          <w:p w14:paraId="113D002E" w14:textId="77777777" w:rsidR="008012F3" w:rsidRDefault="00154AA6">
            <w:pPr>
              <w:spacing w:line="240" w:lineRule="auto"/>
              <w:rPr>
                <w:b/>
              </w:rPr>
            </w:pPr>
            <w:r>
              <w:rPr>
                <w:b/>
              </w:rPr>
              <w:t>Address</w:t>
            </w:r>
          </w:p>
          <w:p w14:paraId="6C3CA393" w14:textId="77777777" w:rsidR="008012F3" w:rsidRDefault="008012F3">
            <w:pPr>
              <w:spacing w:line="240" w:lineRule="auto"/>
              <w:rPr>
                <w:b/>
              </w:rPr>
            </w:pPr>
          </w:p>
        </w:tc>
        <w:tc>
          <w:tcPr>
            <w:tcW w:w="2300" w:type="dxa"/>
            <w:tcBorders>
              <w:top w:val="single" w:sz="4" w:space="0" w:color="000000"/>
              <w:left w:val="single" w:sz="4" w:space="0" w:color="000000"/>
              <w:bottom w:val="single" w:sz="4" w:space="0" w:color="000000"/>
              <w:right w:val="single" w:sz="4" w:space="0" w:color="000000"/>
            </w:tcBorders>
          </w:tcPr>
          <w:p w14:paraId="6D5C2773" w14:textId="77777777" w:rsidR="008012F3" w:rsidRDefault="008012F3">
            <w:pPr>
              <w:spacing w:line="240" w:lineRule="auto"/>
              <w:rPr>
                <w:b/>
              </w:rPr>
            </w:pPr>
          </w:p>
          <w:p w14:paraId="03625A19" w14:textId="77777777" w:rsidR="008012F3" w:rsidRDefault="00154AA6">
            <w:pPr>
              <w:spacing w:line="240" w:lineRule="auto"/>
            </w:pPr>
            <w:r>
              <w:rPr>
                <w:b/>
              </w:rPr>
              <w:t>Telephone no</w:t>
            </w:r>
          </w:p>
        </w:tc>
      </w:tr>
      <w:tr w:rsidR="008012F3" w14:paraId="3B28569E" w14:textId="77777777">
        <w:trPr>
          <w:jc w:val="center"/>
        </w:trPr>
        <w:tc>
          <w:tcPr>
            <w:tcW w:w="7060" w:type="dxa"/>
            <w:tcBorders>
              <w:top w:val="single" w:sz="4" w:space="0" w:color="000000"/>
              <w:left w:val="single" w:sz="4" w:space="0" w:color="000000"/>
              <w:bottom w:val="single" w:sz="4" w:space="0" w:color="000000"/>
              <w:right w:val="single" w:sz="4" w:space="0" w:color="000000"/>
            </w:tcBorders>
          </w:tcPr>
          <w:p w14:paraId="491771A0" w14:textId="77777777" w:rsidR="008012F3" w:rsidRDefault="00154AA6">
            <w:pPr>
              <w:spacing w:line="240" w:lineRule="auto"/>
            </w:pPr>
            <w:r>
              <w:t>Alnwick Depot, Northumberland County Council, Lionheart Industrial Park, Blackthorn Close, Alnwick, NE66 2ER</w:t>
            </w:r>
          </w:p>
        </w:tc>
        <w:tc>
          <w:tcPr>
            <w:tcW w:w="2300" w:type="dxa"/>
            <w:tcBorders>
              <w:top w:val="single" w:sz="4" w:space="0" w:color="000000"/>
              <w:left w:val="single" w:sz="4" w:space="0" w:color="000000"/>
              <w:bottom w:val="single" w:sz="4" w:space="0" w:color="000000"/>
              <w:right w:val="single" w:sz="4" w:space="0" w:color="000000"/>
            </w:tcBorders>
          </w:tcPr>
          <w:p w14:paraId="236EDDAB" w14:textId="77777777" w:rsidR="008012F3" w:rsidRDefault="00154AA6">
            <w:pPr>
              <w:spacing w:line="240" w:lineRule="auto"/>
            </w:pPr>
            <w:r>
              <w:t>01670 624392</w:t>
            </w:r>
          </w:p>
          <w:p w14:paraId="6F3ABB17" w14:textId="77777777" w:rsidR="008012F3" w:rsidRDefault="008012F3">
            <w:pPr>
              <w:spacing w:line="240" w:lineRule="auto"/>
            </w:pPr>
          </w:p>
        </w:tc>
      </w:tr>
      <w:tr w:rsidR="008012F3" w14:paraId="33CC87AE" w14:textId="77777777">
        <w:trPr>
          <w:jc w:val="center"/>
        </w:trPr>
        <w:tc>
          <w:tcPr>
            <w:tcW w:w="7060" w:type="dxa"/>
            <w:tcBorders>
              <w:top w:val="single" w:sz="4" w:space="0" w:color="000000"/>
              <w:left w:val="single" w:sz="4" w:space="0" w:color="000000"/>
              <w:bottom w:val="single" w:sz="4" w:space="0" w:color="000000"/>
              <w:right w:val="single" w:sz="4" w:space="0" w:color="000000"/>
            </w:tcBorders>
          </w:tcPr>
          <w:p w14:paraId="158FCF95" w14:textId="77777777" w:rsidR="008012F3" w:rsidRDefault="00154AA6">
            <w:pPr>
              <w:spacing w:line="240" w:lineRule="auto"/>
            </w:pPr>
            <w:proofErr w:type="spellStart"/>
            <w:r>
              <w:t>Stakeford</w:t>
            </w:r>
            <w:proofErr w:type="spellEnd"/>
            <w:r>
              <w:t xml:space="preserve"> Depot, Northumberland County Council, East View, </w:t>
            </w:r>
            <w:proofErr w:type="spellStart"/>
            <w:r>
              <w:t>Stakeford</w:t>
            </w:r>
            <w:proofErr w:type="spellEnd"/>
            <w:r>
              <w:t>, Choppington, NE62 5TR</w:t>
            </w:r>
          </w:p>
        </w:tc>
        <w:tc>
          <w:tcPr>
            <w:tcW w:w="2300" w:type="dxa"/>
            <w:tcBorders>
              <w:top w:val="single" w:sz="4" w:space="0" w:color="000000"/>
              <w:left w:val="single" w:sz="4" w:space="0" w:color="000000"/>
              <w:bottom w:val="single" w:sz="4" w:space="0" w:color="000000"/>
              <w:right w:val="single" w:sz="4" w:space="0" w:color="000000"/>
            </w:tcBorders>
          </w:tcPr>
          <w:p w14:paraId="491B34FC" w14:textId="77777777" w:rsidR="008012F3" w:rsidRDefault="00154AA6">
            <w:pPr>
              <w:spacing w:line="240" w:lineRule="auto"/>
            </w:pPr>
            <w:r>
              <w:t>01670 622937</w:t>
            </w:r>
          </w:p>
        </w:tc>
      </w:tr>
      <w:tr w:rsidR="008012F3" w14:paraId="7BE46B90" w14:textId="77777777">
        <w:trPr>
          <w:jc w:val="center"/>
        </w:trPr>
        <w:tc>
          <w:tcPr>
            <w:tcW w:w="7060" w:type="dxa"/>
            <w:tcBorders>
              <w:top w:val="single" w:sz="4" w:space="0" w:color="000000"/>
              <w:left w:val="single" w:sz="4" w:space="0" w:color="000000"/>
              <w:bottom w:val="single" w:sz="4" w:space="0" w:color="000000"/>
              <w:right w:val="single" w:sz="4" w:space="0" w:color="000000"/>
            </w:tcBorders>
          </w:tcPr>
          <w:p w14:paraId="487DF9C6" w14:textId="77777777" w:rsidR="008012F3" w:rsidRDefault="00154AA6">
            <w:pPr>
              <w:spacing w:line="240" w:lineRule="auto"/>
            </w:pPr>
            <w:r>
              <w:t>Tyne Mills Depot, Northumberland County Council, Tyne Mills Industrial Estate, Hexham NE46 1XW</w:t>
            </w:r>
          </w:p>
        </w:tc>
        <w:tc>
          <w:tcPr>
            <w:tcW w:w="2300" w:type="dxa"/>
            <w:tcBorders>
              <w:top w:val="single" w:sz="4" w:space="0" w:color="000000"/>
              <w:left w:val="single" w:sz="4" w:space="0" w:color="000000"/>
              <w:bottom w:val="single" w:sz="4" w:space="0" w:color="000000"/>
              <w:right w:val="single" w:sz="4" w:space="0" w:color="000000"/>
            </w:tcBorders>
          </w:tcPr>
          <w:p w14:paraId="23E3F96C" w14:textId="77777777" w:rsidR="008012F3" w:rsidRDefault="00154AA6">
            <w:pPr>
              <w:spacing w:line="240" w:lineRule="auto"/>
            </w:pPr>
            <w:r>
              <w:t>01670 623746</w:t>
            </w:r>
          </w:p>
        </w:tc>
      </w:tr>
    </w:tbl>
    <w:p w14:paraId="04FF7086" w14:textId="77777777" w:rsidR="008012F3" w:rsidRDefault="008012F3">
      <w:pPr>
        <w:spacing w:line="240" w:lineRule="auto"/>
        <w:jc w:val="both"/>
      </w:pPr>
    </w:p>
    <w:p w14:paraId="568C65DF" w14:textId="77777777" w:rsidR="008012F3" w:rsidRDefault="00154AA6">
      <w:pPr>
        <w:spacing w:line="240" w:lineRule="auto"/>
      </w:pPr>
      <w:r>
        <w:t>Once the vehicle has passed the inspection the garage will provide the applicant with a vehicle testing certificate. This certificate must be submitted with the licence application. Applicants are advised that all vehicle test certificates are valid for 28 days only.</w:t>
      </w:r>
    </w:p>
    <w:p w14:paraId="632D07C2" w14:textId="77777777" w:rsidR="008012F3" w:rsidRDefault="008012F3">
      <w:pPr>
        <w:spacing w:line="240" w:lineRule="auto"/>
      </w:pPr>
    </w:p>
    <w:p w14:paraId="518F7EF5" w14:textId="77777777" w:rsidR="008012F3" w:rsidRDefault="00154AA6">
      <w:pPr>
        <w:spacing w:line="240" w:lineRule="auto"/>
      </w:pPr>
      <w:r>
        <w:t>Where modifications have been carried out to the vehicle that may affect the vehicles conformity to the terms of the type approval certificate, the Council will require proof of SVA/IVA certificate.  These certificates should be produced at the time of vehicle inspection and may be required to be produced during the application process.</w:t>
      </w:r>
    </w:p>
    <w:p w14:paraId="0CF2A246" w14:textId="77777777" w:rsidR="00D33E34" w:rsidRDefault="00D33E34">
      <w:pPr>
        <w:spacing w:line="240" w:lineRule="auto"/>
      </w:pPr>
    </w:p>
    <w:p w14:paraId="3A87C86B" w14:textId="77777777" w:rsidR="00D33E34" w:rsidRDefault="00D33E34">
      <w:pPr>
        <w:spacing w:line="240" w:lineRule="auto"/>
      </w:pPr>
    </w:p>
    <w:p w14:paraId="16522BFD" w14:textId="77777777" w:rsidR="00D33E34" w:rsidRPr="002071D9" w:rsidRDefault="00D33E34" w:rsidP="00D33E34">
      <w:pPr>
        <w:spacing w:line="240" w:lineRule="auto"/>
        <w:jc w:val="both"/>
        <w:rPr>
          <w:b/>
          <w:u w:val="single"/>
        </w:rPr>
      </w:pPr>
      <w:bookmarkStart w:id="0" w:name="_Hlk163816931"/>
      <w:r w:rsidRPr="002071D9">
        <w:rPr>
          <w:b/>
          <w:u w:val="single"/>
        </w:rPr>
        <w:t>Replacement Vehicle Applications</w:t>
      </w:r>
    </w:p>
    <w:p w14:paraId="696E569C" w14:textId="77777777" w:rsidR="00D33E34" w:rsidRPr="002071D9" w:rsidRDefault="00D33E34" w:rsidP="00D33E34">
      <w:pPr>
        <w:spacing w:line="240" w:lineRule="auto"/>
        <w:jc w:val="both"/>
      </w:pPr>
    </w:p>
    <w:p w14:paraId="48FD865F" w14:textId="77777777" w:rsidR="00D33E34" w:rsidRPr="002071D9" w:rsidRDefault="00D33E34" w:rsidP="00D33E34">
      <w:pPr>
        <w:spacing w:line="240" w:lineRule="auto"/>
        <w:jc w:val="both"/>
      </w:pPr>
      <w:r w:rsidRPr="002071D9">
        <w:lastRenderedPageBreak/>
        <w:t>Where the application is to licence a replacement vehicle, the licence and identification plate for that vehicle will not be issued until the identification plate for the vehicle that is being replaced is returned.</w:t>
      </w:r>
    </w:p>
    <w:p w14:paraId="4118D356" w14:textId="77777777" w:rsidR="00D33E34" w:rsidRPr="002071D9" w:rsidRDefault="00D33E34" w:rsidP="00D33E34">
      <w:pPr>
        <w:spacing w:line="240" w:lineRule="auto"/>
        <w:jc w:val="both"/>
      </w:pPr>
    </w:p>
    <w:p w14:paraId="70706880" w14:textId="77777777" w:rsidR="00D33E34" w:rsidRPr="002071D9" w:rsidRDefault="00D33E34" w:rsidP="00D33E34">
      <w:pPr>
        <w:spacing w:line="240" w:lineRule="auto"/>
        <w:jc w:val="both"/>
      </w:pPr>
      <w:r w:rsidRPr="002071D9">
        <w:t xml:space="preserve">Licences for replacement vehicles will be granted for 1 year.  A refund </w:t>
      </w:r>
      <w:r>
        <w:t>of £12.50</w:t>
      </w:r>
      <w:r w:rsidRPr="002071D9">
        <w:t xml:space="preserve"> per calendar month remaining on the surrendered licence will be granted.</w:t>
      </w:r>
    </w:p>
    <w:bookmarkEnd w:id="0"/>
    <w:p w14:paraId="090662E9" w14:textId="77777777" w:rsidR="008012F3" w:rsidRDefault="008012F3">
      <w:pPr>
        <w:spacing w:line="240" w:lineRule="auto"/>
        <w:rPr>
          <w:sz w:val="16"/>
          <w:szCs w:val="16"/>
        </w:rPr>
      </w:pPr>
    </w:p>
    <w:p w14:paraId="550D3951" w14:textId="77777777" w:rsidR="008012F3" w:rsidRDefault="00154AA6">
      <w:pPr>
        <w:spacing w:line="240" w:lineRule="auto"/>
        <w:rPr>
          <w:u w:val="single"/>
        </w:rPr>
      </w:pPr>
      <w:r>
        <w:rPr>
          <w:b/>
          <w:u w:val="single"/>
        </w:rPr>
        <w:t>Payment of Licensing Fees</w:t>
      </w:r>
    </w:p>
    <w:p w14:paraId="775CCCDC" w14:textId="5498F180" w:rsidR="008012F3" w:rsidRDefault="00154AA6">
      <w:pPr>
        <w:spacing w:before="200" w:line="240" w:lineRule="auto"/>
      </w:pPr>
      <w:r>
        <w:t>The licence fee for a hackney carriage licence is £</w:t>
      </w:r>
      <w:r w:rsidR="00F262E6">
        <w:t>241.00</w:t>
      </w:r>
      <w:r>
        <w:t xml:space="preserve">  If there are full months outstanding on the current plate, please refer to the table below for fee</w:t>
      </w:r>
    </w:p>
    <w:p w14:paraId="3E2C1E77" w14:textId="77777777" w:rsidR="008012F3" w:rsidRDefault="008012F3">
      <w:pPr>
        <w:rPr>
          <w:sz w:val="16"/>
          <w:szCs w:val="16"/>
        </w:rPr>
      </w:pPr>
    </w:p>
    <w:tbl>
      <w:tblPr>
        <w:tblStyle w:val="a0"/>
        <w:tblW w:w="659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6"/>
        <w:gridCol w:w="3015"/>
      </w:tblGrid>
      <w:tr w:rsidR="00F262E6" w14:paraId="486A05F2" w14:textId="77777777" w:rsidTr="00F262E6">
        <w:tc>
          <w:tcPr>
            <w:tcW w:w="3576" w:type="dxa"/>
            <w:shd w:val="clear" w:color="auto" w:fill="auto"/>
            <w:tcMar>
              <w:top w:w="100" w:type="dxa"/>
              <w:left w:w="100" w:type="dxa"/>
              <w:bottom w:w="100" w:type="dxa"/>
              <w:right w:w="100" w:type="dxa"/>
            </w:tcMar>
          </w:tcPr>
          <w:p w14:paraId="3D998F86" w14:textId="77777777" w:rsidR="00F262E6" w:rsidRDefault="00F262E6">
            <w:pPr>
              <w:widowControl w:val="0"/>
              <w:spacing w:line="240" w:lineRule="auto"/>
            </w:pPr>
            <w:r>
              <w:t>Number of Full Calendar Months Remaining on Current Licence at time of complete application*</w:t>
            </w:r>
          </w:p>
        </w:tc>
        <w:tc>
          <w:tcPr>
            <w:tcW w:w="3015" w:type="dxa"/>
            <w:shd w:val="clear" w:color="auto" w:fill="auto"/>
            <w:tcMar>
              <w:top w:w="100" w:type="dxa"/>
              <w:left w:w="100" w:type="dxa"/>
              <w:bottom w:w="100" w:type="dxa"/>
              <w:right w:w="100" w:type="dxa"/>
            </w:tcMar>
          </w:tcPr>
          <w:p w14:paraId="4723EEC8" w14:textId="77777777" w:rsidR="00F262E6" w:rsidRDefault="00F262E6">
            <w:pPr>
              <w:widowControl w:val="0"/>
              <w:spacing w:line="240" w:lineRule="auto"/>
            </w:pPr>
            <w:r>
              <w:t>Fee Payable at the time of application</w:t>
            </w:r>
          </w:p>
        </w:tc>
      </w:tr>
      <w:tr w:rsidR="00F262E6" w14:paraId="0501F994" w14:textId="77777777" w:rsidTr="00F262E6">
        <w:tc>
          <w:tcPr>
            <w:tcW w:w="3576" w:type="dxa"/>
            <w:shd w:val="clear" w:color="auto" w:fill="auto"/>
            <w:tcMar>
              <w:top w:w="100" w:type="dxa"/>
              <w:left w:w="100" w:type="dxa"/>
              <w:bottom w:w="100" w:type="dxa"/>
              <w:right w:w="100" w:type="dxa"/>
            </w:tcMar>
          </w:tcPr>
          <w:p w14:paraId="2672FF17" w14:textId="77777777" w:rsidR="00F262E6" w:rsidRDefault="00F262E6">
            <w:pPr>
              <w:widowControl w:val="0"/>
              <w:spacing w:line="240" w:lineRule="auto"/>
            </w:pPr>
            <w:r>
              <w:t>11</w:t>
            </w:r>
          </w:p>
        </w:tc>
        <w:tc>
          <w:tcPr>
            <w:tcW w:w="3015" w:type="dxa"/>
            <w:shd w:val="clear" w:color="auto" w:fill="auto"/>
            <w:tcMar>
              <w:top w:w="100" w:type="dxa"/>
              <w:left w:w="100" w:type="dxa"/>
              <w:bottom w:w="100" w:type="dxa"/>
              <w:right w:w="100" w:type="dxa"/>
            </w:tcMar>
          </w:tcPr>
          <w:p w14:paraId="24B0D798" w14:textId="77777777" w:rsidR="00F262E6" w:rsidRDefault="00F262E6">
            <w:pPr>
              <w:widowControl w:val="0"/>
              <w:spacing w:line="240" w:lineRule="auto"/>
            </w:pPr>
            <w:r>
              <w:t>88.50</w:t>
            </w:r>
          </w:p>
        </w:tc>
      </w:tr>
      <w:tr w:rsidR="00F262E6" w14:paraId="2DE4937A" w14:textId="77777777" w:rsidTr="00F262E6">
        <w:tc>
          <w:tcPr>
            <w:tcW w:w="3576" w:type="dxa"/>
            <w:shd w:val="clear" w:color="auto" w:fill="auto"/>
            <w:tcMar>
              <w:top w:w="100" w:type="dxa"/>
              <w:left w:w="100" w:type="dxa"/>
              <w:bottom w:w="100" w:type="dxa"/>
              <w:right w:w="100" w:type="dxa"/>
            </w:tcMar>
          </w:tcPr>
          <w:p w14:paraId="37D047B5" w14:textId="77777777" w:rsidR="00F262E6" w:rsidRDefault="00F262E6">
            <w:pPr>
              <w:widowControl w:val="0"/>
              <w:spacing w:line="240" w:lineRule="auto"/>
            </w:pPr>
            <w:r>
              <w:t>10</w:t>
            </w:r>
          </w:p>
        </w:tc>
        <w:tc>
          <w:tcPr>
            <w:tcW w:w="3015" w:type="dxa"/>
            <w:shd w:val="clear" w:color="auto" w:fill="auto"/>
            <w:tcMar>
              <w:top w:w="100" w:type="dxa"/>
              <w:left w:w="100" w:type="dxa"/>
              <w:bottom w:w="100" w:type="dxa"/>
              <w:right w:w="100" w:type="dxa"/>
            </w:tcMar>
          </w:tcPr>
          <w:p w14:paraId="4C5BB349" w14:textId="77777777" w:rsidR="00F262E6" w:rsidRDefault="00F262E6">
            <w:pPr>
              <w:widowControl w:val="0"/>
              <w:spacing w:line="240" w:lineRule="auto"/>
            </w:pPr>
            <w:r>
              <w:t>101.00</w:t>
            </w:r>
          </w:p>
        </w:tc>
      </w:tr>
      <w:tr w:rsidR="00F262E6" w14:paraId="6A5BF7D0" w14:textId="77777777" w:rsidTr="00F262E6">
        <w:tc>
          <w:tcPr>
            <w:tcW w:w="3576" w:type="dxa"/>
            <w:shd w:val="clear" w:color="auto" w:fill="auto"/>
            <w:tcMar>
              <w:top w:w="100" w:type="dxa"/>
              <w:left w:w="100" w:type="dxa"/>
              <w:bottom w:w="100" w:type="dxa"/>
              <w:right w:w="100" w:type="dxa"/>
            </w:tcMar>
          </w:tcPr>
          <w:p w14:paraId="34FA73E1" w14:textId="77777777" w:rsidR="00F262E6" w:rsidRDefault="00F262E6">
            <w:pPr>
              <w:widowControl w:val="0"/>
              <w:spacing w:line="240" w:lineRule="auto"/>
            </w:pPr>
            <w:r>
              <w:t>9</w:t>
            </w:r>
          </w:p>
        </w:tc>
        <w:tc>
          <w:tcPr>
            <w:tcW w:w="3015" w:type="dxa"/>
            <w:shd w:val="clear" w:color="auto" w:fill="auto"/>
            <w:tcMar>
              <w:top w:w="100" w:type="dxa"/>
              <w:left w:w="100" w:type="dxa"/>
              <w:bottom w:w="100" w:type="dxa"/>
              <w:right w:w="100" w:type="dxa"/>
            </w:tcMar>
          </w:tcPr>
          <w:p w14:paraId="073C604C" w14:textId="77777777" w:rsidR="00F262E6" w:rsidRDefault="00F262E6">
            <w:pPr>
              <w:widowControl w:val="0"/>
              <w:spacing w:line="240" w:lineRule="auto"/>
            </w:pPr>
            <w:r>
              <w:t>113.50</w:t>
            </w:r>
          </w:p>
        </w:tc>
      </w:tr>
      <w:tr w:rsidR="00F262E6" w14:paraId="62ED3E9B" w14:textId="77777777" w:rsidTr="00F262E6">
        <w:tc>
          <w:tcPr>
            <w:tcW w:w="3576" w:type="dxa"/>
            <w:shd w:val="clear" w:color="auto" w:fill="auto"/>
            <w:tcMar>
              <w:top w:w="100" w:type="dxa"/>
              <w:left w:w="100" w:type="dxa"/>
              <w:bottom w:w="100" w:type="dxa"/>
              <w:right w:w="100" w:type="dxa"/>
            </w:tcMar>
          </w:tcPr>
          <w:p w14:paraId="653EDB60" w14:textId="77777777" w:rsidR="00F262E6" w:rsidRDefault="00F262E6">
            <w:pPr>
              <w:widowControl w:val="0"/>
              <w:spacing w:line="240" w:lineRule="auto"/>
            </w:pPr>
            <w:r>
              <w:t>8</w:t>
            </w:r>
          </w:p>
        </w:tc>
        <w:tc>
          <w:tcPr>
            <w:tcW w:w="3015" w:type="dxa"/>
            <w:shd w:val="clear" w:color="auto" w:fill="auto"/>
            <w:tcMar>
              <w:top w:w="100" w:type="dxa"/>
              <w:left w:w="100" w:type="dxa"/>
              <w:bottom w:w="100" w:type="dxa"/>
              <w:right w:w="100" w:type="dxa"/>
            </w:tcMar>
          </w:tcPr>
          <w:p w14:paraId="3772D289" w14:textId="77777777" w:rsidR="00F262E6" w:rsidRDefault="00F262E6">
            <w:pPr>
              <w:widowControl w:val="0"/>
              <w:spacing w:line="240" w:lineRule="auto"/>
            </w:pPr>
            <w:r>
              <w:t>126.00</w:t>
            </w:r>
          </w:p>
        </w:tc>
      </w:tr>
      <w:tr w:rsidR="00F262E6" w14:paraId="4600EB2C" w14:textId="77777777" w:rsidTr="00F262E6">
        <w:tc>
          <w:tcPr>
            <w:tcW w:w="3576" w:type="dxa"/>
            <w:shd w:val="clear" w:color="auto" w:fill="auto"/>
            <w:tcMar>
              <w:top w:w="100" w:type="dxa"/>
              <w:left w:w="100" w:type="dxa"/>
              <w:bottom w:w="100" w:type="dxa"/>
              <w:right w:w="100" w:type="dxa"/>
            </w:tcMar>
          </w:tcPr>
          <w:p w14:paraId="4287B0A0" w14:textId="77777777" w:rsidR="00F262E6" w:rsidRDefault="00F262E6">
            <w:pPr>
              <w:widowControl w:val="0"/>
              <w:spacing w:line="240" w:lineRule="auto"/>
            </w:pPr>
            <w:r>
              <w:t>7</w:t>
            </w:r>
          </w:p>
        </w:tc>
        <w:tc>
          <w:tcPr>
            <w:tcW w:w="3015" w:type="dxa"/>
            <w:shd w:val="clear" w:color="auto" w:fill="auto"/>
            <w:tcMar>
              <w:top w:w="100" w:type="dxa"/>
              <w:left w:w="100" w:type="dxa"/>
              <w:bottom w:w="100" w:type="dxa"/>
              <w:right w:w="100" w:type="dxa"/>
            </w:tcMar>
          </w:tcPr>
          <w:p w14:paraId="6A8FCEAD" w14:textId="77777777" w:rsidR="00F262E6" w:rsidRDefault="00F262E6">
            <w:pPr>
              <w:widowControl w:val="0"/>
              <w:spacing w:line="240" w:lineRule="auto"/>
            </w:pPr>
            <w:r>
              <w:t>138.50</w:t>
            </w:r>
          </w:p>
        </w:tc>
      </w:tr>
      <w:tr w:rsidR="00F262E6" w14:paraId="47003174" w14:textId="77777777" w:rsidTr="00F262E6">
        <w:tc>
          <w:tcPr>
            <w:tcW w:w="3576" w:type="dxa"/>
            <w:shd w:val="clear" w:color="auto" w:fill="auto"/>
            <w:tcMar>
              <w:top w:w="100" w:type="dxa"/>
              <w:left w:w="100" w:type="dxa"/>
              <w:bottom w:w="100" w:type="dxa"/>
              <w:right w:w="100" w:type="dxa"/>
            </w:tcMar>
          </w:tcPr>
          <w:p w14:paraId="2C4AD46C" w14:textId="77777777" w:rsidR="00F262E6" w:rsidRDefault="00F262E6">
            <w:pPr>
              <w:widowControl w:val="0"/>
              <w:spacing w:line="240" w:lineRule="auto"/>
            </w:pPr>
            <w:r>
              <w:t>6</w:t>
            </w:r>
          </w:p>
        </w:tc>
        <w:tc>
          <w:tcPr>
            <w:tcW w:w="3015" w:type="dxa"/>
            <w:shd w:val="clear" w:color="auto" w:fill="auto"/>
            <w:tcMar>
              <w:top w:w="100" w:type="dxa"/>
              <w:left w:w="100" w:type="dxa"/>
              <w:bottom w:w="100" w:type="dxa"/>
              <w:right w:w="100" w:type="dxa"/>
            </w:tcMar>
          </w:tcPr>
          <w:p w14:paraId="4DC3FA1E" w14:textId="77777777" w:rsidR="00F262E6" w:rsidRDefault="00F262E6">
            <w:pPr>
              <w:widowControl w:val="0"/>
              <w:spacing w:line="240" w:lineRule="auto"/>
            </w:pPr>
            <w:r>
              <w:t>151.00</w:t>
            </w:r>
          </w:p>
        </w:tc>
      </w:tr>
      <w:tr w:rsidR="00F262E6" w14:paraId="59FA97C3" w14:textId="77777777" w:rsidTr="00F262E6">
        <w:tc>
          <w:tcPr>
            <w:tcW w:w="3576" w:type="dxa"/>
            <w:shd w:val="clear" w:color="auto" w:fill="auto"/>
            <w:tcMar>
              <w:top w:w="100" w:type="dxa"/>
              <w:left w:w="100" w:type="dxa"/>
              <w:bottom w:w="100" w:type="dxa"/>
              <w:right w:w="100" w:type="dxa"/>
            </w:tcMar>
          </w:tcPr>
          <w:p w14:paraId="6D7611AB" w14:textId="77777777" w:rsidR="00F262E6" w:rsidRDefault="00F262E6">
            <w:pPr>
              <w:widowControl w:val="0"/>
              <w:spacing w:line="240" w:lineRule="auto"/>
            </w:pPr>
            <w:r>
              <w:t>5</w:t>
            </w:r>
          </w:p>
        </w:tc>
        <w:tc>
          <w:tcPr>
            <w:tcW w:w="3015" w:type="dxa"/>
            <w:shd w:val="clear" w:color="auto" w:fill="auto"/>
            <w:tcMar>
              <w:top w:w="100" w:type="dxa"/>
              <w:left w:w="100" w:type="dxa"/>
              <w:bottom w:w="100" w:type="dxa"/>
              <w:right w:w="100" w:type="dxa"/>
            </w:tcMar>
          </w:tcPr>
          <w:p w14:paraId="6590C7DA" w14:textId="77777777" w:rsidR="00F262E6" w:rsidRDefault="00F262E6">
            <w:pPr>
              <w:widowControl w:val="0"/>
              <w:spacing w:line="240" w:lineRule="auto"/>
            </w:pPr>
            <w:r>
              <w:t>163.50</w:t>
            </w:r>
          </w:p>
        </w:tc>
      </w:tr>
      <w:tr w:rsidR="00F262E6" w14:paraId="0C69A00A" w14:textId="77777777" w:rsidTr="00F262E6">
        <w:tc>
          <w:tcPr>
            <w:tcW w:w="3576" w:type="dxa"/>
            <w:shd w:val="clear" w:color="auto" w:fill="auto"/>
            <w:tcMar>
              <w:top w:w="100" w:type="dxa"/>
              <w:left w:w="100" w:type="dxa"/>
              <w:bottom w:w="100" w:type="dxa"/>
              <w:right w:w="100" w:type="dxa"/>
            </w:tcMar>
          </w:tcPr>
          <w:p w14:paraId="7D9D0B59" w14:textId="77777777" w:rsidR="00F262E6" w:rsidRDefault="00F262E6">
            <w:pPr>
              <w:widowControl w:val="0"/>
              <w:spacing w:line="240" w:lineRule="auto"/>
            </w:pPr>
            <w:r>
              <w:t>4</w:t>
            </w:r>
          </w:p>
        </w:tc>
        <w:tc>
          <w:tcPr>
            <w:tcW w:w="3015" w:type="dxa"/>
            <w:shd w:val="clear" w:color="auto" w:fill="auto"/>
            <w:tcMar>
              <w:top w:w="100" w:type="dxa"/>
              <w:left w:w="100" w:type="dxa"/>
              <w:bottom w:w="100" w:type="dxa"/>
              <w:right w:w="100" w:type="dxa"/>
            </w:tcMar>
          </w:tcPr>
          <w:p w14:paraId="0CC94AAC" w14:textId="77777777" w:rsidR="00F262E6" w:rsidRDefault="00F262E6">
            <w:pPr>
              <w:widowControl w:val="0"/>
              <w:spacing w:line="240" w:lineRule="auto"/>
            </w:pPr>
            <w:r>
              <w:t>176.00</w:t>
            </w:r>
          </w:p>
        </w:tc>
      </w:tr>
      <w:tr w:rsidR="00F262E6" w14:paraId="7734620A" w14:textId="77777777" w:rsidTr="00F262E6">
        <w:tc>
          <w:tcPr>
            <w:tcW w:w="3576" w:type="dxa"/>
            <w:shd w:val="clear" w:color="auto" w:fill="auto"/>
            <w:tcMar>
              <w:top w:w="100" w:type="dxa"/>
              <w:left w:w="100" w:type="dxa"/>
              <w:bottom w:w="100" w:type="dxa"/>
              <w:right w:w="100" w:type="dxa"/>
            </w:tcMar>
          </w:tcPr>
          <w:p w14:paraId="4B2D55A8" w14:textId="77777777" w:rsidR="00F262E6" w:rsidRDefault="00F262E6">
            <w:pPr>
              <w:widowControl w:val="0"/>
              <w:spacing w:line="240" w:lineRule="auto"/>
            </w:pPr>
            <w:r>
              <w:t>3</w:t>
            </w:r>
          </w:p>
        </w:tc>
        <w:tc>
          <w:tcPr>
            <w:tcW w:w="3015" w:type="dxa"/>
            <w:shd w:val="clear" w:color="auto" w:fill="auto"/>
            <w:tcMar>
              <w:top w:w="100" w:type="dxa"/>
              <w:left w:w="100" w:type="dxa"/>
              <w:bottom w:w="100" w:type="dxa"/>
              <w:right w:w="100" w:type="dxa"/>
            </w:tcMar>
          </w:tcPr>
          <w:p w14:paraId="253BE673" w14:textId="77777777" w:rsidR="00F262E6" w:rsidRDefault="00F262E6">
            <w:pPr>
              <w:widowControl w:val="0"/>
              <w:spacing w:line="240" w:lineRule="auto"/>
            </w:pPr>
            <w:r>
              <w:t>188.50</w:t>
            </w:r>
          </w:p>
        </w:tc>
      </w:tr>
      <w:tr w:rsidR="00F262E6" w14:paraId="71A903FA" w14:textId="77777777" w:rsidTr="00F262E6">
        <w:tc>
          <w:tcPr>
            <w:tcW w:w="3576" w:type="dxa"/>
            <w:shd w:val="clear" w:color="auto" w:fill="auto"/>
            <w:tcMar>
              <w:top w:w="100" w:type="dxa"/>
              <w:left w:w="100" w:type="dxa"/>
              <w:bottom w:w="100" w:type="dxa"/>
              <w:right w:w="100" w:type="dxa"/>
            </w:tcMar>
          </w:tcPr>
          <w:p w14:paraId="2FA2071B" w14:textId="77777777" w:rsidR="00F262E6" w:rsidRDefault="00F262E6">
            <w:pPr>
              <w:widowControl w:val="0"/>
              <w:spacing w:line="240" w:lineRule="auto"/>
            </w:pPr>
            <w:r>
              <w:t>2</w:t>
            </w:r>
          </w:p>
        </w:tc>
        <w:tc>
          <w:tcPr>
            <w:tcW w:w="3015" w:type="dxa"/>
            <w:shd w:val="clear" w:color="auto" w:fill="auto"/>
            <w:tcMar>
              <w:top w:w="100" w:type="dxa"/>
              <w:left w:w="100" w:type="dxa"/>
              <w:bottom w:w="100" w:type="dxa"/>
              <w:right w:w="100" w:type="dxa"/>
            </w:tcMar>
          </w:tcPr>
          <w:p w14:paraId="75F758D1" w14:textId="77777777" w:rsidR="00F262E6" w:rsidRDefault="00F262E6">
            <w:pPr>
              <w:widowControl w:val="0"/>
              <w:spacing w:line="240" w:lineRule="auto"/>
            </w:pPr>
            <w:r>
              <w:t>201.00</w:t>
            </w:r>
          </w:p>
        </w:tc>
      </w:tr>
      <w:tr w:rsidR="00F262E6" w14:paraId="038AEAFF" w14:textId="77777777" w:rsidTr="00F262E6">
        <w:tc>
          <w:tcPr>
            <w:tcW w:w="3576" w:type="dxa"/>
            <w:shd w:val="clear" w:color="auto" w:fill="auto"/>
            <w:tcMar>
              <w:top w:w="100" w:type="dxa"/>
              <w:left w:w="100" w:type="dxa"/>
              <w:bottom w:w="100" w:type="dxa"/>
              <w:right w:w="100" w:type="dxa"/>
            </w:tcMar>
          </w:tcPr>
          <w:p w14:paraId="7C0A7E5C" w14:textId="77777777" w:rsidR="00F262E6" w:rsidRDefault="00F262E6">
            <w:pPr>
              <w:widowControl w:val="0"/>
              <w:spacing w:line="240" w:lineRule="auto"/>
            </w:pPr>
            <w:r>
              <w:t>1</w:t>
            </w:r>
          </w:p>
        </w:tc>
        <w:tc>
          <w:tcPr>
            <w:tcW w:w="3015" w:type="dxa"/>
            <w:shd w:val="clear" w:color="auto" w:fill="auto"/>
            <w:tcMar>
              <w:top w:w="100" w:type="dxa"/>
              <w:left w:w="100" w:type="dxa"/>
              <w:bottom w:w="100" w:type="dxa"/>
              <w:right w:w="100" w:type="dxa"/>
            </w:tcMar>
          </w:tcPr>
          <w:p w14:paraId="399E8908" w14:textId="77777777" w:rsidR="00F262E6" w:rsidRDefault="00F262E6">
            <w:pPr>
              <w:widowControl w:val="0"/>
              <w:spacing w:line="240" w:lineRule="auto"/>
            </w:pPr>
            <w:r>
              <w:t>213.50</w:t>
            </w:r>
          </w:p>
        </w:tc>
      </w:tr>
      <w:tr w:rsidR="00F262E6" w14:paraId="38654443" w14:textId="77777777" w:rsidTr="00F262E6">
        <w:tc>
          <w:tcPr>
            <w:tcW w:w="3576" w:type="dxa"/>
            <w:shd w:val="clear" w:color="auto" w:fill="auto"/>
            <w:tcMar>
              <w:top w:w="100" w:type="dxa"/>
              <w:left w:w="100" w:type="dxa"/>
              <w:bottom w:w="100" w:type="dxa"/>
              <w:right w:w="100" w:type="dxa"/>
            </w:tcMar>
          </w:tcPr>
          <w:p w14:paraId="0365E1C7" w14:textId="77777777" w:rsidR="00F262E6" w:rsidRDefault="00F262E6">
            <w:pPr>
              <w:widowControl w:val="0"/>
              <w:spacing w:line="240" w:lineRule="auto"/>
            </w:pPr>
            <w:r>
              <w:t>0</w:t>
            </w:r>
          </w:p>
        </w:tc>
        <w:tc>
          <w:tcPr>
            <w:tcW w:w="3015" w:type="dxa"/>
            <w:shd w:val="clear" w:color="auto" w:fill="auto"/>
            <w:tcMar>
              <w:top w:w="100" w:type="dxa"/>
              <w:left w:w="100" w:type="dxa"/>
              <w:bottom w:w="100" w:type="dxa"/>
              <w:right w:w="100" w:type="dxa"/>
            </w:tcMar>
          </w:tcPr>
          <w:p w14:paraId="7693380D" w14:textId="11039319" w:rsidR="00F262E6" w:rsidRDefault="00F262E6">
            <w:pPr>
              <w:widowControl w:val="0"/>
              <w:spacing w:line="240" w:lineRule="auto"/>
            </w:pPr>
            <w:r>
              <w:t>241.00</w:t>
            </w:r>
          </w:p>
        </w:tc>
      </w:tr>
    </w:tbl>
    <w:p w14:paraId="1FF88453" w14:textId="77777777" w:rsidR="008012F3" w:rsidRDefault="008012F3">
      <w:pPr>
        <w:spacing w:line="240" w:lineRule="auto"/>
        <w:rPr>
          <w:sz w:val="16"/>
          <w:szCs w:val="16"/>
        </w:rPr>
      </w:pPr>
    </w:p>
    <w:p w14:paraId="1BF930A8" w14:textId="77777777" w:rsidR="008012F3" w:rsidRDefault="00154AA6">
      <w:pPr>
        <w:spacing w:line="240" w:lineRule="auto"/>
      </w:pPr>
      <w:r>
        <w:t>Payment can be made by the following methods:</w:t>
      </w:r>
    </w:p>
    <w:p w14:paraId="41CC61F7" w14:textId="77777777" w:rsidR="008012F3" w:rsidRDefault="008012F3">
      <w:pPr>
        <w:spacing w:line="240" w:lineRule="auto"/>
      </w:pPr>
    </w:p>
    <w:p w14:paraId="58D71EC4" w14:textId="740B1AFD" w:rsidR="008012F3" w:rsidRDefault="00154AA6">
      <w:pPr>
        <w:numPr>
          <w:ilvl w:val="0"/>
          <w:numId w:val="1"/>
        </w:numPr>
        <w:spacing w:line="240" w:lineRule="auto"/>
      </w:pPr>
      <w:r>
        <w:t xml:space="preserve">By phone on </w:t>
      </w:r>
      <w:r w:rsidR="00C637EF">
        <w:t>0345 600 6400</w:t>
      </w:r>
    </w:p>
    <w:p w14:paraId="31AB5D63" w14:textId="2462A97C" w:rsidR="008012F3" w:rsidRDefault="00154AA6">
      <w:pPr>
        <w:numPr>
          <w:ilvl w:val="0"/>
          <w:numId w:val="1"/>
        </w:numPr>
        <w:spacing w:line="240" w:lineRule="auto"/>
      </w:pPr>
      <w:r>
        <w:t xml:space="preserve">In person at any of the Northumberland County Council buildings (Card and cash facilities are available within Northumberland County Council buildings at Cramlington, Hexham, Seaton </w:t>
      </w:r>
      <w:proofErr w:type="spellStart"/>
      <w:r>
        <w:t>Delaval</w:t>
      </w:r>
      <w:proofErr w:type="spellEnd"/>
      <w:r>
        <w:t xml:space="preserve">, Blyth, Ashington, Alnwick and Morpeth Library (Manchester Street) (correct cash only).  </w:t>
      </w:r>
      <w:r>
        <w:rPr>
          <w:b/>
        </w:rPr>
        <w:t>Please note:</w:t>
      </w:r>
      <w:r>
        <w:t xml:space="preserve"> County Hall</w:t>
      </w:r>
      <w:r w:rsidR="00F262E6">
        <w:t xml:space="preserve">, </w:t>
      </w:r>
      <w:r>
        <w:t xml:space="preserve">Bedlington Information Point </w:t>
      </w:r>
      <w:r w:rsidR="00F262E6">
        <w:t xml:space="preserve">and West Hartford Fire Station </w:t>
      </w:r>
      <w:r>
        <w:t xml:space="preserve">do not have any cash handling facilities.   </w:t>
      </w:r>
    </w:p>
    <w:p w14:paraId="162A5BCF" w14:textId="77777777" w:rsidR="008012F3" w:rsidRDefault="008012F3">
      <w:pPr>
        <w:spacing w:line="240" w:lineRule="auto"/>
      </w:pPr>
    </w:p>
    <w:p w14:paraId="7210DA8E" w14:textId="77777777" w:rsidR="008012F3" w:rsidRDefault="00154AA6">
      <w:pPr>
        <w:spacing w:line="240" w:lineRule="auto"/>
        <w:rPr>
          <w:b/>
          <w:u w:val="single"/>
        </w:rPr>
      </w:pPr>
      <w:r>
        <w:rPr>
          <w:b/>
          <w:u w:val="single"/>
        </w:rPr>
        <w:t>Submission of Applications</w:t>
      </w:r>
    </w:p>
    <w:p w14:paraId="58CA4A68" w14:textId="77777777" w:rsidR="00E72635" w:rsidRDefault="00E72635" w:rsidP="00E72635">
      <w:pPr>
        <w:spacing w:before="200" w:line="240" w:lineRule="auto"/>
      </w:pPr>
      <w:r>
        <w:t>Applications may be made in the following ways:</w:t>
      </w:r>
    </w:p>
    <w:p w14:paraId="63955F1B" w14:textId="77777777" w:rsidR="00E72635" w:rsidRDefault="00E72635" w:rsidP="00E72635">
      <w:pPr>
        <w:spacing w:line="240" w:lineRule="auto"/>
        <w:ind w:left="720"/>
      </w:pPr>
    </w:p>
    <w:p w14:paraId="746E7B27" w14:textId="77777777" w:rsidR="00E72635" w:rsidRDefault="00E72635" w:rsidP="00E72635">
      <w:pPr>
        <w:numPr>
          <w:ilvl w:val="0"/>
          <w:numId w:val="6"/>
        </w:numPr>
        <w:spacing w:line="240" w:lineRule="auto"/>
      </w:pPr>
      <w:r>
        <w:t xml:space="preserve">In person by appointment with the Licensing Processing team at West Hartford Fire Station, West Hartford Business Park, Cramlington, NE23 3JP. To make an appointment, applicants should contact the Licensing Processing Team on </w:t>
      </w:r>
      <w:r w:rsidRPr="00535AFF">
        <w:t>01670 623856</w:t>
      </w:r>
      <w:r>
        <w:t>.</w:t>
      </w:r>
    </w:p>
    <w:p w14:paraId="4D777A08" w14:textId="77777777" w:rsidR="00E72635" w:rsidRPr="00535AFF" w:rsidRDefault="00E72635" w:rsidP="00E72635">
      <w:pPr>
        <w:numPr>
          <w:ilvl w:val="0"/>
          <w:numId w:val="6"/>
        </w:numPr>
        <w:spacing w:line="240" w:lineRule="auto"/>
      </w:pPr>
      <w:r>
        <w:t>Via email to Licensing @northumberland.gov.uk</w:t>
      </w:r>
    </w:p>
    <w:p w14:paraId="396058FE" w14:textId="77777777" w:rsidR="008012F3" w:rsidRDefault="008012F3">
      <w:pPr>
        <w:spacing w:line="240" w:lineRule="auto"/>
      </w:pPr>
    </w:p>
    <w:p w14:paraId="2B2B2622" w14:textId="77777777" w:rsidR="00D33E34" w:rsidRDefault="00D33E34">
      <w:pPr>
        <w:spacing w:line="240" w:lineRule="auto"/>
      </w:pPr>
    </w:p>
    <w:p w14:paraId="4042EDCD" w14:textId="77777777" w:rsidR="008012F3" w:rsidRDefault="00154AA6">
      <w:pPr>
        <w:spacing w:line="240" w:lineRule="auto"/>
        <w:rPr>
          <w:b/>
          <w:u w:val="single"/>
        </w:rPr>
      </w:pPr>
      <w:r>
        <w:rPr>
          <w:b/>
          <w:u w:val="single"/>
        </w:rPr>
        <w:t>The Air Quality (Taxis and Private Hire Vehicles Database) (England and Wales) Regulations 2019</w:t>
      </w:r>
    </w:p>
    <w:p w14:paraId="62A9B008" w14:textId="77777777" w:rsidR="008012F3" w:rsidRDefault="008012F3">
      <w:pPr>
        <w:spacing w:line="240" w:lineRule="auto"/>
      </w:pPr>
    </w:p>
    <w:p w14:paraId="22D30597" w14:textId="77777777" w:rsidR="008012F3" w:rsidRDefault="00154AA6">
      <w:pPr>
        <w:spacing w:line="240" w:lineRule="auto"/>
      </w:pPr>
      <w:r>
        <w:lastRenderedPageBreak/>
        <w:t>Licensing authorities are required to provide weekly reports of every hackney carriage and private hire vehicle.  The details to be required are:-</w:t>
      </w:r>
    </w:p>
    <w:p w14:paraId="148A2DCD" w14:textId="77777777" w:rsidR="008012F3" w:rsidRDefault="008012F3">
      <w:pPr>
        <w:spacing w:line="240" w:lineRule="auto"/>
      </w:pPr>
    </w:p>
    <w:p w14:paraId="140BD0F1" w14:textId="77777777" w:rsidR="008012F3" w:rsidRDefault="00154AA6">
      <w:pPr>
        <w:numPr>
          <w:ilvl w:val="0"/>
          <w:numId w:val="5"/>
        </w:numPr>
        <w:spacing w:line="240" w:lineRule="auto"/>
      </w:pPr>
      <w:r>
        <w:t>the registration mark of the vehicle</w:t>
      </w:r>
    </w:p>
    <w:p w14:paraId="245B5B42" w14:textId="77777777" w:rsidR="008012F3" w:rsidRDefault="00154AA6">
      <w:pPr>
        <w:numPr>
          <w:ilvl w:val="0"/>
          <w:numId w:val="5"/>
        </w:numPr>
        <w:spacing w:line="240" w:lineRule="auto"/>
      </w:pPr>
      <w:r>
        <w:t>licence number</w:t>
      </w:r>
    </w:p>
    <w:p w14:paraId="5FC8C52C" w14:textId="77777777" w:rsidR="008012F3" w:rsidRDefault="00154AA6">
      <w:pPr>
        <w:numPr>
          <w:ilvl w:val="0"/>
          <w:numId w:val="5"/>
        </w:numPr>
        <w:spacing w:line="240" w:lineRule="auto"/>
      </w:pPr>
      <w:r>
        <w:t>the date from which the licence has effect</w:t>
      </w:r>
    </w:p>
    <w:p w14:paraId="34410CCA" w14:textId="77777777" w:rsidR="008012F3" w:rsidRDefault="00154AA6">
      <w:pPr>
        <w:numPr>
          <w:ilvl w:val="0"/>
          <w:numId w:val="5"/>
        </w:numPr>
        <w:spacing w:line="240" w:lineRule="auto"/>
      </w:pPr>
      <w:r>
        <w:t>the date on which the licence is due to expire</w:t>
      </w:r>
    </w:p>
    <w:p w14:paraId="3E947920" w14:textId="77777777" w:rsidR="008012F3" w:rsidRDefault="00154AA6">
      <w:pPr>
        <w:numPr>
          <w:ilvl w:val="0"/>
          <w:numId w:val="5"/>
        </w:numPr>
        <w:spacing w:line="240" w:lineRule="auto"/>
      </w:pPr>
      <w:r>
        <w:t>whether the vehicle is a taxi or private hire vehicle</w:t>
      </w:r>
    </w:p>
    <w:p w14:paraId="60F78F00" w14:textId="77777777" w:rsidR="008012F3" w:rsidRDefault="008012F3">
      <w:pPr>
        <w:spacing w:line="240" w:lineRule="auto"/>
      </w:pPr>
    </w:p>
    <w:p w14:paraId="1435CCB1" w14:textId="77777777" w:rsidR="008012F3" w:rsidRDefault="00154AA6">
      <w:pPr>
        <w:spacing w:line="240" w:lineRule="auto"/>
      </w:pPr>
      <w:r>
        <w:t>Although it is not a legal requirement authorities are also requested to provide details of whether the vehicle is wheelchair accessible. Northumberland County Council also provide these details on a weekly basis. The information is then shared with those authorities operating a Clean Air Zone.</w:t>
      </w:r>
    </w:p>
    <w:p w14:paraId="6EFA6609" w14:textId="77777777" w:rsidR="008012F3" w:rsidRDefault="008012F3">
      <w:pPr>
        <w:spacing w:line="240" w:lineRule="auto"/>
        <w:rPr>
          <w:b/>
          <w:u w:val="single"/>
        </w:rPr>
      </w:pPr>
    </w:p>
    <w:p w14:paraId="172948E7" w14:textId="77777777" w:rsidR="008012F3" w:rsidRDefault="00154AA6">
      <w:pPr>
        <w:spacing w:line="240" w:lineRule="auto"/>
        <w:rPr>
          <w:b/>
          <w:u w:val="single"/>
        </w:rPr>
      </w:pPr>
      <w:r>
        <w:rPr>
          <w:b/>
          <w:u w:val="single"/>
        </w:rPr>
        <w:t>Privacy Notice</w:t>
      </w:r>
    </w:p>
    <w:p w14:paraId="25DE9378" w14:textId="2975AAAE" w:rsidR="008012F3" w:rsidRDefault="00154AA6">
      <w:pPr>
        <w:spacing w:before="200" w:line="240" w:lineRule="auto"/>
        <w:rPr>
          <w:color w:val="1155CC"/>
          <w:u w:val="single"/>
        </w:rPr>
      </w:pPr>
      <w:r>
        <w:rPr>
          <w:highlight w:val="white"/>
        </w:rPr>
        <w:t xml:space="preserve">The Public Protection Privacy Notice is available at </w:t>
      </w:r>
      <w:hyperlink r:id="rId8" w:history="1">
        <w:r w:rsidR="00C637EF" w:rsidRPr="00C91B12">
          <w:rPr>
            <w:rStyle w:val="Hyperlink"/>
            <w:highlight w:val="white"/>
          </w:rPr>
          <w:t>http://www.northumberland.gov.uk/NorthumberlandCountyCouncil/media/Public-Protection/PP-Privacy-Notice-docx.pd</w:t>
        </w:r>
        <w:r w:rsidR="00C637EF" w:rsidRPr="00C91B12">
          <w:rPr>
            <w:rStyle w:val="Hyperlink"/>
          </w:rPr>
          <w:t>f</w:t>
        </w:r>
      </w:hyperlink>
      <w:r w:rsidR="00C637EF">
        <w:rPr>
          <w:color w:val="1155CC"/>
          <w:u w:val="single"/>
        </w:rPr>
        <w:t xml:space="preserve"> </w:t>
      </w:r>
    </w:p>
    <w:p w14:paraId="633FAD05" w14:textId="77777777" w:rsidR="00393AC1" w:rsidRDefault="00393AC1">
      <w:pPr>
        <w:spacing w:before="200" w:line="240" w:lineRule="auto"/>
        <w:rPr>
          <w:color w:val="1155CC"/>
          <w:u w:val="single"/>
        </w:rPr>
      </w:pPr>
    </w:p>
    <w:p w14:paraId="2B386D64" w14:textId="77777777" w:rsidR="00393AC1" w:rsidRPr="00A1391A" w:rsidRDefault="00393AC1" w:rsidP="00393AC1">
      <w:pPr>
        <w:spacing w:before="200" w:line="240" w:lineRule="auto"/>
        <w:jc w:val="right"/>
      </w:pPr>
      <w:r>
        <w:t>Updated April 2024</w:t>
      </w:r>
    </w:p>
    <w:p w14:paraId="76DD84B1" w14:textId="77777777" w:rsidR="00393AC1" w:rsidRDefault="00393AC1">
      <w:pPr>
        <w:spacing w:before="200" w:line="240" w:lineRule="auto"/>
      </w:pPr>
    </w:p>
    <w:sectPr w:rsidR="00393AC1">
      <w:headerReference w:type="default" r:id="rId9"/>
      <w:footerReference w:type="default" r:id="rId10"/>
      <w:headerReference w:type="first" r:id="rId11"/>
      <w:footerReference w:type="first" r:id="rId12"/>
      <w:pgSz w:w="11906" w:h="16838"/>
      <w:pgMar w:top="1020" w:right="850" w:bottom="1020" w:left="85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76F3" w14:textId="77777777" w:rsidR="00CC5D79" w:rsidRDefault="00154AA6">
      <w:pPr>
        <w:spacing w:line="240" w:lineRule="auto"/>
      </w:pPr>
      <w:r>
        <w:separator/>
      </w:r>
    </w:p>
  </w:endnote>
  <w:endnote w:type="continuationSeparator" w:id="0">
    <w:p w14:paraId="05755EEF" w14:textId="77777777" w:rsidR="00CC5D79" w:rsidRDefault="00154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2F5C" w14:textId="77777777" w:rsidR="008012F3" w:rsidRDefault="008012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CA54" w14:textId="77777777" w:rsidR="008012F3" w:rsidRDefault="008012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3C5B" w14:textId="77777777" w:rsidR="00CC5D79" w:rsidRDefault="00154AA6">
      <w:pPr>
        <w:spacing w:line="240" w:lineRule="auto"/>
      </w:pPr>
      <w:r>
        <w:separator/>
      </w:r>
    </w:p>
  </w:footnote>
  <w:footnote w:type="continuationSeparator" w:id="0">
    <w:p w14:paraId="28588923" w14:textId="77777777" w:rsidR="00CC5D79" w:rsidRDefault="00154A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886F" w14:textId="77777777" w:rsidR="008012F3" w:rsidRDefault="008012F3">
    <w:pPr>
      <w:ind w:right="-999" w:hanging="113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387" w14:textId="77777777" w:rsidR="008012F3" w:rsidRDefault="00154AA6">
    <w:pPr>
      <w:ind w:right="-999" w:hanging="1133"/>
      <w:jc w:val="center"/>
    </w:pPr>
    <w:r>
      <w:rPr>
        <w:noProof/>
      </w:rPr>
      <w:drawing>
        <wp:anchor distT="114300" distB="114300" distL="114300" distR="114300" simplePos="0" relativeHeight="251658240" behindDoc="0" locked="0" layoutInCell="1" hidden="0" allowOverlap="1" wp14:anchorId="67FDC609" wp14:editId="0DA3327F">
          <wp:simplePos x="0" y="0"/>
          <wp:positionH relativeFrom="column">
            <wp:posOffset>2171700</wp:posOffset>
          </wp:positionH>
          <wp:positionV relativeFrom="paragraph">
            <wp:posOffset>381000</wp:posOffset>
          </wp:positionV>
          <wp:extent cx="2052638" cy="865570"/>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2638" cy="8655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B2F"/>
    <w:multiLevelType w:val="multilevel"/>
    <w:tmpl w:val="D7580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94193C"/>
    <w:multiLevelType w:val="multilevel"/>
    <w:tmpl w:val="AFEA3C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F976C9"/>
    <w:multiLevelType w:val="multilevel"/>
    <w:tmpl w:val="A1AA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4E4969"/>
    <w:multiLevelType w:val="multilevel"/>
    <w:tmpl w:val="2D1AC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5F7A07"/>
    <w:multiLevelType w:val="multilevel"/>
    <w:tmpl w:val="833062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C8F4290"/>
    <w:multiLevelType w:val="multilevel"/>
    <w:tmpl w:val="9E8A8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9535896">
    <w:abstractNumId w:val="3"/>
  </w:num>
  <w:num w:numId="2" w16cid:durableId="2003269827">
    <w:abstractNumId w:val="1"/>
  </w:num>
  <w:num w:numId="3" w16cid:durableId="291405432">
    <w:abstractNumId w:val="4"/>
  </w:num>
  <w:num w:numId="4" w16cid:durableId="1257790955">
    <w:abstractNumId w:val="5"/>
  </w:num>
  <w:num w:numId="5" w16cid:durableId="41296843">
    <w:abstractNumId w:val="0"/>
  </w:num>
  <w:num w:numId="6" w16cid:durableId="47390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012F3"/>
    <w:rsid w:val="00045DCC"/>
    <w:rsid w:val="00154AA6"/>
    <w:rsid w:val="00393AC1"/>
    <w:rsid w:val="00774739"/>
    <w:rsid w:val="008012F3"/>
    <w:rsid w:val="00C637EF"/>
    <w:rsid w:val="00CC5D79"/>
    <w:rsid w:val="00D33E34"/>
    <w:rsid w:val="00D5131E"/>
    <w:rsid w:val="00E72635"/>
    <w:rsid w:val="00F2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2E7E"/>
  <w15:docId w15:val="{2A61321A-57AA-497F-836A-6EDD99F8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637EF"/>
    <w:rPr>
      <w:color w:val="0000FF" w:themeColor="hyperlink"/>
      <w:u w:val="single"/>
    </w:rPr>
  </w:style>
  <w:style w:type="character" w:styleId="UnresolvedMention">
    <w:name w:val="Unresolved Mention"/>
    <w:basedOn w:val="DefaultParagraphFont"/>
    <w:uiPriority w:val="99"/>
    <w:semiHidden/>
    <w:unhideWhenUsed/>
    <w:rsid w:val="00C6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rthumberland.gov.uk/NorthumberlandCountyCouncil/media/Public-Protection/PP-Privacy-Notice-doc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pi.co.uk/content/diesel-news-the-future-of-diesel/hpi-euro-emission-standards-check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Gunby</dc:creator>
  <cp:lastModifiedBy>Kelly Lillico</cp:lastModifiedBy>
  <cp:revision>9</cp:revision>
  <cp:lastPrinted>2024-04-12T10:53:00Z</cp:lastPrinted>
  <dcterms:created xsi:type="dcterms:W3CDTF">2020-06-02T15:03:00Z</dcterms:created>
  <dcterms:modified xsi:type="dcterms:W3CDTF">2024-07-12T12:44:00Z</dcterms:modified>
</cp:coreProperties>
</file>