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Community Chest Scheme</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36"/>
          <w:szCs w:val="36"/>
          <w:rtl w:val="0"/>
        </w:rPr>
        <w:t xml:space="preserve">Skills and Employability Fund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SCHEDULE OF EXPENDITURE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851"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list all items of expenditure. If you can recover the Value Added Tax (VAT) you must only show the net amount.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851" w:firstLine="0"/>
        <w:rPr>
          <w:rFonts w:ascii="Arial" w:cs="Arial" w:eastAsia="Arial" w:hAnsi="Arial"/>
          <w:sz w:val="22"/>
          <w:szCs w:val="22"/>
        </w:rPr>
      </w:pPr>
      <w:r w:rsidDel="00000000" w:rsidR="00000000" w:rsidRPr="00000000">
        <w:rPr>
          <w:rtl w:val="0"/>
        </w:rPr>
      </w:r>
    </w:p>
    <w:tbl>
      <w:tblPr>
        <w:tblStyle w:val="Table1"/>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Please list any additional sources of funding towards your project. Please note that match funding is not required for expenditure up to £10,000.</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3"/>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w:t>
            </w:r>
            <w:r w:rsidDel="00000000" w:rsidR="00000000" w:rsidRPr="00000000">
              <w:rPr>
                <w:rFonts w:ascii="Arial" w:cs="Arial" w:eastAsia="Arial" w:hAnsi="Arial"/>
                <w:b w:val="1"/>
                <w:sz w:val="22"/>
                <w:szCs w:val="22"/>
                <w:rtl w:val="0"/>
              </w:rPr>
              <w:t xml:space="preserve"> (must not exceed £10,000)</w:t>
            </w: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3D">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850.39370078740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Community Asset Transfer.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headerReference r:id="rId6" w:type="default"/>
      <w:headerReference r:id="rId7" w:type="first"/>
      <w:footerReference r:id="rId8" w:type="default"/>
      <w:footerReference r:id="rId9" w:type="first"/>
      <w:pgSz w:h="16838" w:w="11906"/>
      <w:pgMar w:bottom="566.9291338582677" w:top="566.9291338582677" w:left="1700.7874015748032" w:right="1320.944881889763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Arial" w:cs="Arial" w:eastAsia="Arial" w:hAnsi="Arial"/>
        <w:sz w:val="2"/>
        <w:szCs w:val="2"/>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30"/>
      <w:tblGridChange w:id="0">
        <w:tblGrid>
          <w:gridCol w:w="4800"/>
          <w:gridCol w:w="483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072550" cy="85951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72550" cy="859519"/>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6.141732283464449" w:firstLine="15"/>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jc w:val="center"/>
            <w:rPr>
              <w:rFonts w:ascii="Arial" w:cs="Arial" w:eastAsia="Arial" w:hAnsi="Arial"/>
              <w:sz w:val="36"/>
              <w:szCs w:val="36"/>
            </w:rPr>
          </w:pPr>
          <w:r w:rsidDel="00000000" w:rsidR="00000000" w:rsidRPr="00000000">
            <w:rPr>
              <w:rFonts w:ascii="Arial" w:cs="Arial" w:eastAsia="Arial" w:hAnsi="Arial"/>
              <w:sz w:val="22"/>
              <w:szCs w:val="22"/>
            </w:rPr>
            <w:drawing>
              <wp:inline distB="114300" distT="114300" distL="114300" distR="114300">
                <wp:extent cx="788578" cy="842963"/>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88578" cy="8429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