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Activity:</w:t>
            </w:r>
            <w:r w:rsidRPr="00674162">
              <w:rPr>
                <w:i/>
                <w:szCs w:val="22"/>
              </w:rPr>
              <w:t xml:space="preserve">  </w:t>
            </w:r>
            <w:r w:rsidR="00520BFF">
              <w:rPr>
                <w:b/>
                <w:bCs/>
                <w:i/>
                <w:iCs/>
              </w:rPr>
              <w:t>Use of Outdoor Sand Pit</w:t>
            </w:r>
          </w:p>
          <w:p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520BFF" w:rsidRPr="00520BFF" w:rsidRDefault="00D30B7C" w:rsidP="00520BFF">
            <w:pPr>
              <w:rPr>
                <w:rFonts w:cs="Arial"/>
                <w:b/>
                <w:bCs/>
                <w:i/>
                <w:iCs/>
                <w:sz w:val="20"/>
                <w:szCs w:val="24"/>
              </w:rPr>
            </w:pPr>
            <w:r w:rsidRPr="00674162">
              <w:rPr>
                <w:b/>
                <w:szCs w:val="22"/>
              </w:rPr>
              <w:t>People at Risk:</w:t>
            </w:r>
            <w:r w:rsidRPr="00674162">
              <w:rPr>
                <w:i/>
                <w:szCs w:val="22"/>
              </w:rPr>
              <w:t xml:space="preserve">  </w:t>
            </w:r>
            <w:r w:rsidR="00520BFF" w:rsidRPr="00520BFF">
              <w:rPr>
                <w:rFonts w:cs="Arial"/>
                <w:b/>
                <w:bCs/>
                <w:i/>
                <w:iCs/>
                <w:sz w:val="20"/>
                <w:szCs w:val="24"/>
              </w:rPr>
              <w:t>All staff, pupils and parents in the vicinity of the activity</w:t>
            </w:r>
            <w:r w:rsidR="00520BFF" w:rsidRPr="00520BFF">
              <w:rPr>
                <w:rFonts w:cs="Arial"/>
                <w:b/>
                <w:bCs/>
                <w:i/>
                <w:iCs/>
                <w:sz w:val="20"/>
                <w:szCs w:val="24"/>
              </w:rPr>
              <w:fldChar w:fldCharType="begin"/>
            </w:r>
            <w:r w:rsidR="00520BFF" w:rsidRPr="00520BFF">
              <w:rPr>
                <w:rFonts w:cs="Arial"/>
                <w:b/>
                <w:bCs/>
                <w:i/>
                <w:iCs/>
                <w:sz w:val="20"/>
                <w:szCs w:val="24"/>
              </w:rPr>
              <w:instrText xml:space="preserve">fillin ”People at Risk?” </w:instrText>
            </w:r>
            <w:r w:rsidR="00520BFF" w:rsidRPr="00520BFF">
              <w:rPr>
                <w:rFonts w:cs="Arial"/>
                <w:b/>
                <w:bCs/>
                <w:i/>
                <w:iCs/>
                <w:sz w:val="20"/>
                <w:szCs w:val="24"/>
              </w:rPr>
              <w:fldChar w:fldCharType="end"/>
            </w: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p>
          <w:p w:rsidR="00D30B7C" w:rsidRPr="00674162" w:rsidRDefault="00D30B7C" w:rsidP="000F7D1F">
            <w:pPr>
              <w:rPr>
                <w:i/>
                <w:szCs w:val="22"/>
              </w:rPr>
            </w:pPr>
          </w:p>
        </w:tc>
      </w:tr>
      <w:tr w:rsidR="00A16AF2" w:rsidRPr="00074081"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D30B7C" w:rsidRPr="00645C5D" w:rsidRDefault="00520BFF" w:rsidP="000F7D1F">
            <w:pPr>
              <w:rPr>
                <w:i/>
                <w:sz w:val="20"/>
              </w:rPr>
            </w:pPr>
            <w:r w:rsidRPr="00645C5D">
              <w:rPr>
                <w:b/>
                <w:bCs/>
                <w:i/>
                <w:iCs/>
                <w:sz w:val="20"/>
              </w:rPr>
              <w:t>Contami</w:t>
            </w:r>
            <w:bookmarkStart w:id="0" w:name="_GoBack"/>
            <w:bookmarkEnd w:id="0"/>
            <w:r w:rsidRPr="00645C5D">
              <w:rPr>
                <w:b/>
                <w:bCs/>
                <w:i/>
                <w:iCs/>
                <w:sz w:val="20"/>
              </w:rPr>
              <w:t>nated sand</w:t>
            </w:r>
          </w:p>
        </w:tc>
        <w:tc>
          <w:tcPr>
            <w:tcW w:w="2126" w:type="dxa"/>
            <w:tcBorders>
              <w:top w:val="single" w:sz="12" w:space="0" w:color="auto"/>
            </w:tcBorders>
            <w:shd w:val="clear" w:color="auto" w:fill="auto"/>
          </w:tcPr>
          <w:p w:rsidR="00D30B7C" w:rsidRPr="008C7BED" w:rsidRDefault="00520BFF" w:rsidP="000F7D1F">
            <w:pPr>
              <w:rPr>
                <w:i/>
              </w:rPr>
            </w:pPr>
            <w:r>
              <w:rPr>
                <w:b/>
                <w:bCs/>
                <w:i/>
                <w:iCs/>
              </w:rPr>
              <w:t>Hand to mouth contact</w:t>
            </w:r>
          </w:p>
        </w:tc>
        <w:tc>
          <w:tcPr>
            <w:tcW w:w="851" w:type="dxa"/>
            <w:tcBorders>
              <w:top w:val="single" w:sz="12" w:space="0" w:color="auto"/>
            </w:tcBorders>
            <w:shd w:val="clear" w:color="auto" w:fill="auto"/>
          </w:tcPr>
          <w:p w:rsidR="00D30B7C" w:rsidRPr="008C7BED" w:rsidRDefault="00520BFF" w:rsidP="00674162">
            <w:pPr>
              <w:jc w:val="center"/>
              <w:rPr>
                <w:i/>
              </w:rPr>
            </w:pPr>
            <w:r>
              <w:rPr>
                <w:i/>
              </w:rPr>
              <w:t>H</w:t>
            </w:r>
          </w:p>
        </w:tc>
        <w:tc>
          <w:tcPr>
            <w:tcW w:w="5670" w:type="dxa"/>
            <w:tcBorders>
              <w:top w:val="single" w:sz="12" w:space="0" w:color="auto"/>
            </w:tcBorders>
            <w:shd w:val="clear" w:color="auto" w:fill="auto"/>
          </w:tcPr>
          <w:p w:rsidR="00520BFF" w:rsidRPr="00520BFF" w:rsidRDefault="00520BFF" w:rsidP="00520BFF">
            <w:pPr>
              <w:overflowPunct/>
              <w:autoSpaceDE/>
              <w:autoSpaceDN/>
              <w:adjustRightInd/>
              <w:textAlignment w:val="auto"/>
              <w:rPr>
                <w:rFonts w:cs="Arial"/>
                <w:b/>
                <w:bCs/>
                <w:i/>
                <w:iCs/>
                <w:sz w:val="20"/>
                <w:szCs w:val="24"/>
              </w:rPr>
            </w:pPr>
            <w:smartTag w:uri="urn:schemas:contacts" w:element="Sn">
              <w:r w:rsidRPr="00520BFF">
                <w:rPr>
                  <w:rFonts w:cs="Arial"/>
                  <w:b/>
                  <w:bCs/>
                  <w:i/>
                  <w:iCs/>
                  <w:sz w:val="20"/>
                  <w:szCs w:val="24"/>
                </w:rPr>
                <w:t>Sand</w:t>
              </w:r>
            </w:smartTag>
            <w:r w:rsidRPr="00520BFF">
              <w:rPr>
                <w:rFonts w:cs="Arial"/>
                <w:b/>
                <w:bCs/>
                <w:i/>
                <w:iCs/>
                <w:sz w:val="20"/>
                <w:szCs w:val="24"/>
              </w:rPr>
              <w:t xml:space="preserve"> is changed periodically or when known to be contaminated.</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Only washed sand is used for this activity.</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 xml:space="preserve">Containers for sand are cleaned with a suitable mild disinfectant such as Shield (using the caretaker’s supply). </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The sand pit is covered while not in use.</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textAlignment w:val="auto"/>
              <w:rPr>
                <w:rFonts w:cs="Arial"/>
                <w:b/>
                <w:bCs/>
                <w:i/>
                <w:iCs/>
                <w:sz w:val="20"/>
                <w:szCs w:val="24"/>
              </w:rPr>
            </w:pPr>
            <w:proofErr w:type="gramStart"/>
            <w:r w:rsidRPr="00520BFF">
              <w:rPr>
                <w:rFonts w:cs="Arial"/>
                <w:b/>
                <w:bCs/>
                <w:i/>
                <w:iCs/>
                <w:sz w:val="20"/>
                <w:szCs w:val="24"/>
              </w:rPr>
              <w:t>Staff undertake</w:t>
            </w:r>
            <w:proofErr w:type="gramEnd"/>
            <w:r w:rsidRPr="00520BFF">
              <w:rPr>
                <w:rFonts w:cs="Arial"/>
                <w:b/>
                <w:bCs/>
                <w:i/>
                <w:iCs/>
                <w:sz w:val="20"/>
                <w:szCs w:val="24"/>
              </w:rPr>
              <w:t xml:space="preserve"> a visual inspection of the sand for any signs of contamination prior to the children using it.</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jc w:val="both"/>
              <w:textAlignment w:val="auto"/>
              <w:rPr>
                <w:rFonts w:cs="Arial"/>
                <w:b/>
                <w:i/>
                <w:sz w:val="20"/>
              </w:rPr>
            </w:pPr>
            <w:r w:rsidRPr="00520BFF">
              <w:rPr>
                <w:rFonts w:cs="Arial"/>
                <w:b/>
                <w:bCs/>
                <w:i/>
                <w:iCs/>
                <w:sz w:val="20"/>
                <w:szCs w:val="24"/>
              </w:rPr>
              <w:t>The children are encouraged to wash their hands after playing in this area</w:t>
            </w:r>
          </w:p>
          <w:p w:rsidR="00D30B7C" w:rsidRPr="008C7BED" w:rsidRDefault="00D30B7C" w:rsidP="000F7D1F">
            <w:pPr>
              <w:rPr>
                <w:i/>
                <w:noProof/>
              </w:rPr>
            </w:pPr>
          </w:p>
          <w:p w:rsidR="00D30B7C" w:rsidRPr="008C7BED" w:rsidRDefault="00D30B7C" w:rsidP="000F7D1F">
            <w:pPr>
              <w:rPr>
                <w:i/>
                <w:noProof/>
              </w:rPr>
            </w:pPr>
          </w:p>
          <w:p w:rsidR="00D30B7C" w:rsidRPr="008C7BED" w:rsidRDefault="00D30B7C" w:rsidP="00674162">
            <w:pPr>
              <w:jc w:val="both"/>
              <w:rPr>
                <w:i/>
                <w:szCs w:val="22"/>
              </w:rPr>
            </w:pPr>
          </w:p>
        </w:tc>
        <w:tc>
          <w:tcPr>
            <w:tcW w:w="850" w:type="dxa"/>
            <w:tcBorders>
              <w:top w:val="single" w:sz="12" w:space="0" w:color="auto"/>
            </w:tcBorders>
            <w:shd w:val="clear" w:color="auto" w:fill="auto"/>
          </w:tcPr>
          <w:p w:rsidR="00D30B7C" w:rsidRPr="008C7BED" w:rsidRDefault="00520BFF" w:rsidP="00674162">
            <w:pPr>
              <w:jc w:val="center"/>
              <w:rPr>
                <w:i/>
              </w:rPr>
            </w:pPr>
            <w:r>
              <w:rPr>
                <w:i/>
              </w:rPr>
              <w:t>M</w:t>
            </w:r>
          </w:p>
        </w:tc>
        <w:tc>
          <w:tcPr>
            <w:tcW w:w="3969" w:type="dxa"/>
            <w:tcBorders>
              <w:top w:val="single" w:sz="12" w:space="0" w:color="auto"/>
            </w:tcBorders>
            <w:shd w:val="clear" w:color="auto" w:fill="auto"/>
          </w:tcPr>
          <w:p w:rsidR="00D30B7C" w:rsidRPr="008C7BED" w:rsidRDefault="00520BFF" w:rsidP="00674162">
            <w:pPr>
              <w:jc w:val="center"/>
              <w:rPr>
                <w:i/>
              </w:rPr>
            </w:pPr>
            <w:r>
              <w:rPr>
                <w:b/>
                <w:bCs/>
                <w:i/>
                <w:iCs/>
              </w:rPr>
              <w:t>In the case of permanent sand pit structures it should be assumed that the sand is contaminated by surface water.  This does not mean that the sand pit should not be used but, instead, good hygiene practice, such as hand washing and the prevention of hand to mouth contact is essential.</w:t>
            </w:r>
          </w:p>
        </w:tc>
      </w:tr>
      <w:tr w:rsidR="00D30B7C" w:rsidRPr="00074081" w:rsidTr="0080775F">
        <w:trPr>
          <w:trHeight w:val="552"/>
        </w:trPr>
        <w:tc>
          <w:tcPr>
            <w:tcW w:w="2127" w:type="dxa"/>
            <w:shd w:val="clear" w:color="auto" w:fill="auto"/>
          </w:tcPr>
          <w:p w:rsidR="00D30B7C" w:rsidRPr="00645C5D" w:rsidRDefault="00520BFF" w:rsidP="000F7D1F">
            <w:pPr>
              <w:rPr>
                <w:i/>
                <w:sz w:val="20"/>
              </w:rPr>
            </w:pPr>
            <w:r w:rsidRPr="00645C5D">
              <w:rPr>
                <w:b/>
                <w:bCs/>
                <w:i/>
                <w:iCs/>
                <w:sz w:val="20"/>
              </w:rPr>
              <w:t>Contact with container or surround of sand pit structure</w:t>
            </w:r>
          </w:p>
        </w:tc>
        <w:tc>
          <w:tcPr>
            <w:tcW w:w="2126" w:type="dxa"/>
            <w:shd w:val="clear" w:color="auto" w:fill="auto"/>
          </w:tcPr>
          <w:p w:rsidR="00D30B7C" w:rsidRPr="008C7BED" w:rsidRDefault="00520BFF" w:rsidP="000F7D1F">
            <w:pPr>
              <w:rPr>
                <w:i/>
              </w:rPr>
            </w:pPr>
            <w:r>
              <w:rPr>
                <w:b/>
                <w:bCs/>
                <w:i/>
                <w:iCs/>
              </w:rPr>
              <w:t>i</w:t>
            </w:r>
            <w:r>
              <w:rPr>
                <w:b/>
                <w:bCs/>
                <w:i/>
                <w:iCs/>
              </w:rPr>
              <w:t>njuries arising from collision</w:t>
            </w:r>
          </w:p>
        </w:tc>
        <w:tc>
          <w:tcPr>
            <w:tcW w:w="851" w:type="dxa"/>
            <w:shd w:val="clear" w:color="auto" w:fill="auto"/>
          </w:tcPr>
          <w:p w:rsidR="00D30B7C" w:rsidRPr="008C7BED" w:rsidRDefault="00520BFF" w:rsidP="00674162">
            <w:pPr>
              <w:jc w:val="center"/>
              <w:rPr>
                <w:i/>
              </w:rPr>
            </w:pPr>
            <w:r>
              <w:rPr>
                <w:i/>
              </w:rPr>
              <w:t>M</w:t>
            </w:r>
          </w:p>
        </w:tc>
        <w:tc>
          <w:tcPr>
            <w:tcW w:w="5670" w:type="dxa"/>
            <w:shd w:val="clear" w:color="auto" w:fill="auto"/>
          </w:tcPr>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Children are supervised by staff or parents when using the sand pit.</w:t>
            </w:r>
          </w:p>
          <w:p w:rsidR="00520BFF" w:rsidRPr="00520BFF" w:rsidRDefault="00520BFF" w:rsidP="00520BFF">
            <w:pPr>
              <w:overflowPunct/>
              <w:autoSpaceDE/>
              <w:autoSpaceDN/>
              <w:adjustRightInd/>
              <w:textAlignment w:val="auto"/>
              <w:rPr>
                <w:rFonts w:cs="Arial"/>
                <w:b/>
                <w:bCs/>
                <w:i/>
                <w:iCs/>
                <w:sz w:val="20"/>
                <w:szCs w:val="24"/>
              </w:rPr>
            </w:pPr>
          </w:p>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 xml:space="preserve">The number of children using the sand pit at any time is restricted and </w:t>
            </w:r>
            <w:proofErr w:type="gramStart"/>
            <w:r w:rsidRPr="00520BFF">
              <w:rPr>
                <w:rFonts w:cs="Arial"/>
                <w:b/>
                <w:bCs/>
                <w:i/>
                <w:iCs/>
                <w:sz w:val="20"/>
                <w:szCs w:val="24"/>
              </w:rPr>
              <w:t>staff ensure</w:t>
            </w:r>
            <w:proofErr w:type="gramEnd"/>
            <w:r w:rsidRPr="00520BFF">
              <w:rPr>
                <w:rFonts w:cs="Arial"/>
                <w:b/>
                <w:bCs/>
                <w:i/>
                <w:iCs/>
                <w:sz w:val="20"/>
                <w:szCs w:val="24"/>
              </w:rPr>
              <w:t xml:space="preserve"> that it is not exceeded.</w:t>
            </w:r>
          </w:p>
          <w:p w:rsidR="00D30B7C" w:rsidRPr="008C7BED" w:rsidRDefault="00D30B7C" w:rsidP="000F7D1F">
            <w:pPr>
              <w:rPr>
                <w:i/>
                <w:noProof/>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520BFF" w:rsidP="00674162">
            <w:pPr>
              <w:jc w:val="center"/>
              <w:rPr>
                <w:i/>
              </w:rPr>
            </w:pPr>
            <w:r>
              <w:rPr>
                <w:i/>
              </w:rPr>
              <w:t>L</w:t>
            </w:r>
          </w:p>
        </w:tc>
        <w:tc>
          <w:tcPr>
            <w:tcW w:w="3969" w:type="dxa"/>
            <w:shd w:val="clear" w:color="auto" w:fill="auto"/>
          </w:tcPr>
          <w:p w:rsidR="00D30B7C" w:rsidRPr="008C7BED" w:rsidRDefault="00D30B7C" w:rsidP="00674162">
            <w:pPr>
              <w:jc w:val="center"/>
              <w:rPr>
                <w:i/>
              </w:rPr>
            </w:pPr>
          </w:p>
        </w:tc>
      </w:tr>
      <w:tr w:rsidR="00D30B7C" w:rsidRPr="00074081" w:rsidTr="0080775F">
        <w:trPr>
          <w:trHeight w:val="844"/>
        </w:trPr>
        <w:tc>
          <w:tcPr>
            <w:tcW w:w="2127" w:type="dxa"/>
            <w:shd w:val="clear" w:color="auto" w:fill="auto"/>
          </w:tcPr>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lastRenderedPageBreak/>
              <w:t>Manual handling of sand</w:t>
            </w:r>
          </w:p>
          <w:p w:rsidR="00D30B7C" w:rsidRPr="008C7BED" w:rsidRDefault="00D30B7C" w:rsidP="000F7D1F">
            <w:pPr>
              <w:rPr>
                <w:i/>
              </w:rPr>
            </w:pPr>
          </w:p>
        </w:tc>
        <w:tc>
          <w:tcPr>
            <w:tcW w:w="2126" w:type="dxa"/>
            <w:shd w:val="clear" w:color="auto" w:fill="auto"/>
          </w:tcPr>
          <w:p w:rsidR="00520BFF" w:rsidRPr="00520BFF" w:rsidRDefault="00520BFF" w:rsidP="00520BFF">
            <w:pPr>
              <w:overflowPunct/>
              <w:autoSpaceDE/>
              <w:autoSpaceDN/>
              <w:adjustRightInd/>
              <w:textAlignment w:val="auto"/>
              <w:rPr>
                <w:rFonts w:cs="Arial"/>
                <w:b/>
                <w:bCs/>
                <w:i/>
                <w:iCs/>
                <w:sz w:val="20"/>
                <w:szCs w:val="24"/>
              </w:rPr>
            </w:pPr>
            <w:r w:rsidRPr="00520BFF">
              <w:rPr>
                <w:rFonts w:cs="Arial"/>
                <w:b/>
                <w:bCs/>
                <w:i/>
                <w:iCs/>
                <w:sz w:val="20"/>
                <w:szCs w:val="24"/>
              </w:rPr>
              <w:t>Sprains and strains</w:t>
            </w:r>
          </w:p>
          <w:p w:rsidR="00D30B7C" w:rsidRPr="008C7BED" w:rsidRDefault="00520BFF" w:rsidP="00520BFF">
            <w:pPr>
              <w:rPr>
                <w:i/>
              </w:rPr>
            </w:pPr>
            <w:r w:rsidRPr="00520BFF">
              <w:rPr>
                <w:rFonts w:cs="Arial"/>
                <w:b/>
                <w:bCs/>
                <w:i/>
                <w:iCs/>
                <w:sz w:val="20"/>
                <w:szCs w:val="24"/>
              </w:rPr>
              <w:t>Back injuries</w:t>
            </w:r>
          </w:p>
        </w:tc>
        <w:tc>
          <w:tcPr>
            <w:tcW w:w="851" w:type="dxa"/>
            <w:shd w:val="clear" w:color="auto" w:fill="auto"/>
          </w:tcPr>
          <w:p w:rsidR="00D30B7C" w:rsidRPr="008C7BED" w:rsidRDefault="00520BFF" w:rsidP="00674162">
            <w:pPr>
              <w:jc w:val="center"/>
              <w:rPr>
                <w:i/>
              </w:rPr>
            </w:pPr>
            <w:r>
              <w:rPr>
                <w:i/>
              </w:rPr>
              <w:t>H</w:t>
            </w:r>
          </w:p>
        </w:tc>
        <w:tc>
          <w:tcPr>
            <w:tcW w:w="5670" w:type="dxa"/>
            <w:shd w:val="clear" w:color="auto" w:fill="auto"/>
          </w:tcPr>
          <w:p w:rsidR="00520BFF" w:rsidRPr="00520BFF" w:rsidRDefault="00520BFF" w:rsidP="00520BFF">
            <w:pPr>
              <w:overflowPunct/>
              <w:autoSpaceDE/>
              <w:autoSpaceDN/>
              <w:adjustRightInd/>
              <w:jc w:val="both"/>
              <w:textAlignment w:val="auto"/>
              <w:rPr>
                <w:rFonts w:cs="Arial"/>
                <w:b/>
                <w:bCs/>
                <w:i/>
                <w:iCs/>
                <w:sz w:val="20"/>
                <w:szCs w:val="24"/>
              </w:rPr>
            </w:pPr>
            <w:r w:rsidRPr="00520BFF">
              <w:rPr>
                <w:rFonts w:cs="Arial"/>
                <w:b/>
                <w:bCs/>
                <w:i/>
                <w:iCs/>
                <w:sz w:val="20"/>
                <w:szCs w:val="24"/>
              </w:rPr>
              <w:t>Deliveries of sand are arranged to minimise manual handling.  Suitable equipment, such as a sack trolley or wheel barrow, is available.</w:t>
            </w: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520BFF" w:rsidP="00674162">
            <w:pPr>
              <w:jc w:val="center"/>
              <w:rPr>
                <w:i/>
              </w:rPr>
            </w:pPr>
            <w:r>
              <w:rPr>
                <w:i/>
              </w:rPr>
              <w:t>M</w:t>
            </w: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D30B7C" w:rsidRPr="008C7BED" w:rsidRDefault="00D30B7C" w:rsidP="000F7D1F">
            <w:pPr>
              <w:rPr>
                <w:i/>
              </w:rPr>
            </w:pPr>
          </w:p>
        </w:tc>
        <w:tc>
          <w:tcPr>
            <w:tcW w:w="2126" w:type="dxa"/>
            <w:shd w:val="clear" w:color="auto" w:fill="auto"/>
          </w:tcPr>
          <w:p w:rsidR="00D30B7C" w:rsidRPr="008C7BED" w:rsidRDefault="00D30B7C" w:rsidP="000F7D1F">
            <w:pPr>
              <w:rPr>
                <w:i/>
              </w:rPr>
            </w:pPr>
          </w:p>
        </w:tc>
        <w:tc>
          <w:tcPr>
            <w:tcW w:w="851" w:type="dxa"/>
            <w:shd w:val="clear" w:color="auto" w:fill="auto"/>
          </w:tcPr>
          <w:p w:rsidR="00D30B7C" w:rsidRPr="008C7BED" w:rsidRDefault="00D30B7C" w:rsidP="00674162">
            <w:pPr>
              <w:jc w:val="center"/>
              <w:rPr>
                <w:i/>
              </w:rPr>
            </w:pPr>
          </w:p>
        </w:tc>
        <w:tc>
          <w:tcPr>
            <w:tcW w:w="5670" w:type="dxa"/>
            <w:shd w:val="clear" w:color="auto" w:fill="auto"/>
          </w:tcPr>
          <w:p w:rsidR="00D30B7C" w:rsidRPr="008C7BED" w:rsidRDefault="00D30B7C" w:rsidP="000F7D1F">
            <w:pPr>
              <w:rPr>
                <w:i/>
              </w:rPr>
            </w:pP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D30B7C" w:rsidP="00674162">
            <w:pPr>
              <w:jc w:val="center"/>
              <w:rPr>
                <w:i/>
              </w:rPr>
            </w:pP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D30B7C" w:rsidRPr="008C7BED" w:rsidRDefault="00D30B7C" w:rsidP="000F7D1F">
            <w:pPr>
              <w:rPr>
                <w:i/>
              </w:rPr>
            </w:pPr>
          </w:p>
          <w:p w:rsidR="00D30B7C" w:rsidRPr="008C7BED" w:rsidRDefault="00D30B7C" w:rsidP="000F7D1F">
            <w:pPr>
              <w:rPr>
                <w:i/>
              </w:rPr>
            </w:pPr>
          </w:p>
        </w:tc>
        <w:tc>
          <w:tcPr>
            <w:tcW w:w="2126" w:type="dxa"/>
            <w:shd w:val="clear" w:color="auto" w:fill="auto"/>
          </w:tcPr>
          <w:p w:rsidR="00D30B7C" w:rsidRPr="008C7BED" w:rsidRDefault="00D30B7C" w:rsidP="000F7D1F">
            <w:pPr>
              <w:rPr>
                <w:i/>
              </w:rPr>
            </w:pPr>
          </w:p>
        </w:tc>
        <w:tc>
          <w:tcPr>
            <w:tcW w:w="851" w:type="dxa"/>
            <w:shd w:val="clear" w:color="auto" w:fill="auto"/>
          </w:tcPr>
          <w:p w:rsidR="00D30B7C" w:rsidRPr="008C7BED" w:rsidRDefault="00D30B7C" w:rsidP="00674162">
            <w:pPr>
              <w:jc w:val="center"/>
              <w:rPr>
                <w:i/>
              </w:rPr>
            </w:pPr>
          </w:p>
        </w:tc>
        <w:tc>
          <w:tcPr>
            <w:tcW w:w="5670" w:type="dxa"/>
            <w:shd w:val="clear" w:color="auto" w:fill="auto"/>
          </w:tcPr>
          <w:p w:rsidR="00D30B7C" w:rsidRPr="008C7BED" w:rsidRDefault="00D30B7C" w:rsidP="000F7D1F">
            <w:pPr>
              <w:rPr>
                <w:i/>
              </w:rPr>
            </w:pP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D30B7C" w:rsidP="00674162">
            <w:pPr>
              <w:jc w:val="center"/>
              <w:rPr>
                <w:i/>
              </w:rPr>
            </w:pPr>
          </w:p>
        </w:tc>
        <w:tc>
          <w:tcPr>
            <w:tcW w:w="3969" w:type="dxa"/>
            <w:shd w:val="clear" w:color="auto" w:fill="auto"/>
          </w:tcPr>
          <w:p w:rsidR="00D30B7C" w:rsidRPr="008C7BED" w:rsidRDefault="00D30B7C" w:rsidP="00674162">
            <w:pPr>
              <w:jc w:val="center"/>
              <w:rPr>
                <w:i/>
              </w:rPr>
            </w:pPr>
          </w:p>
        </w:tc>
      </w:tr>
      <w:tr w:rsidR="00B35E29" w:rsidRPr="00074081" w:rsidTr="0080775F">
        <w:trPr>
          <w:trHeight w:val="552"/>
        </w:trPr>
        <w:tc>
          <w:tcPr>
            <w:tcW w:w="2127" w:type="dxa"/>
            <w:shd w:val="clear" w:color="auto" w:fill="auto"/>
          </w:tcPr>
          <w:p w:rsidR="00B35E29" w:rsidRPr="008C7BED" w:rsidRDefault="00B35E29" w:rsidP="000F7D1F">
            <w:pPr>
              <w:rPr>
                <w:i/>
              </w:rPr>
            </w:pPr>
          </w:p>
          <w:p w:rsidR="00031453" w:rsidRPr="008C7BED" w:rsidRDefault="00031453" w:rsidP="000F7D1F">
            <w:pPr>
              <w:rPr>
                <w:i/>
              </w:rPr>
            </w:pPr>
          </w:p>
          <w:p w:rsidR="00031453" w:rsidRPr="008C7BED" w:rsidRDefault="00031453" w:rsidP="000F7D1F">
            <w:pPr>
              <w:rPr>
                <w:i/>
              </w:rPr>
            </w:pPr>
          </w:p>
        </w:tc>
        <w:tc>
          <w:tcPr>
            <w:tcW w:w="2126" w:type="dxa"/>
            <w:shd w:val="clear" w:color="auto" w:fill="auto"/>
          </w:tcPr>
          <w:p w:rsidR="00B35E29" w:rsidRPr="008C7BED" w:rsidRDefault="00B35E29" w:rsidP="000F7D1F">
            <w:pPr>
              <w:rPr>
                <w:i/>
              </w:rPr>
            </w:pPr>
          </w:p>
        </w:tc>
        <w:tc>
          <w:tcPr>
            <w:tcW w:w="851" w:type="dxa"/>
            <w:shd w:val="clear" w:color="auto" w:fill="auto"/>
          </w:tcPr>
          <w:p w:rsidR="00B35E29" w:rsidRPr="008C7BED" w:rsidRDefault="00B35E29" w:rsidP="00674162">
            <w:pPr>
              <w:jc w:val="center"/>
              <w:rPr>
                <w:i/>
              </w:rPr>
            </w:pPr>
          </w:p>
        </w:tc>
        <w:tc>
          <w:tcPr>
            <w:tcW w:w="5670" w:type="dxa"/>
            <w:shd w:val="clear" w:color="auto" w:fill="auto"/>
          </w:tcPr>
          <w:p w:rsidR="00B35E29" w:rsidRPr="008C7BED" w:rsidRDefault="00B35E29" w:rsidP="000F7D1F">
            <w:pPr>
              <w:rPr>
                <w:i/>
              </w:rPr>
            </w:pPr>
          </w:p>
        </w:tc>
        <w:tc>
          <w:tcPr>
            <w:tcW w:w="850" w:type="dxa"/>
            <w:shd w:val="clear" w:color="auto" w:fill="auto"/>
          </w:tcPr>
          <w:p w:rsidR="00B35E29" w:rsidRPr="008C7BED" w:rsidRDefault="00B35E29" w:rsidP="00674162">
            <w:pPr>
              <w:jc w:val="center"/>
              <w:rPr>
                <w:i/>
              </w:rPr>
            </w:pPr>
          </w:p>
        </w:tc>
        <w:tc>
          <w:tcPr>
            <w:tcW w:w="3969" w:type="dxa"/>
            <w:shd w:val="clear" w:color="auto" w:fill="auto"/>
          </w:tcPr>
          <w:p w:rsidR="00B35E29" w:rsidRPr="008C7BED" w:rsidRDefault="00B35E29"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2"/>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45C5D">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45C5D">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45C5D">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45C5D">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0BFF"/>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45C5D"/>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73ABD"/>
    <w:rsid w:val="00B762BD"/>
    <w:rsid w:val="00B76778"/>
    <w:rsid w:val="00B83E25"/>
    <w:rsid w:val="00B86DF3"/>
    <w:rsid w:val="00BC2ADE"/>
    <w:rsid w:val="00BD0F70"/>
    <w:rsid w:val="00BD55D4"/>
    <w:rsid w:val="00BE27CD"/>
    <w:rsid w:val="00BF19AD"/>
    <w:rsid w:val="00C449E3"/>
    <w:rsid w:val="00C44C3D"/>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D39BDE14</Template>
  <TotalTime>2</TotalTime>
  <Pages>2</Pages>
  <Words>281</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2</cp:revision>
  <cp:lastPrinted>2013-10-09T12:44:00Z</cp:lastPrinted>
  <dcterms:created xsi:type="dcterms:W3CDTF">2016-10-25T14:43:00Z</dcterms:created>
  <dcterms:modified xsi:type="dcterms:W3CDTF">2016-10-25T14:43:00Z</dcterms:modified>
</cp:coreProperties>
</file>