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BB" w:rsidRPr="00EC64BB" w:rsidRDefault="00D30B7C" w:rsidP="00EC64BB">
            <w:pPr>
              <w:rPr>
                <w:rFonts w:cs="Arial"/>
                <w:sz w:val="20"/>
                <w:szCs w:val="24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Receiving and distribution of deliveries e.g. stationery, clay, parcels, milk</w:t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>fillin “Activity?”</w:instrText>
            </w:r>
            <w:r w:rsidR="00EC64BB" w:rsidRPr="00EC64BB">
              <w:rPr>
                <w:rFonts w:cs="Arial"/>
                <w:sz w:val="20"/>
                <w:szCs w:val="24"/>
              </w:rPr>
              <w:instrText xml:space="preserve"> </w:instrText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4BB" w:rsidRPr="00EC64BB" w:rsidRDefault="00D30B7C" w:rsidP="00EC64BB">
            <w:pPr>
              <w:rPr>
                <w:rFonts w:cs="Arial"/>
                <w:i/>
                <w:szCs w:val="22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Teaching staff, non-teaching staff, children in vicinity</w:t>
            </w: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64BB" w:rsidRPr="00EC64BB" w:rsidRDefault="00D30B7C" w:rsidP="00EC64BB">
            <w:pPr>
              <w:rPr>
                <w:rFonts w:cs="Arial"/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Good Back Care &amp; The Moving and Handling of Loads - Guidelines for </w:t>
            </w:r>
            <w:smartTag w:uri="urn:schemas-microsoft-com:office:smarttags" w:element="place">
              <w:smartTag w:uri="urn:schemas-microsoft-com:office:smarttags" w:element="PlaceName">
                <w:r w:rsidR="00EC64BB" w:rsidRPr="00EC64BB">
                  <w:rPr>
                    <w:rFonts w:cs="Arial"/>
                    <w:b/>
                    <w:bCs/>
                    <w:i/>
                    <w:iCs/>
                    <w:sz w:val="20"/>
                    <w:szCs w:val="24"/>
                  </w:rPr>
                  <w:t>Northumberland</w:t>
                </w:r>
              </w:smartTag>
              <w:r w:rsidR="00EC64BB" w:rsidRPr="00EC64BB">
                <w:rPr>
                  <w:rFonts w:cs="Arial"/>
                  <w:b/>
                  <w:bCs/>
                  <w:i/>
                  <w:iCs/>
                  <w:sz w:val="20"/>
                  <w:szCs w:val="24"/>
                </w:rPr>
                <w:t xml:space="preserve"> </w:t>
              </w:r>
              <w:smartTag w:uri="urn:schemas-microsoft-com:office:smarttags" w:element="PlaceType">
                <w:r w:rsidR="00EC64BB" w:rsidRPr="00EC64BB">
                  <w:rPr>
                    <w:rFonts w:cs="Arial"/>
                    <w:b/>
                    <w:bCs/>
                    <w:i/>
                    <w:iCs/>
                    <w:sz w:val="20"/>
                    <w:szCs w:val="24"/>
                  </w:rPr>
                  <w:t>County</w:t>
                </w:r>
              </w:smartTag>
            </w:smartTag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 Council Employees issued to all</w:t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>fillin “Site?”</w:instrText>
            </w:r>
            <w:r w:rsidR="00EC64BB" w:rsidRPr="00EC64BB">
              <w:rPr>
                <w:rFonts w:cs="Arial"/>
                <w:sz w:val="20"/>
                <w:szCs w:val="24"/>
              </w:rPr>
              <w:instrText xml:space="preserve"> </w:instrText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  <w:r w:rsidR="00EC64BB" w:rsidRPr="00EC64BB">
              <w:rPr>
                <w:rFonts w:cs="Arial"/>
                <w:sz w:val="20"/>
                <w:szCs w:val="24"/>
              </w:rPr>
              <w:t xml:space="preserve"> </w:t>
            </w:r>
            <w:r w:rsidR="00EC64BB"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staff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Distribution of deliveries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Muscle injury</w:t>
            </w:r>
          </w:p>
          <w:p w:rsidR="00D30B7C" w:rsidRPr="008C7BED" w:rsidRDefault="00EC64BB" w:rsidP="00EC64BB">
            <w:pPr>
              <w:rPr>
                <w:i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Back strain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1C3E49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Where possible, the movement of any items delivered will be carried out by the caretaker who has received moving and handling training.</w:t>
            </w: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Any lifting aids available (sack barrows and trolleys) will be used.</w:t>
            </w: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movement of deliveries are planned so that break times can be avoided when corridors and staircases are busy. A route is planned which is free from slipping and tripping hazards.  Any obstacles will be removed as necessary.</w:t>
            </w:r>
            <w:bookmarkStart w:id="0" w:name="_GoBack"/>
            <w:bookmarkEnd w:id="0"/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1C3E49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Distribution of deliveries</w:t>
            </w:r>
          </w:p>
          <w:p w:rsidR="00D30B7C" w:rsidRPr="008C7BED" w:rsidRDefault="00EC64BB" w:rsidP="00EC64BB">
            <w:pPr>
              <w:rPr>
                <w:i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(continued)</w:t>
            </w:r>
          </w:p>
        </w:tc>
        <w:tc>
          <w:tcPr>
            <w:tcW w:w="2126" w:type="dxa"/>
            <w:shd w:val="clear" w:color="auto" w:fill="auto"/>
          </w:tcPr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Muscle injury</w:t>
            </w:r>
          </w:p>
          <w:p w:rsidR="00D30B7C" w:rsidRPr="008C7BED" w:rsidRDefault="00EC64BB" w:rsidP="00EC64BB">
            <w:pPr>
              <w:rPr>
                <w:i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Back strain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1C3E49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An extra person is available to hold open doors where this is necessary.</w:t>
            </w: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Where lifting is necessary, the correct lifting techniques as set out in the Good Back Care Booklet are used:</w:t>
            </w: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Deliveries are split into manageable loads.</w:t>
            </w: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1C3E49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lastRenderedPageBreak/>
              <w:t>Temporary storage of deliveries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EC64BB" w:rsidP="000F7D1F">
            <w:pPr>
              <w:rPr>
                <w:i/>
              </w:rPr>
            </w:pPr>
            <w:r>
              <w:rPr>
                <w:b/>
                <w:bCs/>
                <w:i/>
                <w:iCs/>
              </w:rPr>
              <w:t>Trips and falls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1C3E49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Where deliveries are split into manageable loads to deliver to parts of the school</w:t>
            </w:r>
            <w:proofErr w:type="gramStart"/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,  it</w:t>
            </w:r>
            <w:proofErr w:type="gramEnd"/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 is likely that some items may be left behind.  These must be kept out of traffic routes and must not cause an obstruction.</w:t>
            </w: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EC64BB" w:rsidRPr="00EC64BB" w:rsidRDefault="00EC64BB" w:rsidP="00EC64B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EC64BB">
              <w:rPr>
                <w:rFonts w:cs="Arial"/>
                <w:b/>
                <w:bCs/>
                <w:i/>
                <w:iCs/>
                <w:sz w:val="20"/>
                <w:szCs w:val="24"/>
              </w:rPr>
              <w:t>A convenient time is arranged with suppliers to deliver goods so that distribution can take place as soon as possible.</w:t>
            </w: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1C3E49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B35E29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  <w:p w:rsidR="00031453" w:rsidRPr="008C7BED" w:rsidRDefault="00031453" w:rsidP="000F7D1F">
            <w:pPr>
              <w:rPr>
                <w:i/>
              </w:rPr>
            </w:pPr>
          </w:p>
          <w:p w:rsidR="00031453" w:rsidRPr="008C7BED" w:rsidRDefault="00031453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</w:tr>
      <w:tr w:rsidR="002A6A6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</w:tr>
      <w:tr w:rsidR="002A6A6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4" w:rsidRDefault="00DD3544">
      <w:r>
        <w:separator/>
      </w:r>
    </w:p>
  </w:endnote>
  <w:endnote w:type="continuationSeparator" w:id="0">
    <w:p w:rsidR="00DD3544" w:rsidRDefault="00D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C3E49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C3E49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FA370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FA3709">
            <w:rPr>
              <w:noProof/>
              <w:sz w:val="18"/>
            </w:rPr>
            <w:t>October 2013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C3E49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1C3E49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4" w:rsidRDefault="00DD3544">
      <w:r>
        <w:separator/>
      </w:r>
    </w:p>
  </w:footnote>
  <w:footnote w:type="continuationSeparator" w:id="0">
    <w:p w:rsidR="00DD3544" w:rsidRDefault="00DD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DD3544" w:rsidP="00B35E29">
                          <w:pPr>
                            <w:ind w:left="-284" w:firstLine="284"/>
                          </w:pPr>
                        </w:p>
                        <w:p w:rsidR="00DD3544" w:rsidRDefault="00DD3544"/>
                        <w:p w:rsidR="00DD3544" w:rsidRDefault="00DD35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D3544" w:rsidRDefault="00DD3544" w:rsidP="00B35E29">
                    <w:pPr>
                      <w:ind w:left="-284" w:firstLine="284"/>
                    </w:pPr>
                  </w:p>
                  <w:p w:rsidR="00DD3544" w:rsidRDefault="00DD3544"/>
                  <w:p w:rsidR="00DD3544" w:rsidRDefault="00DD3544"/>
                </w:txbxContent>
              </v:textbox>
            </v:shape>
          </w:pict>
        </mc:Fallback>
      </mc:AlternateConten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381F5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:rsidR="00DD3544" w:rsidRDefault="00381F5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4F7F"/>
    <w:rsid w:val="001A2B46"/>
    <w:rsid w:val="001B78F2"/>
    <w:rsid w:val="001C1AC4"/>
    <w:rsid w:val="001C3032"/>
    <w:rsid w:val="001C3E49"/>
    <w:rsid w:val="001D4383"/>
    <w:rsid w:val="001D634F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93D17"/>
    <w:rsid w:val="002A6A65"/>
    <w:rsid w:val="002B0677"/>
    <w:rsid w:val="002B7937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1F5E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C64BB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30B59998</Template>
  <TotalTime>3</TotalTime>
  <Pages>2</Pages>
  <Words>283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3</cp:revision>
  <cp:lastPrinted>2013-10-09T12:44:00Z</cp:lastPrinted>
  <dcterms:created xsi:type="dcterms:W3CDTF">2016-10-25T13:27:00Z</dcterms:created>
  <dcterms:modified xsi:type="dcterms:W3CDTF">2016-10-26T09:35:00Z</dcterms:modified>
</cp:coreProperties>
</file>