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D30B7C" w:rsidRPr="00074081" w:rsidTr="00674162">
        <w:tc>
          <w:tcPr>
            <w:tcW w:w="5637" w:type="dxa"/>
            <w:tcBorders>
              <w:top w:val="single" w:sz="12" w:space="0" w:color="auto"/>
              <w:left w:val="single" w:sz="12" w:space="0" w:color="auto"/>
              <w:bottom w:val="single" w:sz="4" w:space="0" w:color="auto"/>
              <w:right w:val="single" w:sz="4" w:space="0" w:color="auto"/>
            </w:tcBorders>
            <w:shd w:val="clear" w:color="auto" w:fill="auto"/>
          </w:tcPr>
          <w:p w:rsidR="00D30B7C" w:rsidRPr="00674162" w:rsidRDefault="00B35E29" w:rsidP="00674162">
            <w:pPr>
              <w:jc w:val="both"/>
              <w:rPr>
                <w:i/>
                <w:szCs w:val="22"/>
              </w:rPr>
            </w:pPr>
            <w:r w:rsidRPr="00674162">
              <w:rPr>
                <w:b/>
                <w:szCs w:val="22"/>
              </w:rPr>
              <w:t>Department</w:t>
            </w:r>
            <w:r w:rsidR="00D30B7C" w:rsidRPr="00674162">
              <w:rPr>
                <w:b/>
                <w:szCs w:val="22"/>
              </w:rPr>
              <w:t>:</w:t>
            </w:r>
            <w:r w:rsidR="00D30B7C" w:rsidRPr="00674162">
              <w:rPr>
                <w:i/>
                <w:szCs w:val="22"/>
              </w:rPr>
              <w:t xml:space="preserve">  </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D30B7C" w:rsidRPr="00674162" w:rsidRDefault="00B51593" w:rsidP="00674162">
            <w:pPr>
              <w:jc w:val="both"/>
              <w:rPr>
                <w:b/>
                <w:i/>
                <w:szCs w:val="22"/>
              </w:rPr>
            </w:pPr>
            <w:r w:rsidRPr="00674162">
              <w:rPr>
                <w:b/>
                <w:szCs w:val="22"/>
              </w:rPr>
              <w:t>Service</w:t>
            </w:r>
            <w:r w:rsidR="00D30B7C" w:rsidRPr="00674162">
              <w:rPr>
                <w:b/>
                <w:szCs w:val="22"/>
              </w:rPr>
              <w:t>:</w:t>
            </w:r>
            <w:r w:rsidR="00D30B7C" w:rsidRPr="00674162">
              <w:rPr>
                <w:i/>
                <w:szCs w:val="22"/>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D30B7C" w:rsidRPr="00674162" w:rsidRDefault="00D30B7C" w:rsidP="00674162">
            <w:pPr>
              <w:jc w:val="both"/>
              <w:rPr>
                <w:i/>
                <w:szCs w:val="22"/>
              </w:rPr>
            </w:pPr>
            <w:r w:rsidRPr="00674162">
              <w:rPr>
                <w:b/>
                <w:szCs w:val="22"/>
              </w:rPr>
              <w:t>Reference: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D30B7C" w:rsidRPr="00674162" w:rsidRDefault="00D30B7C" w:rsidP="000F7D1F">
            <w:pPr>
              <w:rPr>
                <w:i/>
                <w:szCs w:val="22"/>
              </w:rPr>
            </w:pPr>
            <w:r w:rsidRPr="00674162">
              <w:rPr>
                <w:b/>
                <w:szCs w:val="22"/>
              </w:rPr>
              <w:t>Activity:</w:t>
            </w:r>
            <w:r w:rsidRPr="00674162">
              <w:rPr>
                <w:i/>
                <w:szCs w:val="22"/>
              </w:rPr>
              <w:t xml:space="preserve">  </w:t>
            </w:r>
          </w:p>
          <w:p w:rsidR="00D30B7C" w:rsidRPr="00674162" w:rsidRDefault="000C4BBE" w:rsidP="000F7D1F">
            <w:pPr>
              <w:rPr>
                <w:i/>
                <w:szCs w:val="22"/>
              </w:rPr>
            </w:pPr>
            <w:r w:rsidRPr="00E7642A">
              <w:rPr>
                <w:b/>
                <w:bCs/>
                <w:i/>
                <w:iCs/>
              </w:rPr>
              <w:t>Handling or banking of money</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Site: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D30B7C" w:rsidRPr="00674162" w:rsidRDefault="00D30B7C" w:rsidP="000F7D1F">
            <w:pPr>
              <w:rPr>
                <w:i/>
                <w:szCs w:val="22"/>
              </w:rPr>
            </w:pPr>
            <w:r w:rsidRPr="00674162">
              <w:rPr>
                <w:b/>
                <w:szCs w:val="22"/>
              </w:rPr>
              <w:t>People at Risk:</w:t>
            </w:r>
            <w:r w:rsidRPr="00674162">
              <w:rPr>
                <w:i/>
                <w:szCs w:val="22"/>
              </w:rPr>
              <w:t xml:space="preserve">  </w:t>
            </w:r>
            <w:r w:rsidR="000C4BBE" w:rsidRPr="00E7642A">
              <w:rPr>
                <w:b/>
                <w:bCs/>
                <w:i/>
                <w:iCs/>
              </w:rPr>
              <w:t>All personnel carrying out this task</w:t>
            </w:r>
          </w:p>
          <w:p w:rsidR="00D30B7C" w:rsidRPr="00674162" w:rsidRDefault="00D30B7C" w:rsidP="000F7D1F">
            <w:pPr>
              <w:rPr>
                <w:b/>
                <w:i/>
                <w:szCs w:val="22"/>
              </w:rPr>
            </w:pPr>
            <w:r w:rsidRPr="00674162">
              <w:rPr>
                <w:b/>
                <w:i/>
                <w:szCs w:val="22"/>
              </w:rPr>
              <w:fldChar w:fldCharType="begin"/>
            </w:r>
            <w:r w:rsidRPr="00674162">
              <w:rPr>
                <w:b/>
                <w:i/>
                <w:szCs w:val="22"/>
              </w:rPr>
              <w:instrText xml:space="preserve"> fillin”People at Risk?” </w:instrText>
            </w:r>
            <w:r w:rsidRPr="00674162">
              <w:rPr>
                <w:b/>
                <w:i/>
                <w:szCs w:val="22"/>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Additional Information:</w:t>
            </w:r>
            <w:r w:rsidRPr="00674162">
              <w:rPr>
                <w:i/>
                <w:szCs w:val="22"/>
              </w:rPr>
              <w:t xml:space="preserve">  </w:t>
            </w:r>
          </w:p>
          <w:p w:rsidR="00D30B7C" w:rsidRPr="00674162" w:rsidRDefault="00D30B7C" w:rsidP="000F7D1F">
            <w:pPr>
              <w:rPr>
                <w:i/>
                <w:szCs w:val="22"/>
              </w:rPr>
            </w:pPr>
          </w:p>
        </w:tc>
      </w:tr>
      <w:tr w:rsidR="00A16AF2" w:rsidRPr="00074081" w:rsidTr="00674162">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A16AF2" w:rsidRPr="00674162" w:rsidRDefault="00FE0D61" w:rsidP="00215899">
            <w:pPr>
              <w:spacing w:before="120"/>
              <w:rPr>
                <w:szCs w:val="22"/>
              </w:rPr>
            </w:pPr>
            <w:r>
              <w:rPr>
                <w:b/>
                <w:szCs w:val="22"/>
              </w:rPr>
              <w:t>Name of Person Completing F</w:t>
            </w:r>
            <w:r w:rsidR="00674162" w:rsidRPr="00674162">
              <w:rPr>
                <w:b/>
                <w:szCs w:val="22"/>
              </w:rPr>
              <w:t xml:space="preserve">orm: </w:t>
            </w:r>
            <w:r w:rsidR="00DD3544">
              <w:rPr>
                <w:b/>
                <w:szCs w:val="22"/>
              </w:rPr>
              <w:tab/>
            </w:r>
            <w:r w:rsidR="00DD3544">
              <w:rPr>
                <w:b/>
                <w:szCs w:val="22"/>
              </w:rPr>
              <w:tab/>
            </w:r>
            <w:r w:rsidR="00DD3544">
              <w:rPr>
                <w:b/>
                <w:szCs w:val="22"/>
              </w:rPr>
              <w:tab/>
            </w:r>
            <w:r w:rsidR="00DD3544">
              <w:rPr>
                <w:b/>
                <w:szCs w:val="22"/>
              </w:rPr>
              <w:tab/>
            </w:r>
            <w:r w:rsidR="00A16AF2" w:rsidRPr="00674162">
              <w:rPr>
                <w:b/>
                <w:szCs w:val="22"/>
              </w:rPr>
              <w:t>Job Title:</w:t>
            </w:r>
            <w:r w:rsidR="00215899">
              <w:rPr>
                <w:b/>
                <w:szCs w:val="22"/>
              </w:rPr>
              <w:tab/>
            </w:r>
            <w:r w:rsidR="00215899">
              <w:rPr>
                <w:b/>
                <w:szCs w:val="22"/>
              </w:rPr>
              <w:tab/>
            </w:r>
            <w:r w:rsidR="00215899">
              <w:rPr>
                <w:b/>
                <w:szCs w:val="22"/>
              </w:rPr>
              <w:tab/>
            </w:r>
            <w:r w:rsidR="00215899">
              <w:rPr>
                <w:b/>
                <w:szCs w:val="22"/>
              </w:rPr>
              <w:tab/>
            </w:r>
            <w:r w:rsidR="00215899">
              <w:rPr>
                <w:b/>
                <w:szCs w:val="22"/>
              </w:rPr>
              <w:tab/>
            </w:r>
            <w:r w:rsidR="00215899" w:rsidRPr="00674162">
              <w:rPr>
                <w:b/>
                <w:szCs w:val="22"/>
              </w:rPr>
              <w:t xml:space="preserve"> </w:t>
            </w:r>
            <w:r w:rsidR="00A16AF2" w:rsidRPr="00674162">
              <w:rPr>
                <w:b/>
                <w:szCs w:val="22"/>
              </w:rPr>
              <w:t>Date</w:t>
            </w:r>
            <w:r w:rsidR="00215899">
              <w:rPr>
                <w:b/>
                <w:szCs w:val="22"/>
              </w:rPr>
              <w:t>:</w:t>
            </w:r>
          </w:p>
        </w:tc>
        <w:tc>
          <w:tcPr>
            <w:tcW w:w="2835" w:type="dxa"/>
            <w:tcBorders>
              <w:top w:val="single" w:sz="4" w:space="0" w:color="auto"/>
              <w:left w:val="single" w:sz="4" w:space="0" w:color="auto"/>
            </w:tcBorders>
            <w:shd w:val="clear" w:color="auto" w:fill="auto"/>
          </w:tcPr>
          <w:p w:rsidR="00A16AF2" w:rsidRPr="00674162" w:rsidRDefault="00A16AF2" w:rsidP="00215899">
            <w:pPr>
              <w:spacing w:before="120"/>
              <w:rPr>
                <w:szCs w:val="22"/>
              </w:rPr>
            </w:pPr>
            <w:r w:rsidRPr="00674162">
              <w:rPr>
                <w:b/>
                <w:szCs w:val="22"/>
              </w:rPr>
              <w:t>Review Date:</w:t>
            </w:r>
          </w:p>
        </w:tc>
      </w:tr>
    </w:tbl>
    <w:p w:rsidR="00A16AF2" w:rsidRPr="00391FBA" w:rsidRDefault="00A16AF2" w:rsidP="000F7D1F">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D30B7C" w:rsidRPr="00074081" w:rsidTr="0080775F">
        <w:trPr>
          <w:trHeight w:val="552"/>
          <w:tblHeader/>
        </w:trPr>
        <w:tc>
          <w:tcPr>
            <w:tcW w:w="2127"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 xml:space="preserve">Hazard </w:t>
            </w:r>
          </w:p>
        </w:tc>
        <w:tc>
          <w:tcPr>
            <w:tcW w:w="2126"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Risk</w:t>
            </w:r>
          </w:p>
        </w:tc>
        <w:tc>
          <w:tcPr>
            <w:tcW w:w="851"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Initial Rating</w:t>
            </w:r>
          </w:p>
          <w:p w:rsidR="003E067D" w:rsidRPr="00674162" w:rsidRDefault="00BC2ADE" w:rsidP="00674162">
            <w:pPr>
              <w:jc w:val="center"/>
              <w:rPr>
                <w:b/>
                <w:color w:val="000000"/>
                <w:sz w:val="18"/>
                <w:szCs w:val="18"/>
              </w:rPr>
            </w:pPr>
            <w:r w:rsidRPr="00674162">
              <w:rPr>
                <w:b/>
                <w:color w:val="000000"/>
                <w:sz w:val="18"/>
                <w:szCs w:val="18"/>
              </w:rPr>
              <w:t xml:space="preserve">L, </w:t>
            </w:r>
            <w:r w:rsidR="003E067D" w:rsidRPr="00674162">
              <w:rPr>
                <w:b/>
                <w:color w:val="000000"/>
                <w:sz w:val="18"/>
                <w:szCs w:val="18"/>
              </w:rPr>
              <w:t>M</w:t>
            </w:r>
            <w:r w:rsidRPr="00674162">
              <w:rPr>
                <w:b/>
                <w:color w:val="000000"/>
                <w:sz w:val="18"/>
                <w:szCs w:val="18"/>
              </w:rPr>
              <w:t xml:space="preserve">, </w:t>
            </w:r>
            <w:r w:rsidR="003E067D" w:rsidRPr="00674162">
              <w:rPr>
                <w:b/>
                <w:color w:val="000000"/>
                <w:sz w:val="18"/>
                <w:szCs w:val="18"/>
              </w:rPr>
              <w:t>H</w:t>
            </w:r>
          </w:p>
        </w:tc>
        <w:tc>
          <w:tcPr>
            <w:tcW w:w="5670"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Existing Control Measures</w:t>
            </w:r>
          </w:p>
        </w:tc>
        <w:tc>
          <w:tcPr>
            <w:tcW w:w="850"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Final Rating</w:t>
            </w:r>
          </w:p>
          <w:p w:rsidR="003E067D" w:rsidRPr="00674162" w:rsidRDefault="00377D83" w:rsidP="00674162">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BC2ADE" w:rsidRPr="00674162" w:rsidRDefault="00D30B7C" w:rsidP="00674162">
            <w:pPr>
              <w:jc w:val="center"/>
              <w:rPr>
                <w:b/>
              </w:rPr>
            </w:pPr>
            <w:r w:rsidRPr="00674162">
              <w:rPr>
                <w:b/>
                <w:szCs w:val="22"/>
              </w:rPr>
              <w:t>Additional Action Required</w:t>
            </w:r>
            <w:r w:rsidRPr="00674162">
              <w:rPr>
                <w:b/>
              </w:rPr>
              <w:t xml:space="preserve"> </w:t>
            </w:r>
          </w:p>
          <w:p w:rsidR="00D30B7C" w:rsidRPr="0042737A" w:rsidRDefault="00D30B7C" w:rsidP="0042737A">
            <w:pPr>
              <w:jc w:val="center"/>
              <w:rPr>
                <w:b/>
                <w:sz w:val="18"/>
                <w:szCs w:val="18"/>
              </w:rPr>
            </w:pPr>
            <w:r w:rsidRPr="0042737A">
              <w:rPr>
                <w:b/>
                <w:sz w:val="18"/>
                <w:szCs w:val="18"/>
              </w:rPr>
              <w:t>(action by whom</w:t>
            </w:r>
            <w:r w:rsidR="006605C3" w:rsidRPr="0042737A">
              <w:rPr>
                <w:b/>
                <w:sz w:val="18"/>
                <w:szCs w:val="18"/>
              </w:rPr>
              <w:t xml:space="preserve"> and </w:t>
            </w:r>
            <w:r w:rsidR="00C66BB3" w:rsidRPr="0042737A">
              <w:rPr>
                <w:b/>
                <w:sz w:val="18"/>
                <w:szCs w:val="18"/>
              </w:rPr>
              <w:t>completion date</w:t>
            </w:r>
            <w:r w:rsidR="00674162" w:rsidRPr="0042737A">
              <w:rPr>
                <w:b/>
                <w:sz w:val="18"/>
                <w:szCs w:val="18"/>
              </w:rPr>
              <w:t xml:space="preserve"> </w:t>
            </w:r>
            <w:r w:rsidR="0042737A" w:rsidRPr="0042737A">
              <w:rPr>
                <w:b/>
                <w:sz w:val="18"/>
                <w:szCs w:val="18"/>
              </w:rPr>
              <w:t>–</w:t>
            </w:r>
            <w:r w:rsidR="00674162" w:rsidRPr="0042737A">
              <w:rPr>
                <w:b/>
                <w:sz w:val="18"/>
                <w:szCs w:val="18"/>
              </w:rPr>
              <w:t xml:space="preserve"> </w:t>
            </w:r>
            <w:r w:rsidR="0042737A" w:rsidRPr="0042737A">
              <w:rPr>
                <w:b/>
                <w:sz w:val="18"/>
                <w:szCs w:val="18"/>
              </w:rPr>
              <w:t xml:space="preserve">use </w:t>
            </w:r>
            <w:r w:rsidR="00674162" w:rsidRPr="0042737A">
              <w:rPr>
                <w:b/>
                <w:sz w:val="18"/>
                <w:szCs w:val="18"/>
              </w:rPr>
              <w:t>separate Action Plan if necessary</w:t>
            </w:r>
            <w:r w:rsidRPr="0042737A">
              <w:rPr>
                <w:b/>
                <w:sz w:val="18"/>
                <w:szCs w:val="18"/>
              </w:rPr>
              <w:t>)</w:t>
            </w:r>
          </w:p>
        </w:tc>
      </w:tr>
      <w:tr w:rsidR="00D30B7C" w:rsidRPr="00074081" w:rsidTr="0080775F">
        <w:trPr>
          <w:trHeight w:val="552"/>
        </w:trPr>
        <w:tc>
          <w:tcPr>
            <w:tcW w:w="2127" w:type="dxa"/>
            <w:tcBorders>
              <w:top w:val="single" w:sz="12" w:space="0" w:color="auto"/>
            </w:tcBorders>
            <w:shd w:val="clear" w:color="auto" w:fill="auto"/>
          </w:tcPr>
          <w:p w:rsidR="00D30B7C" w:rsidRPr="008C7BED" w:rsidRDefault="005A2168" w:rsidP="000F7D1F">
            <w:pPr>
              <w:rPr>
                <w:i/>
              </w:rPr>
            </w:pPr>
            <w:r w:rsidRPr="00E7642A">
              <w:rPr>
                <w:b/>
                <w:bCs/>
                <w:i/>
                <w:iCs/>
              </w:rPr>
              <w:t>Carrying of money in public places</w:t>
            </w:r>
          </w:p>
        </w:tc>
        <w:tc>
          <w:tcPr>
            <w:tcW w:w="2126" w:type="dxa"/>
            <w:tcBorders>
              <w:top w:val="single" w:sz="12" w:space="0" w:color="auto"/>
            </w:tcBorders>
            <w:shd w:val="clear" w:color="auto" w:fill="auto"/>
          </w:tcPr>
          <w:p w:rsidR="00D30B7C" w:rsidRPr="008C7BED" w:rsidRDefault="005A2168" w:rsidP="000F7D1F">
            <w:pPr>
              <w:rPr>
                <w:i/>
              </w:rPr>
            </w:pPr>
            <w:r w:rsidRPr="00E7642A">
              <w:rPr>
                <w:b/>
                <w:bCs/>
                <w:i/>
                <w:iCs/>
              </w:rPr>
              <w:t>Personal injury arising from violence or assault</w:t>
            </w:r>
          </w:p>
        </w:tc>
        <w:tc>
          <w:tcPr>
            <w:tcW w:w="851" w:type="dxa"/>
            <w:tcBorders>
              <w:top w:val="single" w:sz="12" w:space="0" w:color="auto"/>
            </w:tcBorders>
            <w:shd w:val="clear" w:color="auto" w:fill="auto"/>
          </w:tcPr>
          <w:p w:rsidR="00D30B7C" w:rsidRPr="008C7BED" w:rsidRDefault="00C22FA2" w:rsidP="00674162">
            <w:pPr>
              <w:jc w:val="center"/>
              <w:rPr>
                <w:i/>
              </w:rPr>
            </w:pPr>
            <w:r>
              <w:rPr>
                <w:i/>
              </w:rPr>
              <w:t>H</w:t>
            </w:r>
          </w:p>
        </w:tc>
        <w:tc>
          <w:tcPr>
            <w:tcW w:w="5670" w:type="dxa"/>
            <w:tcBorders>
              <w:top w:val="single" w:sz="12" w:space="0" w:color="auto"/>
            </w:tcBorders>
            <w:shd w:val="clear" w:color="auto" w:fill="auto"/>
          </w:tcPr>
          <w:p w:rsidR="005A2168" w:rsidRPr="005A2168" w:rsidRDefault="005A2168" w:rsidP="005A2168">
            <w:pPr>
              <w:overflowPunct/>
              <w:autoSpaceDE/>
              <w:autoSpaceDN/>
              <w:adjustRightInd/>
              <w:textAlignment w:val="auto"/>
              <w:rPr>
                <w:rFonts w:cs="Arial"/>
                <w:b/>
                <w:bCs/>
                <w:i/>
                <w:iCs/>
                <w:sz w:val="20"/>
                <w:szCs w:val="24"/>
              </w:rPr>
            </w:pPr>
            <w:r w:rsidRPr="005A2168">
              <w:rPr>
                <w:rFonts w:cs="Arial"/>
                <w:b/>
                <w:bCs/>
                <w:i/>
                <w:iCs/>
                <w:sz w:val="20"/>
                <w:szCs w:val="24"/>
              </w:rPr>
              <w:t>The handling of money is kept to a minimum.  Where feasible the courier or external security company is used.  However, where regular handling of cash is required, for example banking school dinner money, the following precautions are adopted:</w:t>
            </w:r>
          </w:p>
          <w:p w:rsidR="005A2168" w:rsidRPr="005A2168" w:rsidRDefault="005A2168" w:rsidP="005A2168">
            <w:pPr>
              <w:overflowPunct/>
              <w:autoSpaceDE/>
              <w:autoSpaceDN/>
              <w:adjustRightInd/>
              <w:textAlignment w:val="auto"/>
              <w:rPr>
                <w:rFonts w:cs="Arial"/>
                <w:i/>
                <w:iCs/>
                <w:sz w:val="20"/>
                <w:szCs w:val="24"/>
              </w:rPr>
            </w:pPr>
          </w:p>
          <w:p w:rsidR="005A2168" w:rsidRPr="005A2168" w:rsidRDefault="005A2168" w:rsidP="005A2168">
            <w:pPr>
              <w:numPr>
                <w:ilvl w:val="0"/>
                <w:numId w:val="25"/>
              </w:numPr>
              <w:overflowPunct/>
              <w:autoSpaceDE/>
              <w:autoSpaceDN/>
              <w:adjustRightInd/>
              <w:textAlignment w:val="auto"/>
              <w:rPr>
                <w:rFonts w:cs="Arial"/>
                <w:b/>
                <w:bCs/>
                <w:i/>
                <w:iCs/>
                <w:sz w:val="20"/>
                <w:szCs w:val="24"/>
              </w:rPr>
            </w:pPr>
            <w:r w:rsidRPr="005A2168">
              <w:rPr>
                <w:rFonts w:cs="Arial"/>
                <w:b/>
                <w:bCs/>
                <w:i/>
                <w:iCs/>
                <w:sz w:val="20"/>
                <w:szCs w:val="24"/>
              </w:rPr>
              <w:t xml:space="preserve">Efforts are made to vary the time of day when this task is carried out </w:t>
            </w:r>
          </w:p>
          <w:p w:rsidR="005A2168" w:rsidRPr="005A2168" w:rsidRDefault="005A2168" w:rsidP="005A2168">
            <w:pPr>
              <w:numPr>
                <w:ilvl w:val="12"/>
                <w:numId w:val="0"/>
              </w:numPr>
              <w:overflowPunct/>
              <w:autoSpaceDE/>
              <w:autoSpaceDN/>
              <w:adjustRightInd/>
              <w:ind w:left="283" w:hanging="283"/>
              <w:textAlignment w:val="auto"/>
              <w:rPr>
                <w:rFonts w:cs="Arial"/>
                <w:b/>
                <w:bCs/>
                <w:i/>
                <w:iCs/>
                <w:sz w:val="20"/>
                <w:szCs w:val="24"/>
              </w:rPr>
            </w:pPr>
          </w:p>
          <w:p w:rsidR="005A2168" w:rsidRPr="005A2168" w:rsidRDefault="005A2168" w:rsidP="005A2168">
            <w:pPr>
              <w:numPr>
                <w:ilvl w:val="0"/>
                <w:numId w:val="25"/>
              </w:numPr>
              <w:overflowPunct/>
              <w:autoSpaceDE/>
              <w:autoSpaceDN/>
              <w:adjustRightInd/>
              <w:textAlignment w:val="auto"/>
              <w:rPr>
                <w:rFonts w:cs="Arial"/>
                <w:b/>
                <w:bCs/>
                <w:i/>
                <w:iCs/>
                <w:sz w:val="20"/>
                <w:szCs w:val="24"/>
              </w:rPr>
            </w:pPr>
            <w:r w:rsidRPr="005A2168">
              <w:rPr>
                <w:rFonts w:cs="Arial"/>
                <w:b/>
                <w:bCs/>
                <w:i/>
                <w:iCs/>
                <w:sz w:val="20"/>
                <w:szCs w:val="24"/>
              </w:rPr>
              <w:t xml:space="preserve">The banking is carried out by various members of staff at different times to prevent the establishment of a pattern.  The use </w:t>
            </w:r>
            <w:proofErr w:type="gramStart"/>
            <w:r w:rsidR="00C22FA2">
              <w:rPr>
                <w:rFonts w:cs="Arial"/>
                <w:b/>
                <w:bCs/>
                <w:i/>
                <w:iCs/>
                <w:sz w:val="20"/>
                <w:szCs w:val="24"/>
              </w:rPr>
              <w:t xml:space="preserve">of </w:t>
            </w:r>
            <w:r w:rsidRPr="005A2168">
              <w:rPr>
                <w:rFonts w:cs="Arial"/>
                <w:b/>
                <w:bCs/>
                <w:i/>
                <w:iCs/>
                <w:sz w:val="20"/>
                <w:szCs w:val="24"/>
              </w:rPr>
              <w:t xml:space="preserve"> different</w:t>
            </w:r>
            <w:proofErr w:type="gramEnd"/>
            <w:r w:rsidRPr="005A2168">
              <w:rPr>
                <w:rFonts w:cs="Arial"/>
                <w:b/>
                <w:bCs/>
                <w:i/>
                <w:iCs/>
                <w:sz w:val="20"/>
                <w:szCs w:val="24"/>
              </w:rPr>
              <w:t xml:space="preserve"> cars is also considered for the same reasons.  Cars should be insured for this purpose.</w:t>
            </w:r>
          </w:p>
          <w:p w:rsidR="005A2168" w:rsidRPr="005A2168" w:rsidRDefault="005A2168" w:rsidP="005A2168">
            <w:pPr>
              <w:numPr>
                <w:ilvl w:val="12"/>
                <w:numId w:val="0"/>
              </w:numPr>
              <w:overflowPunct/>
              <w:autoSpaceDE/>
              <w:autoSpaceDN/>
              <w:adjustRightInd/>
              <w:ind w:left="283" w:hanging="283"/>
              <w:textAlignment w:val="auto"/>
              <w:rPr>
                <w:rFonts w:cs="Arial"/>
                <w:b/>
                <w:bCs/>
                <w:i/>
                <w:iCs/>
                <w:sz w:val="20"/>
                <w:szCs w:val="24"/>
              </w:rPr>
            </w:pPr>
          </w:p>
          <w:p w:rsidR="005A2168" w:rsidRPr="005A2168" w:rsidRDefault="005A2168" w:rsidP="005A2168">
            <w:pPr>
              <w:numPr>
                <w:ilvl w:val="0"/>
                <w:numId w:val="25"/>
              </w:numPr>
              <w:overflowPunct/>
              <w:autoSpaceDE/>
              <w:autoSpaceDN/>
              <w:adjustRightInd/>
              <w:textAlignment w:val="auto"/>
              <w:rPr>
                <w:rFonts w:cs="Arial"/>
                <w:b/>
                <w:bCs/>
                <w:i/>
                <w:iCs/>
                <w:sz w:val="20"/>
                <w:szCs w:val="24"/>
              </w:rPr>
            </w:pPr>
            <w:r w:rsidRPr="005A2168">
              <w:rPr>
                <w:rFonts w:cs="Arial"/>
                <w:b/>
                <w:bCs/>
                <w:i/>
                <w:iCs/>
                <w:sz w:val="20"/>
                <w:szCs w:val="24"/>
              </w:rPr>
              <w:t>Alternative routes are used, where possible.</w:t>
            </w:r>
          </w:p>
          <w:p w:rsidR="005A2168" w:rsidRPr="005A2168" w:rsidRDefault="005A2168" w:rsidP="005A2168">
            <w:pPr>
              <w:overflowPunct/>
              <w:autoSpaceDE/>
              <w:autoSpaceDN/>
              <w:adjustRightInd/>
              <w:textAlignment w:val="auto"/>
              <w:rPr>
                <w:rFonts w:cs="Arial"/>
                <w:b/>
                <w:bCs/>
                <w:i/>
                <w:iCs/>
                <w:sz w:val="20"/>
                <w:szCs w:val="24"/>
              </w:rPr>
            </w:pPr>
          </w:p>
          <w:p w:rsidR="005A2168" w:rsidRPr="005A2168" w:rsidRDefault="005A2168" w:rsidP="005A2168">
            <w:pPr>
              <w:overflowPunct/>
              <w:autoSpaceDE/>
              <w:autoSpaceDN/>
              <w:adjustRightInd/>
              <w:jc w:val="both"/>
              <w:textAlignment w:val="auto"/>
              <w:rPr>
                <w:rFonts w:cs="Arial"/>
                <w:b/>
                <w:i/>
                <w:sz w:val="20"/>
              </w:rPr>
            </w:pPr>
            <w:r w:rsidRPr="005A2168">
              <w:rPr>
                <w:rFonts w:cs="Arial"/>
                <w:b/>
                <w:bCs/>
                <w:i/>
                <w:iCs/>
                <w:sz w:val="20"/>
                <w:szCs w:val="24"/>
              </w:rPr>
              <w:t>When this activity is being carried out, the member of staff should be accompanied by a colleague, where possible, for added safety.</w:t>
            </w:r>
          </w:p>
          <w:p w:rsidR="00D30B7C" w:rsidRPr="008C7BED" w:rsidRDefault="00D30B7C" w:rsidP="000F7D1F">
            <w:pPr>
              <w:rPr>
                <w:i/>
                <w:noProof/>
              </w:rPr>
            </w:pPr>
          </w:p>
          <w:p w:rsidR="00D30B7C" w:rsidRPr="008C7BED" w:rsidRDefault="00D30B7C" w:rsidP="00674162">
            <w:pPr>
              <w:jc w:val="both"/>
              <w:rPr>
                <w:i/>
                <w:szCs w:val="22"/>
              </w:rPr>
            </w:pPr>
          </w:p>
        </w:tc>
        <w:tc>
          <w:tcPr>
            <w:tcW w:w="850" w:type="dxa"/>
            <w:tcBorders>
              <w:top w:val="single" w:sz="12" w:space="0" w:color="auto"/>
            </w:tcBorders>
            <w:shd w:val="clear" w:color="auto" w:fill="auto"/>
          </w:tcPr>
          <w:p w:rsidR="00D30B7C" w:rsidRPr="008C7BED" w:rsidRDefault="00C22FA2" w:rsidP="00674162">
            <w:pPr>
              <w:jc w:val="center"/>
              <w:rPr>
                <w:i/>
              </w:rPr>
            </w:pPr>
            <w:r>
              <w:rPr>
                <w:i/>
              </w:rPr>
              <w:t>M</w:t>
            </w:r>
          </w:p>
        </w:tc>
        <w:tc>
          <w:tcPr>
            <w:tcW w:w="3969" w:type="dxa"/>
            <w:tcBorders>
              <w:top w:val="single" w:sz="12" w:space="0" w:color="auto"/>
            </w:tcBorders>
            <w:shd w:val="clear" w:color="auto" w:fill="auto"/>
          </w:tcPr>
          <w:p w:rsidR="00D30B7C" w:rsidRPr="008C7BED" w:rsidRDefault="00D30B7C" w:rsidP="00674162">
            <w:pPr>
              <w:jc w:val="center"/>
              <w:rPr>
                <w:i/>
              </w:rPr>
            </w:pPr>
          </w:p>
        </w:tc>
      </w:tr>
      <w:tr w:rsidR="005A2168" w:rsidRPr="00074081" w:rsidTr="0080775F">
        <w:trPr>
          <w:trHeight w:val="552"/>
        </w:trPr>
        <w:tc>
          <w:tcPr>
            <w:tcW w:w="2127" w:type="dxa"/>
            <w:shd w:val="clear" w:color="auto" w:fill="auto"/>
          </w:tcPr>
          <w:p w:rsidR="005A2168" w:rsidRPr="00E7642A" w:rsidRDefault="005A2168" w:rsidP="00433BDF">
            <w:pPr>
              <w:rPr>
                <w:b/>
                <w:bCs/>
                <w:i/>
                <w:iCs/>
              </w:rPr>
            </w:pPr>
            <w:r w:rsidRPr="00E7642A">
              <w:rPr>
                <w:b/>
                <w:bCs/>
                <w:i/>
                <w:iCs/>
              </w:rPr>
              <w:t>Carrying of money in public places</w:t>
            </w:r>
          </w:p>
          <w:p w:rsidR="005A2168" w:rsidRPr="00E7642A" w:rsidRDefault="005A2168" w:rsidP="00433BDF">
            <w:pPr>
              <w:rPr>
                <w:i/>
              </w:rPr>
            </w:pPr>
            <w:r w:rsidRPr="00E7642A">
              <w:rPr>
                <w:b/>
                <w:bCs/>
                <w:i/>
                <w:iCs/>
              </w:rPr>
              <w:t>(continued)</w:t>
            </w:r>
            <w:r w:rsidRPr="00E7642A">
              <w:rPr>
                <w:b/>
                <w:i/>
              </w:rPr>
              <w:fldChar w:fldCharType="begin"/>
            </w:r>
            <w:r w:rsidRPr="00E7642A">
              <w:rPr>
                <w:b/>
                <w:i/>
              </w:rPr>
              <w:instrText xml:space="preserve"> fillin”Hazard Identified?” </w:instrText>
            </w:r>
            <w:r w:rsidRPr="00E7642A">
              <w:rPr>
                <w:b/>
                <w:i/>
              </w:rPr>
              <w:fldChar w:fldCharType="end"/>
            </w:r>
          </w:p>
        </w:tc>
        <w:tc>
          <w:tcPr>
            <w:tcW w:w="2126" w:type="dxa"/>
            <w:shd w:val="clear" w:color="auto" w:fill="auto"/>
          </w:tcPr>
          <w:p w:rsidR="005A2168" w:rsidRPr="008C7BED" w:rsidRDefault="005A2168" w:rsidP="000F7D1F">
            <w:pPr>
              <w:rPr>
                <w:i/>
              </w:rPr>
            </w:pPr>
            <w:r w:rsidRPr="00E7642A">
              <w:rPr>
                <w:b/>
                <w:bCs/>
                <w:i/>
                <w:iCs/>
              </w:rPr>
              <w:t>Personal injury arising from violence or assault</w:t>
            </w:r>
          </w:p>
        </w:tc>
        <w:tc>
          <w:tcPr>
            <w:tcW w:w="851" w:type="dxa"/>
            <w:shd w:val="clear" w:color="auto" w:fill="auto"/>
          </w:tcPr>
          <w:p w:rsidR="005A2168" w:rsidRPr="008C7BED" w:rsidRDefault="00C22FA2" w:rsidP="00674162">
            <w:pPr>
              <w:jc w:val="center"/>
              <w:rPr>
                <w:i/>
              </w:rPr>
            </w:pPr>
            <w:r>
              <w:rPr>
                <w:i/>
              </w:rPr>
              <w:t>H</w:t>
            </w:r>
          </w:p>
        </w:tc>
        <w:tc>
          <w:tcPr>
            <w:tcW w:w="5670" w:type="dxa"/>
            <w:shd w:val="clear" w:color="auto" w:fill="auto"/>
          </w:tcPr>
          <w:p w:rsidR="005A2168" w:rsidRPr="008C7BED" w:rsidRDefault="005A2168" w:rsidP="000F7D1F">
            <w:pPr>
              <w:rPr>
                <w:i/>
                <w:noProof/>
              </w:rPr>
            </w:pPr>
          </w:p>
          <w:p w:rsidR="005A2168" w:rsidRPr="005A2168" w:rsidRDefault="005A2168" w:rsidP="005A2168">
            <w:pPr>
              <w:overflowPunct/>
              <w:autoSpaceDE/>
              <w:autoSpaceDN/>
              <w:adjustRightInd/>
              <w:textAlignment w:val="auto"/>
              <w:rPr>
                <w:rFonts w:cs="Arial"/>
                <w:b/>
                <w:bCs/>
                <w:i/>
                <w:iCs/>
                <w:sz w:val="20"/>
                <w:szCs w:val="24"/>
              </w:rPr>
            </w:pPr>
            <w:r w:rsidRPr="005A2168">
              <w:rPr>
                <w:rFonts w:cs="Arial"/>
                <w:b/>
                <w:bCs/>
                <w:i/>
                <w:iCs/>
                <w:sz w:val="20"/>
                <w:szCs w:val="24"/>
              </w:rPr>
              <w:t>No member of staff will be placed at risk.  If threatened with violence whilst carrying money in the course of their duties then the cash must be handed over.  Staff must not make any attempt to fight or restrain an assailant.</w:t>
            </w:r>
          </w:p>
          <w:p w:rsidR="005A2168" w:rsidRPr="008C7BED" w:rsidRDefault="005A2168" w:rsidP="00674162">
            <w:pPr>
              <w:jc w:val="both"/>
              <w:rPr>
                <w:i/>
              </w:rPr>
            </w:pPr>
          </w:p>
          <w:p w:rsidR="005A2168" w:rsidRPr="008C7BED" w:rsidRDefault="005A2168" w:rsidP="00674162">
            <w:pPr>
              <w:jc w:val="both"/>
              <w:rPr>
                <w:i/>
              </w:rPr>
            </w:pPr>
            <w:bookmarkStart w:id="0" w:name="_GoBack"/>
            <w:bookmarkEnd w:id="0"/>
          </w:p>
        </w:tc>
        <w:tc>
          <w:tcPr>
            <w:tcW w:w="850" w:type="dxa"/>
            <w:shd w:val="clear" w:color="auto" w:fill="auto"/>
          </w:tcPr>
          <w:p w:rsidR="005A2168" w:rsidRPr="008C7BED" w:rsidRDefault="00C22FA2" w:rsidP="00674162">
            <w:pPr>
              <w:jc w:val="center"/>
              <w:rPr>
                <w:i/>
              </w:rPr>
            </w:pPr>
            <w:r>
              <w:rPr>
                <w:i/>
              </w:rPr>
              <w:lastRenderedPageBreak/>
              <w:t>M</w:t>
            </w:r>
          </w:p>
        </w:tc>
        <w:tc>
          <w:tcPr>
            <w:tcW w:w="3969" w:type="dxa"/>
            <w:shd w:val="clear" w:color="auto" w:fill="auto"/>
          </w:tcPr>
          <w:p w:rsidR="005A2168" w:rsidRPr="008C7BED" w:rsidRDefault="005A2168" w:rsidP="00674162">
            <w:pPr>
              <w:jc w:val="center"/>
              <w:rPr>
                <w:i/>
              </w:rPr>
            </w:pPr>
          </w:p>
        </w:tc>
      </w:tr>
      <w:tr w:rsidR="005A2168" w:rsidRPr="00074081" w:rsidTr="0080775F">
        <w:trPr>
          <w:trHeight w:val="844"/>
        </w:trPr>
        <w:tc>
          <w:tcPr>
            <w:tcW w:w="2127" w:type="dxa"/>
            <w:shd w:val="clear" w:color="auto" w:fill="auto"/>
          </w:tcPr>
          <w:p w:rsidR="005A2168" w:rsidRPr="008C7BED" w:rsidRDefault="005A2168" w:rsidP="000F7D1F">
            <w:pPr>
              <w:rPr>
                <w:i/>
              </w:rPr>
            </w:pPr>
          </w:p>
        </w:tc>
        <w:tc>
          <w:tcPr>
            <w:tcW w:w="2126" w:type="dxa"/>
            <w:shd w:val="clear" w:color="auto" w:fill="auto"/>
          </w:tcPr>
          <w:p w:rsidR="005A2168" w:rsidRPr="008C7BED" w:rsidRDefault="005A2168" w:rsidP="000F7D1F">
            <w:pPr>
              <w:rPr>
                <w:i/>
              </w:rPr>
            </w:pPr>
          </w:p>
        </w:tc>
        <w:tc>
          <w:tcPr>
            <w:tcW w:w="851" w:type="dxa"/>
            <w:shd w:val="clear" w:color="auto" w:fill="auto"/>
          </w:tcPr>
          <w:p w:rsidR="005A2168" w:rsidRPr="008C7BED" w:rsidRDefault="005A2168" w:rsidP="00674162">
            <w:pPr>
              <w:jc w:val="center"/>
              <w:rPr>
                <w:i/>
              </w:rPr>
            </w:pPr>
          </w:p>
        </w:tc>
        <w:tc>
          <w:tcPr>
            <w:tcW w:w="5670" w:type="dxa"/>
            <w:shd w:val="clear" w:color="auto" w:fill="auto"/>
          </w:tcPr>
          <w:p w:rsidR="005A2168" w:rsidRPr="008C7BED" w:rsidRDefault="005A2168" w:rsidP="00674162">
            <w:pPr>
              <w:jc w:val="both"/>
              <w:rPr>
                <w:i/>
              </w:rPr>
            </w:pPr>
          </w:p>
          <w:p w:rsidR="005A2168" w:rsidRPr="008C7BED" w:rsidRDefault="005A2168" w:rsidP="00674162">
            <w:pPr>
              <w:jc w:val="both"/>
              <w:rPr>
                <w:i/>
              </w:rPr>
            </w:pPr>
          </w:p>
          <w:p w:rsidR="005A2168" w:rsidRPr="008C7BED" w:rsidRDefault="005A2168" w:rsidP="00674162">
            <w:pPr>
              <w:jc w:val="both"/>
              <w:rPr>
                <w:i/>
              </w:rPr>
            </w:pPr>
          </w:p>
        </w:tc>
        <w:tc>
          <w:tcPr>
            <w:tcW w:w="850" w:type="dxa"/>
            <w:shd w:val="clear" w:color="auto" w:fill="auto"/>
          </w:tcPr>
          <w:p w:rsidR="005A2168" w:rsidRPr="008C7BED" w:rsidRDefault="005A2168" w:rsidP="00674162">
            <w:pPr>
              <w:jc w:val="center"/>
              <w:rPr>
                <w:i/>
              </w:rPr>
            </w:pPr>
          </w:p>
        </w:tc>
        <w:tc>
          <w:tcPr>
            <w:tcW w:w="3969" w:type="dxa"/>
            <w:shd w:val="clear" w:color="auto" w:fill="auto"/>
          </w:tcPr>
          <w:p w:rsidR="005A2168" w:rsidRPr="008C7BED" w:rsidRDefault="005A2168" w:rsidP="00674162">
            <w:pPr>
              <w:jc w:val="center"/>
              <w:rPr>
                <w:i/>
              </w:rPr>
            </w:pPr>
          </w:p>
        </w:tc>
      </w:tr>
    </w:tbl>
    <w:p w:rsidR="00D30B7C" w:rsidRPr="00074081" w:rsidRDefault="00D30B7C" w:rsidP="000F7D1F">
      <w:pPr>
        <w:rPr>
          <w:szCs w:val="22"/>
        </w:rPr>
      </w:pPr>
    </w:p>
    <w:p w:rsidR="00D44109" w:rsidRDefault="00D44109" w:rsidP="006F0851">
      <w:pPr>
        <w:pStyle w:val="BodyText2"/>
        <w:rPr>
          <w:rFonts w:ascii="Arial" w:hAnsi="Arial"/>
          <w:sz w:val="24"/>
          <w:szCs w:val="24"/>
        </w:rPr>
        <w:sectPr w:rsidR="00D44109" w:rsidSect="00674162">
          <w:headerReference w:type="default" r:id="rId8"/>
          <w:footerReference w:type="default" r:id="rId9"/>
          <w:headerReference w:type="first" r:id="rId10"/>
          <w:footerReference w:type="first" r:id="rId11"/>
          <w:pgSz w:w="16840" w:h="11907" w:orient="landscape" w:code="9"/>
          <w:pgMar w:top="1232" w:right="680" w:bottom="1134" w:left="1361" w:header="568" w:footer="115" w:gutter="0"/>
          <w:cols w:space="720"/>
          <w:titlePg/>
          <w:docGrid w:linePitch="299"/>
        </w:sectPr>
      </w:pPr>
    </w:p>
    <w:p w:rsidR="00060FAB" w:rsidRDefault="00060FAB" w:rsidP="006F0851"/>
    <w:sectPr w:rsidR="00060FAB" w:rsidSect="002547B0">
      <w:footerReference w:type="default" r:id="rId12"/>
      <w:type w:val="continuous"/>
      <w:pgSz w:w="16840" w:h="11907" w:orient="landscape" w:code="9"/>
      <w:pgMar w:top="1232" w:right="680" w:bottom="426" w:left="794" w:header="568" w:footer="115"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44" w:rsidRDefault="00DD3544">
      <w:r>
        <w:separator/>
      </w:r>
    </w:p>
  </w:endnote>
  <w:endnote w:type="continuationSeparator" w:id="0">
    <w:p w:rsidR="00DD3544" w:rsidRDefault="00DD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ieBlack">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031453">
      <w:trPr>
        <w:trHeight w:val="433"/>
      </w:trPr>
      <w:tc>
        <w:tcPr>
          <w:tcW w:w="5529" w:type="dxa"/>
        </w:tcPr>
        <w:p w:rsidR="00DD3544" w:rsidRDefault="00DD3544" w:rsidP="00BF19AD">
          <w:pPr>
            <w:pStyle w:val="Footer"/>
            <w:pBdr>
              <w:top w:val="single" w:sz="4" w:space="1" w:color="auto"/>
            </w:pBdr>
            <w:ind w:right="-23"/>
            <w:rPr>
              <w:noProof/>
              <w:sz w:val="18"/>
            </w:rPr>
          </w:pPr>
          <w:r>
            <w:rPr>
              <w:noProof/>
              <w:sz w:val="18"/>
            </w:rPr>
            <w:t>Owners: Northumberland County Council</w:t>
          </w:r>
        </w:p>
        <w:p w:rsidR="00DD3544" w:rsidRDefault="00DD3544" w:rsidP="00BF19AD">
          <w:pPr>
            <w:pStyle w:val="Footer"/>
            <w:pBdr>
              <w:top w:val="single" w:sz="4" w:space="1" w:color="auto"/>
            </w:pBdr>
            <w:ind w:right="-23"/>
            <w:rPr>
              <w:noProof/>
              <w:sz w:val="18"/>
            </w:rPr>
          </w:pPr>
          <w:r>
            <w:rPr>
              <w:noProof/>
              <w:sz w:val="18"/>
            </w:rPr>
            <w:t>Issue: 2.0</w:t>
          </w:r>
        </w:p>
      </w:tc>
      <w:tc>
        <w:tcPr>
          <w:tcW w:w="5245" w:type="dxa"/>
        </w:tcPr>
        <w:p w:rsidR="00DD3544" w:rsidRDefault="00DD3544" w:rsidP="00BF19AD">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C22FA2">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C22FA2">
            <w:rPr>
              <w:noProof/>
              <w:sz w:val="18"/>
              <w:lang w:val="en-US"/>
            </w:rPr>
            <w:t>2</w:t>
          </w:r>
          <w:r w:rsidRPr="00DD653E">
            <w:rPr>
              <w:noProof/>
              <w:sz w:val="18"/>
              <w:lang w:val="en-US"/>
            </w:rPr>
            <w:fldChar w:fldCharType="end"/>
          </w:r>
        </w:p>
      </w:tc>
      <w:tc>
        <w:tcPr>
          <w:tcW w:w="4819" w:type="dxa"/>
        </w:tcPr>
        <w:p w:rsidR="00DD3544" w:rsidRDefault="00DD3544" w:rsidP="00BF19AD">
          <w:pPr>
            <w:pStyle w:val="Footer"/>
            <w:pBdr>
              <w:top w:val="single" w:sz="4" w:space="1" w:color="auto"/>
            </w:pBdr>
            <w:ind w:right="-23"/>
            <w:jc w:val="right"/>
            <w:rPr>
              <w:noProof/>
              <w:sz w:val="18"/>
            </w:rPr>
          </w:pPr>
          <w:r>
            <w:rPr>
              <w:noProof/>
              <w:sz w:val="18"/>
            </w:rPr>
            <w:t xml:space="preserve">Author: </w:t>
          </w:r>
          <w:r w:rsidR="00FA3709">
            <w:rPr>
              <w:noProof/>
              <w:sz w:val="18"/>
            </w:rPr>
            <w:t>Corporate Health and Safety Team</w:t>
          </w:r>
        </w:p>
        <w:p w:rsidR="00DD3544" w:rsidRDefault="00DD3544" w:rsidP="00FA3709">
          <w:pPr>
            <w:pStyle w:val="Footer"/>
            <w:pBdr>
              <w:top w:val="single" w:sz="4" w:space="1" w:color="auto"/>
            </w:pBdr>
            <w:ind w:right="-23"/>
            <w:jc w:val="right"/>
            <w:rPr>
              <w:noProof/>
              <w:sz w:val="18"/>
            </w:rPr>
          </w:pPr>
          <w:r>
            <w:rPr>
              <w:noProof/>
              <w:sz w:val="18"/>
            </w:rPr>
            <w:t xml:space="preserve">Date: </w:t>
          </w:r>
          <w:r w:rsidR="00FA3709">
            <w:rPr>
              <w:noProof/>
              <w:sz w:val="18"/>
            </w:rPr>
            <w:t>October 2013</w:t>
          </w:r>
        </w:p>
      </w:tc>
    </w:tr>
  </w:tbl>
  <w:p w:rsidR="00DD3544" w:rsidRPr="00D115F3" w:rsidRDefault="00DD3544" w:rsidP="00D11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674162">
      <w:trPr>
        <w:trHeight w:val="433"/>
      </w:trPr>
      <w:tc>
        <w:tcPr>
          <w:tcW w:w="5529" w:type="dxa"/>
        </w:tcPr>
        <w:p w:rsidR="00DD3544" w:rsidRDefault="00DD3544" w:rsidP="00674162">
          <w:pPr>
            <w:pStyle w:val="Footer"/>
            <w:pBdr>
              <w:top w:val="single" w:sz="4" w:space="1" w:color="auto"/>
            </w:pBdr>
            <w:ind w:right="-23"/>
            <w:rPr>
              <w:noProof/>
              <w:sz w:val="18"/>
            </w:rPr>
          </w:pPr>
          <w:r>
            <w:rPr>
              <w:noProof/>
              <w:sz w:val="18"/>
            </w:rPr>
            <w:t>Owners: Northumberland County Council</w:t>
          </w:r>
        </w:p>
        <w:p w:rsidR="00DD3544" w:rsidRDefault="00DD3544" w:rsidP="00DD3544">
          <w:pPr>
            <w:pStyle w:val="Footer"/>
            <w:pBdr>
              <w:top w:val="single" w:sz="4" w:space="1" w:color="auto"/>
            </w:pBdr>
            <w:ind w:right="-23"/>
            <w:rPr>
              <w:noProof/>
              <w:sz w:val="18"/>
            </w:rPr>
          </w:pPr>
          <w:r>
            <w:rPr>
              <w:noProof/>
              <w:sz w:val="18"/>
            </w:rPr>
            <w:t>Issue: 2.0</w:t>
          </w:r>
        </w:p>
      </w:tc>
      <w:tc>
        <w:tcPr>
          <w:tcW w:w="5245" w:type="dxa"/>
        </w:tcPr>
        <w:p w:rsidR="00DD3544" w:rsidRDefault="00DD3544" w:rsidP="00674162">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C22FA2">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C22FA2">
            <w:rPr>
              <w:noProof/>
              <w:sz w:val="18"/>
              <w:lang w:val="en-US"/>
            </w:rPr>
            <w:t>2</w:t>
          </w:r>
          <w:r w:rsidRPr="00DD653E">
            <w:rPr>
              <w:noProof/>
              <w:sz w:val="18"/>
              <w:lang w:val="en-US"/>
            </w:rPr>
            <w:fldChar w:fldCharType="end"/>
          </w:r>
        </w:p>
      </w:tc>
      <w:tc>
        <w:tcPr>
          <w:tcW w:w="4819" w:type="dxa"/>
        </w:tcPr>
        <w:p w:rsidR="00DD3544" w:rsidRDefault="00DD3544" w:rsidP="008C7BED">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DD3544" w:rsidRDefault="00DD3544" w:rsidP="00DD3544">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DD3544" w:rsidRDefault="00DD3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Default="00DD3544" w:rsidP="00AC4849">
    <w:pPr>
      <w:pStyle w:val="Footer"/>
      <w:rPr>
        <w:sz w:val="18"/>
      </w:rPr>
    </w:pPr>
  </w:p>
  <w:p w:rsidR="00DD3544" w:rsidRDefault="00DD3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44" w:rsidRDefault="00DD3544">
      <w:r>
        <w:separator/>
      </w:r>
    </w:p>
  </w:footnote>
  <w:footnote w:type="continuationSeparator" w:id="0">
    <w:p w:rsidR="00DD3544" w:rsidRDefault="00DD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A16AF2">
    <w:pPr>
      <w:jc w:val="right"/>
      <w:rPr>
        <w:sz w:val="34"/>
        <w:szCs w:val="3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-505460</wp:posOffset>
              </wp:positionH>
              <wp:positionV relativeFrom="paragraph">
                <wp:posOffset>-35560</wp:posOffset>
              </wp:positionV>
              <wp:extent cx="2123440" cy="76708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DD3544" w:rsidP="00B35E29">
                          <w:pPr>
                            <w:ind w:left="-284" w:firstLine="284"/>
                          </w:pPr>
                        </w:p>
                        <w:p w:rsidR="00DD3544" w:rsidRDefault="00DD3544"/>
                        <w:p w:rsidR="00DD3544" w:rsidRDefault="00DD3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TF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" filled="f" stroked="f">
              <v:textbox>
                <w:txbxContent>
                  <w:p w:rsidR="00DD3544" w:rsidRDefault="00DD3544" w:rsidP="00B35E29">
                    <w:pPr>
                      <w:ind w:left="-284" w:firstLine="284"/>
                    </w:pPr>
                  </w:p>
                  <w:p w:rsidR="00DD3544" w:rsidRDefault="00DD3544"/>
                  <w:p w:rsidR="00DD3544" w:rsidRDefault="00DD3544"/>
                </w:txbxContent>
              </v:textbox>
            </v:shape>
          </w:pict>
        </mc:Fallback>
      </mc:AlternateContent>
    </w:r>
    <w:r w:rsidR="00DD3544">
      <w:tab/>
    </w:r>
    <w:r w:rsidR="00DD3544">
      <w:tab/>
    </w:r>
  </w:p>
  <w:p w:rsidR="00DD3544" w:rsidRDefault="00DD3544" w:rsidP="00084032">
    <w:pPr>
      <w:pStyle w:val="Header"/>
      <w:tabs>
        <w:tab w:val="left" w:pos="420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674162">
    <w:pPr>
      <w:jc w:val="right"/>
      <w:rPr>
        <w:sz w:val="34"/>
        <w:szCs w:val="34"/>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-553085</wp:posOffset>
              </wp:positionH>
              <wp:positionV relativeFrom="paragraph">
                <wp:posOffset>-132080</wp:posOffset>
              </wp:positionV>
              <wp:extent cx="1951355" cy="4432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3.55pt;margin-top:-10.4pt;width:153.65pt;height:34.9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" stroked="f">
              <v:textbox style="mso-fit-shape-to-text:t">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v:textbox>
            </v:shape>
          </w:pict>
        </mc:Fallback>
      </mc:AlternateContent>
    </w:r>
    <w:r w:rsidR="00DD3544" w:rsidRPr="00674162">
      <w:rPr>
        <w:b/>
        <w:sz w:val="34"/>
        <w:szCs w:val="34"/>
      </w:rPr>
      <w:t xml:space="preserve"> </w:t>
    </w:r>
    <w:r w:rsidR="00DD3544" w:rsidRPr="002547B0">
      <w:rPr>
        <w:b/>
        <w:sz w:val="34"/>
        <w:szCs w:val="34"/>
      </w:rPr>
      <w:t>Risk Assessment Form (RA1)</w:t>
    </w:r>
  </w:p>
  <w:p w:rsidR="00DD3544" w:rsidRDefault="00DD3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1C24A0"/>
    <w:lvl w:ilvl="0">
      <w:numFmt w:val="decimal"/>
      <w:lvlText w:val="*"/>
      <w:lvlJc w:val="left"/>
    </w:lvl>
  </w:abstractNum>
  <w:abstractNum w:abstractNumId="1">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5">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1"/>
  </w:num>
  <w:num w:numId="4">
    <w:abstractNumId w:val="21"/>
  </w:num>
  <w:num w:numId="5">
    <w:abstractNumId w:val="18"/>
  </w:num>
  <w:num w:numId="6">
    <w:abstractNumId w:val="27"/>
  </w:num>
  <w:num w:numId="7">
    <w:abstractNumId w:val="13"/>
  </w:num>
  <w:num w:numId="8">
    <w:abstractNumId w:val="2"/>
  </w:num>
  <w:num w:numId="9">
    <w:abstractNumId w:val="20"/>
  </w:num>
  <w:num w:numId="10">
    <w:abstractNumId w:val="19"/>
  </w:num>
  <w:num w:numId="11">
    <w:abstractNumId w:val="34"/>
  </w:num>
  <w:num w:numId="12">
    <w:abstractNumId w:val="4"/>
  </w:num>
  <w:num w:numId="13">
    <w:abstractNumId w:val="9"/>
  </w:num>
  <w:num w:numId="14">
    <w:abstractNumId w:val="5"/>
  </w:num>
  <w:num w:numId="15">
    <w:abstractNumId w:val="12"/>
  </w:num>
  <w:num w:numId="16">
    <w:abstractNumId w:val="25"/>
  </w:num>
  <w:num w:numId="17">
    <w:abstractNumId w:val="29"/>
  </w:num>
  <w:num w:numId="18">
    <w:abstractNumId w:val="24"/>
  </w:num>
  <w:num w:numId="19">
    <w:abstractNumId w:val="35"/>
  </w:num>
  <w:num w:numId="20">
    <w:abstractNumId w:val="3"/>
  </w:num>
  <w:num w:numId="21">
    <w:abstractNumId w:val="17"/>
  </w:num>
  <w:num w:numId="22">
    <w:abstractNumId w:val="28"/>
  </w:num>
  <w:num w:numId="23">
    <w:abstractNumId w:val="30"/>
  </w:num>
  <w:num w:numId="24">
    <w:abstractNumId w:val="15"/>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6"/>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33"/>
  </w:num>
  <w:num w:numId="32">
    <w:abstractNumId w:val="14"/>
  </w:num>
  <w:num w:numId="33">
    <w:abstractNumId w:val="10"/>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6"/>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92"/>
    <w:rsid w:val="0000142A"/>
    <w:rsid w:val="0002139C"/>
    <w:rsid w:val="00026C2F"/>
    <w:rsid w:val="00027E6C"/>
    <w:rsid w:val="00031453"/>
    <w:rsid w:val="00031515"/>
    <w:rsid w:val="00046F8C"/>
    <w:rsid w:val="000500A0"/>
    <w:rsid w:val="00060FAB"/>
    <w:rsid w:val="00067FA9"/>
    <w:rsid w:val="00081262"/>
    <w:rsid w:val="00084032"/>
    <w:rsid w:val="00095261"/>
    <w:rsid w:val="000A3B6E"/>
    <w:rsid w:val="000B2678"/>
    <w:rsid w:val="000C4BBE"/>
    <w:rsid w:val="000F281B"/>
    <w:rsid w:val="000F7571"/>
    <w:rsid w:val="000F7D1F"/>
    <w:rsid w:val="0013625D"/>
    <w:rsid w:val="00144BDF"/>
    <w:rsid w:val="00152A94"/>
    <w:rsid w:val="00165EE4"/>
    <w:rsid w:val="001805A1"/>
    <w:rsid w:val="00180D60"/>
    <w:rsid w:val="00184F7F"/>
    <w:rsid w:val="001A2B46"/>
    <w:rsid w:val="001B78F2"/>
    <w:rsid w:val="001C1AC4"/>
    <w:rsid w:val="001C3032"/>
    <w:rsid w:val="001D4383"/>
    <w:rsid w:val="001D634F"/>
    <w:rsid w:val="001E7FDD"/>
    <w:rsid w:val="0020209C"/>
    <w:rsid w:val="00202968"/>
    <w:rsid w:val="002105FC"/>
    <w:rsid w:val="00214EBD"/>
    <w:rsid w:val="00215899"/>
    <w:rsid w:val="0022216D"/>
    <w:rsid w:val="0022374D"/>
    <w:rsid w:val="00227230"/>
    <w:rsid w:val="002547B0"/>
    <w:rsid w:val="00260410"/>
    <w:rsid w:val="00293D17"/>
    <w:rsid w:val="002A6A65"/>
    <w:rsid w:val="002B0677"/>
    <w:rsid w:val="002B7937"/>
    <w:rsid w:val="002C385E"/>
    <w:rsid w:val="002D760D"/>
    <w:rsid w:val="002F04B4"/>
    <w:rsid w:val="002F376A"/>
    <w:rsid w:val="00300BDA"/>
    <w:rsid w:val="00303C83"/>
    <w:rsid w:val="00307F67"/>
    <w:rsid w:val="00310E95"/>
    <w:rsid w:val="0031189A"/>
    <w:rsid w:val="003216D6"/>
    <w:rsid w:val="003308C4"/>
    <w:rsid w:val="00335A58"/>
    <w:rsid w:val="00337A99"/>
    <w:rsid w:val="00347369"/>
    <w:rsid w:val="003517F8"/>
    <w:rsid w:val="00360D83"/>
    <w:rsid w:val="00373C24"/>
    <w:rsid w:val="00375A05"/>
    <w:rsid w:val="00377D83"/>
    <w:rsid w:val="00380DAA"/>
    <w:rsid w:val="0038154B"/>
    <w:rsid w:val="00381F5E"/>
    <w:rsid w:val="00382079"/>
    <w:rsid w:val="003A6266"/>
    <w:rsid w:val="003A75AD"/>
    <w:rsid w:val="003B6ABB"/>
    <w:rsid w:val="003D071B"/>
    <w:rsid w:val="003E067D"/>
    <w:rsid w:val="003E47BF"/>
    <w:rsid w:val="003E566C"/>
    <w:rsid w:val="003F27D4"/>
    <w:rsid w:val="003F46AF"/>
    <w:rsid w:val="004167DF"/>
    <w:rsid w:val="004257F3"/>
    <w:rsid w:val="0042737A"/>
    <w:rsid w:val="00440442"/>
    <w:rsid w:val="00442730"/>
    <w:rsid w:val="004519FC"/>
    <w:rsid w:val="00460184"/>
    <w:rsid w:val="00463474"/>
    <w:rsid w:val="00482D0F"/>
    <w:rsid w:val="00486029"/>
    <w:rsid w:val="004879AC"/>
    <w:rsid w:val="004A2B6F"/>
    <w:rsid w:val="004B369F"/>
    <w:rsid w:val="004B7DFB"/>
    <w:rsid w:val="004D382A"/>
    <w:rsid w:val="004E6F90"/>
    <w:rsid w:val="004F1C9A"/>
    <w:rsid w:val="004F661E"/>
    <w:rsid w:val="0050177C"/>
    <w:rsid w:val="00503EED"/>
    <w:rsid w:val="0052466A"/>
    <w:rsid w:val="005436E9"/>
    <w:rsid w:val="005468F7"/>
    <w:rsid w:val="005520DB"/>
    <w:rsid w:val="00564CEF"/>
    <w:rsid w:val="00572D58"/>
    <w:rsid w:val="0057515A"/>
    <w:rsid w:val="0058344C"/>
    <w:rsid w:val="005844C8"/>
    <w:rsid w:val="00585C88"/>
    <w:rsid w:val="005877D2"/>
    <w:rsid w:val="00590A21"/>
    <w:rsid w:val="00592B02"/>
    <w:rsid w:val="005945AD"/>
    <w:rsid w:val="00595DEE"/>
    <w:rsid w:val="005A2168"/>
    <w:rsid w:val="005B3B99"/>
    <w:rsid w:val="005D41CC"/>
    <w:rsid w:val="005D4BCC"/>
    <w:rsid w:val="005E264E"/>
    <w:rsid w:val="005F5486"/>
    <w:rsid w:val="006109D0"/>
    <w:rsid w:val="006150D1"/>
    <w:rsid w:val="00624984"/>
    <w:rsid w:val="006605C3"/>
    <w:rsid w:val="0066192F"/>
    <w:rsid w:val="00665B46"/>
    <w:rsid w:val="00670D1B"/>
    <w:rsid w:val="00674162"/>
    <w:rsid w:val="006757DB"/>
    <w:rsid w:val="00677A59"/>
    <w:rsid w:val="0068043F"/>
    <w:rsid w:val="00684FBE"/>
    <w:rsid w:val="006851E9"/>
    <w:rsid w:val="00686275"/>
    <w:rsid w:val="00686905"/>
    <w:rsid w:val="00687B7D"/>
    <w:rsid w:val="00695B33"/>
    <w:rsid w:val="006B0546"/>
    <w:rsid w:val="006D6267"/>
    <w:rsid w:val="006E0F0F"/>
    <w:rsid w:val="006E4410"/>
    <w:rsid w:val="006F0851"/>
    <w:rsid w:val="006F7904"/>
    <w:rsid w:val="00703293"/>
    <w:rsid w:val="00715F09"/>
    <w:rsid w:val="00716843"/>
    <w:rsid w:val="0073791B"/>
    <w:rsid w:val="0074086D"/>
    <w:rsid w:val="007469D3"/>
    <w:rsid w:val="007566E3"/>
    <w:rsid w:val="00761204"/>
    <w:rsid w:val="0077650A"/>
    <w:rsid w:val="007840A5"/>
    <w:rsid w:val="007A0EC5"/>
    <w:rsid w:val="007C5408"/>
    <w:rsid w:val="007E169C"/>
    <w:rsid w:val="007F0500"/>
    <w:rsid w:val="007F1B5B"/>
    <w:rsid w:val="007F6BAE"/>
    <w:rsid w:val="00803ED0"/>
    <w:rsid w:val="0080775F"/>
    <w:rsid w:val="008103EB"/>
    <w:rsid w:val="0084768B"/>
    <w:rsid w:val="00856327"/>
    <w:rsid w:val="00860992"/>
    <w:rsid w:val="008A1252"/>
    <w:rsid w:val="008A7AAB"/>
    <w:rsid w:val="008C5ED1"/>
    <w:rsid w:val="008C7BED"/>
    <w:rsid w:val="008D256B"/>
    <w:rsid w:val="008F5783"/>
    <w:rsid w:val="009164A8"/>
    <w:rsid w:val="009207FB"/>
    <w:rsid w:val="00921824"/>
    <w:rsid w:val="00922AF6"/>
    <w:rsid w:val="0093533E"/>
    <w:rsid w:val="009358BD"/>
    <w:rsid w:val="00941389"/>
    <w:rsid w:val="00942B30"/>
    <w:rsid w:val="00947D0E"/>
    <w:rsid w:val="00957D2A"/>
    <w:rsid w:val="00967B83"/>
    <w:rsid w:val="00974494"/>
    <w:rsid w:val="00980610"/>
    <w:rsid w:val="00982EC4"/>
    <w:rsid w:val="00993EA0"/>
    <w:rsid w:val="009A1F7F"/>
    <w:rsid w:val="009B37B4"/>
    <w:rsid w:val="009C2B86"/>
    <w:rsid w:val="009C7328"/>
    <w:rsid w:val="009C7578"/>
    <w:rsid w:val="009D24E4"/>
    <w:rsid w:val="009E0F8C"/>
    <w:rsid w:val="009E428D"/>
    <w:rsid w:val="00A02449"/>
    <w:rsid w:val="00A1545C"/>
    <w:rsid w:val="00A16AF2"/>
    <w:rsid w:val="00A23C6F"/>
    <w:rsid w:val="00A24CAB"/>
    <w:rsid w:val="00A365F7"/>
    <w:rsid w:val="00A4078B"/>
    <w:rsid w:val="00A5220B"/>
    <w:rsid w:val="00A62700"/>
    <w:rsid w:val="00A648E7"/>
    <w:rsid w:val="00A9532D"/>
    <w:rsid w:val="00AA149C"/>
    <w:rsid w:val="00AB521F"/>
    <w:rsid w:val="00AB6965"/>
    <w:rsid w:val="00AC12EF"/>
    <w:rsid w:val="00AC4849"/>
    <w:rsid w:val="00AD3575"/>
    <w:rsid w:val="00AD3CD1"/>
    <w:rsid w:val="00AF5147"/>
    <w:rsid w:val="00B10423"/>
    <w:rsid w:val="00B1720D"/>
    <w:rsid w:val="00B31698"/>
    <w:rsid w:val="00B35E29"/>
    <w:rsid w:val="00B364A5"/>
    <w:rsid w:val="00B40590"/>
    <w:rsid w:val="00B44063"/>
    <w:rsid w:val="00B51590"/>
    <w:rsid w:val="00B51593"/>
    <w:rsid w:val="00B60A5F"/>
    <w:rsid w:val="00B73ABD"/>
    <w:rsid w:val="00B762BD"/>
    <w:rsid w:val="00B76778"/>
    <w:rsid w:val="00B83E25"/>
    <w:rsid w:val="00B86DF3"/>
    <w:rsid w:val="00BC2ADE"/>
    <w:rsid w:val="00BD0F70"/>
    <w:rsid w:val="00BD55D4"/>
    <w:rsid w:val="00BE27CD"/>
    <w:rsid w:val="00BF19AD"/>
    <w:rsid w:val="00C22FA2"/>
    <w:rsid w:val="00C449E3"/>
    <w:rsid w:val="00C44C3D"/>
    <w:rsid w:val="00C52340"/>
    <w:rsid w:val="00C62ADD"/>
    <w:rsid w:val="00C66BB3"/>
    <w:rsid w:val="00C7692A"/>
    <w:rsid w:val="00C84153"/>
    <w:rsid w:val="00CC13BB"/>
    <w:rsid w:val="00CC68F3"/>
    <w:rsid w:val="00CD20F2"/>
    <w:rsid w:val="00CD3165"/>
    <w:rsid w:val="00CE0E48"/>
    <w:rsid w:val="00CE2714"/>
    <w:rsid w:val="00D115F3"/>
    <w:rsid w:val="00D11A6D"/>
    <w:rsid w:val="00D16FDE"/>
    <w:rsid w:val="00D23680"/>
    <w:rsid w:val="00D262EE"/>
    <w:rsid w:val="00D30B7C"/>
    <w:rsid w:val="00D41750"/>
    <w:rsid w:val="00D44109"/>
    <w:rsid w:val="00D44AB5"/>
    <w:rsid w:val="00D470C1"/>
    <w:rsid w:val="00D47EE2"/>
    <w:rsid w:val="00D559F9"/>
    <w:rsid w:val="00D676FA"/>
    <w:rsid w:val="00D92D96"/>
    <w:rsid w:val="00D9381A"/>
    <w:rsid w:val="00DA217A"/>
    <w:rsid w:val="00DA32F8"/>
    <w:rsid w:val="00DB0BB9"/>
    <w:rsid w:val="00DB54F6"/>
    <w:rsid w:val="00DC18C0"/>
    <w:rsid w:val="00DC3BD3"/>
    <w:rsid w:val="00DD3544"/>
    <w:rsid w:val="00DD4A26"/>
    <w:rsid w:val="00DD6018"/>
    <w:rsid w:val="00DE2DFA"/>
    <w:rsid w:val="00DE5FF3"/>
    <w:rsid w:val="00DF10A0"/>
    <w:rsid w:val="00DF6543"/>
    <w:rsid w:val="00E041FF"/>
    <w:rsid w:val="00E304C3"/>
    <w:rsid w:val="00E37F74"/>
    <w:rsid w:val="00E40870"/>
    <w:rsid w:val="00E4096A"/>
    <w:rsid w:val="00E4491B"/>
    <w:rsid w:val="00E73EDC"/>
    <w:rsid w:val="00E810A6"/>
    <w:rsid w:val="00E81F64"/>
    <w:rsid w:val="00E90060"/>
    <w:rsid w:val="00EA2321"/>
    <w:rsid w:val="00EA523B"/>
    <w:rsid w:val="00EC0721"/>
    <w:rsid w:val="00ED03ED"/>
    <w:rsid w:val="00ED5BC9"/>
    <w:rsid w:val="00ED6323"/>
    <w:rsid w:val="00EE1740"/>
    <w:rsid w:val="00EF5371"/>
    <w:rsid w:val="00EF53D2"/>
    <w:rsid w:val="00EF5BB6"/>
    <w:rsid w:val="00EF7CC2"/>
    <w:rsid w:val="00F13483"/>
    <w:rsid w:val="00F15D93"/>
    <w:rsid w:val="00F22CE9"/>
    <w:rsid w:val="00F246DE"/>
    <w:rsid w:val="00F255A2"/>
    <w:rsid w:val="00F349FF"/>
    <w:rsid w:val="00F34E2B"/>
    <w:rsid w:val="00F40FA6"/>
    <w:rsid w:val="00F50033"/>
    <w:rsid w:val="00F53CEC"/>
    <w:rsid w:val="00F561B2"/>
    <w:rsid w:val="00F63242"/>
    <w:rsid w:val="00F6405B"/>
    <w:rsid w:val="00F95F09"/>
    <w:rsid w:val="00F96B07"/>
    <w:rsid w:val="00FA3709"/>
    <w:rsid w:val="00FB3C45"/>
    <w:rsid w:val="00FB3C58"/>
    <w:rsid w:val="00FB3CFF"/>
    <w:rsid w:val="00FB43E6"/>
    <w:rsid w:val="00FB7593"/>
    <w:rsid w:val="00FC4E23"/>
    <w:rsid w:val="00FE0D61"/>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CF5C70BB</Template>
  <TotalTime>2</TotalTime>
  <Pages>2</Pages>
  <Words>253</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creator>PERSONNEL</dc:creator>
  <cp:lastModifiedBy>Beckwith, Lesley</cp:lastModifiedBy>
  <cp:revision>3</cp:revision>
  <cp:lastPrinted>2013-10-09T12:44:00Z</cp:lastPrinted>
  <dcterms:created xsi:type="dcterms:W3CDTF">2016-10-25T09:28:00Z</dcterms:created>
  <dcterms:modified xsi:type="dcterms:W3CDTF">2016-10-26T08:54:00Z</dcterms:modified>
</cp:coreProperties>
</file>