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39" w:rsidRDefault="00EB5039">
      <w:bookmarkStart w:id="0" w:name="_GoBack"/>
      <w:bookmarkEnd w:id="0"/>
    </w:p>
    <w:p w:rsidR="00EB5039" w:rsidRDefault="00EB5039"/>
    <w:p w:rsidR="00EB5039" w:rsidRDefault="0035001D">
      <w:r>
        <w:t xml:space="preserve">County </w:t>
      </w:r>
      <w:proofErr w:type="spellStart"/>
      <w:r>
        <w:t>Hall</w:t>
      </w:r>
      <w:r>
        <w:t>⠂</w:t>
      </w:r>
      <w:r>
        <w:t>Morpeth</w:t>
      </w:r>
      <w:proofErr w:type="spellEnd"/>
      <w:r>
        <w:t xml:space="preserve"> </w:t>
      </w:r>
      <w:r>
        <w:t>⠂</w:t>
      </w:r>
      <w:r>
        <w:t xml:space="preserve">Northumberland </w:t>
      </w:r>
      <w:r>
        <w:t>⠂</w:t>
      </w:r>
      <w:r>
        <w:t xml:space="preserve">NE61 2EF </w:t>
      </w:r>
      <w:r>
        <w:t>⠂</w:t>
      </w:r>
      <w:r>
        <w:t>Web: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www.northumberland.gov.uk</w:t>
        </w:r>
      </w:hyperlink>
      <w:r>
        <w:t xml:space="preserve"> </w:t>
      </w:r>
      <w:r>
        <w:pict>
          <v:rect id="_x0000_i1025" style="width:0;height:1.5pt" o:hralign="center" o:hrstd="t" o:hr="t" fillcolor="#a0a0a0" stroked="f"/>
        </w:pict>
      </w:r>
    </w:p>
    <w:tbl>
      <w:tblPr>
        <w:tblStyle w:val="a"/>
        <w:tblW w:w="901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1875"/>
        <w:gridCol w:w="3225"/>
      </w:tblGrid>
      <w:tr w:rsidR="00EB5039">
        <w:trPr>
          <w:trHeight w:val="252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39" w:rsidRDefault="0035001D">
            <w:pPr>
              <w:widowControl w:val="0"/>
              <w:spacing w:line="240" w:lineRule="auto"/>
            </w:pPr>
            <w:r>
              <w:t>The Occupier</w:t>
            </w:r>
          </w:p>
          <w:p w:rsidR="00EB5039" w:rsidRDefault="0035001D">
            <w:pPr>
              <w:widowControl w:val="0"/>
              <w:spacing w:line="240" w:lineRule="auto"/>
            </w:pPr>
            <w:r>
              <w:t>*|ADDRESS|*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39" w:rsidRDefault="0035001D">
            <w:pPr>
              <w:widowControl w:val="0"/>
              <w:spacing w:line="240" w:lineRule="auto"/>
            </w:pPr>
            <w:r>
              <w:t xml:space="preserve">Your Ref: </w:t>
            </w:r>
          </w:p>
          <w:p w:rsidR="00EB5039" w:rsidRDefault="0035001D">
            <w:pPr>
              <w:widowControl w:val="0"/>
              <w:spacing w:line="240" w:lineRule="auto"/>
            </w:pPr>
            <w:r>
              <w:t>Our Ref:</w:t>
            </w:r>
          </w:p>
          <w:p w:rsidR="00EB5039" w:rsidRDefault="0035001D">
            <w:pPr>
              <w:widowControl w:val="0"/>
              <w:spacing w:line="240" w:lineRule="auto"/>
            </w:pPr>
            <w:r>
              <w:t>Enquiries to:</w:t>
            </w:r>
          </w:p>
          <w:p w:rsidR="00EB5039" w:rsidRDefault="0035001D">
            <w:pPr>
              <w:widowControl w:val="0"/>
              <w:spacing w:line="240" w:lineRule="auto"/>
            </w:pPr>
            <w:r>
              <w:t>Direct Line:</w:t>
            </w:r>
          </w:p>
          <w:p w:rsidR="00EB5039" w:rsidRDefault="0035001D">
            <w:pPr>
              <w:widowControl w:val="0"/>
              <w:spacing w:line="240" w:lineRule="auto"/>
            </w:pPr>
            <w:r>
              <w:t>E-mail:</w:t>
            </w:r>
          </w:p>
          <w:p w:rsidR="00EB5039" w:rsidRDefault="0035001D">
            <w:pPr>
              <w:widowControl w:val="0"/>
              <w:spacing w:line="240" w:lineRule="auto"/>
            </w:pPr>
            <w:r>
              <w:t>Date: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39" w:rsidRDefault="00EB5039">
            <w:pPr>
              <w:widowControl w:val="0"/>
              <w:spacing w:line="240" w:lineRule="auto"/>
            </w:pPr>
          </w:p>
          <w:p w:rsidR="00EB5039" w:rsidRDefault="0035001D">
            <w:pPr>
              <w:widowControl w:val="0"/>
              <w:spacing w:line="240" w:lineRule="auto"/>
            </w:pPr>
            <w:r>
              <w:t>HE174328</w:t>
            </w:r>
          </w:p>
          <w:p w:rsidR="00EB5039" w:rsidRDefault="0035001D">
            <w:pPr>
              <w:widowControl w:val="0"/>
              <w:spacing w:line="240" w:lineRule="auto"/>
            </w:pPr>
            <w:r>
              <w:t>Richard McKenzie</w:t>
            </w:r>
          </w:p>
          <w:p w:rsidR="00EB5039" w:rsidRDefault="0035001D">
            <w:pPr>
              <w:widowControl w:val="0"/>
              <w:spacing w:line="240" w:lineRule="auto"/>
            </w:pPr>
            <w:r>
              <w:t>(01670) 624099</w:t>
            </w:r>
          </w:p>
          <w:p w:rsidR="00EB5039" w:rsidRDefault="0035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HighwaysProgramme</w:t>
            </w:r>
            <w:hyperlink r:id="rId9">
              <w:r>
                <w:rPr>
                  <w:sz w:val="18"/>
                  <w:szCs w:val="18"/>
                </w:rPr>
                <w:t>@northumberland.gov.uk</w:t>
              </w:r>
            </w:hyperlink>
          </w:p>
          <w:p w:rsidR="00EB5039" w:rsidRDefault="0035001D">
            <w:pPr>
              <w:widowControl w:val="0"/>
              <w:spacing w:line="240" w:lineRule="auto"/>
            </w:pPr>
            <w:r>
              <w:t>Wednesday 15th November 2017</w:t>
            </w:r>
          </w:p>
        </w:tc>
      </w:tr>
    </w:tbl>
    <w:p w:rsidR="00EB5039" w:rsidRDefault="0035001D">
      <w:r>
        <w:t>Dear Sir/Madam,</w:t>
      </w:r>
    </w:p>
    <w:p w:rsidR="00EB5039" w:rsidRDefault="00EB5039"/>
    <w:p w:rsidR="00EB5039" w:rsidRDefault="0035001D">
      <w:pPr>
        <w:rPr>
          <w:b/>
        </w:rPr>
      </w:pPr>
      <w:r>
        <w:rPr>
          <w:b/>
        </w:rPr>
        <w:t xml:space="preserve">Proposed Experimental ‘No Waiting at Any Time’ Parking Restrictions, </w:t>
      </w:r>
      <w:proofErr w:type="spellStart"/>
      <w:r>
        <w:rPr>
          <w:b/>
        </w:rPr>
        <w:t>Dunsgreen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Ponteland</w:t>
      </w:r>
      <w:proofErr w:type="spellEnd"/>
    </w:p>
    <w:p w:rsidR="00EB5039" w:rsidRDefault="00EB5039"/>
    <w:p w:rsidR="00EB5039" w:rsidRDefault="0035001D">
      <w:r>
        <w:t xml:space="preserve">Concerns have been raised by residents of </w:t>
      </w:r>
      <w:proofErr w:type="spellStart"/>
      <w:r>
        <w:t>Dunsgreen</w:t>
      </w:r>
      <w:proofErr w:type="spellEnd"/>
      <w:r>
        <w:t xml:space="preserve"> over indiscriminate parking in the area, particularly at school times. Cars parked on or near to junctions are af</w:t>
      </w:r>
      <w:r>
        <w:t>fecting visibility, leading to safety concerns.</w:t>
      </w:r>
    </w:p>
    <w:p w:rsidR="00EB5039" w:rsidRDefault="00EB5039"/>
    <w:p w:rsidR="00EB5039" w:rsidRDefault="0035001D">
      <w:r>
        <w:t>In order to address this it is proposed to provide ‘No Waiting at Any Time’ parking restrictions (double yellow lines) at the junctions, as shown on the enclosed plan.</w:t>
      </w:r>
    </w:p>
    <w:p w:rsidR="00EB5039" w:rsidRDefault="00EB5039"/>
    <w:p w:rsidR="00EB5039" w:rsidRDefault="0035001D">
      <w:r>
        <w:t>It is proposed that the restrictions a</w:t>
      </w:r>
      <w:r>
        <w:t xml:space="preserve">re provided on an experimental basis initially. This will allow us to assess their effectiveness and gather </w:t>
      </w:r>
      <w:proofErr w:type="gramStart"/>
      <w:r>
        <w:t>residents</w:t>
      </w:r>
      <w:proofErr w:type="gramEnd"/>
      <w:r>
        <w:t xml:space="preserve"> feedback before deciding whether they should be made permanent or not. It will also allow the potential impact of the redeveloped High Sch</w:t>
      </w:r>
      <w:r>
        <w:t>ool to be taken into account. The experiment will last for 6 months.</w:t>
      </w:r>
    </w:p>
    <w:p w:rsidR="00EB5039" w:rsidRDefault="00EB5039"/>
    <w:p w:rsidR="00EB5039" w:rsidRDefault="0035001D">
      <w:r>
        <w:t xml:space="preserve">I am therefore writing to find out your views on this proposal. A freepost form is enclosed for you to send any comments you may have or you can reply via email to </w:t>
      </w:r>
      <w:hyperlink r:id="rId10">
        <w:r>
          <w:rPr>
            <w:color w:val="1155CC"/>
            <w:u w:val="single"/>
          </w:rPr>
          <w:t>HighwaysProgramme@northumberland.gov.uk</w:t>
        </w:r>
      </w:hyperlink>
      <w:r>
        <w:t xml:space="preserve"> or online at </w:t>
      </w:r>
      <w:hyperlink r:id="rId11">
        <w:r>
          <w:rPr>
            <w:color w:val="1155CC"/>
            <w:u w:val="single"/>
          </w:rPr>
          <w:t>http://trafficconsult.northumberland.gov.uk</w:t>
        </w:r>
      </w:hyperlink>
    </w:p>
    <w:p w:rsidR="00EB5039" w:rsidRDefault="00EB5039"/>
    <w:p w:rsidR="00EB5039" w:rsidRDefault="0035001D">
      <w:r>
        <w:t>Regrettably, it is not possible to reply to individ</w:t>
      </w:r>
      <w:r>
        <w:t>ual comments, but you may wish to note that comments may be included in a Decision Report to the Director of Local Services and Housing and may be available for public inspection.</w:t>
      </w:r>
    </w:p>
    <w:p w:rsidR="00EB5039" w:rsidRDefault="00EB5039">
      <w:pPr>
        <w:jc w:val="both"/>
      </w:pPr>
    </w:p>
    <w:p w:rsidR="00EB5039" w:rsidRDefault="0035001D">
      <w:pPr>
        <w:jc w:val="both"/>
      </w:pPr>
      <w:r>
        <w:t>The closing date for any comments you may wish to make is Friday 5th Januar</w:t>
      </w:r>
      <w:r>
        <w:t>y 2018</w:t>
      </w:r>
    </w:p>
    <w:p w:rsidR="00EB5039" w:rsidRDefault="0035001D">
      <w:pPr>
        <w:rPr>
          <w:b/>
        </w:rPr>
      </w:pPr>
      <w:r>
        <w:rPr>
          <w:b/>
        </w:rPr>
        <w:t>I would urge you to take the opportunity to comment on this matter as any decision taken will be based upon the responses received from residents.</w:t>
      </w:r>
    </w:p>
    <w:p w:rsidR="00EB5039" w:rsidRDefault="00EB5039"/>
    <w:p w:rsidR="00EB5039" w:rsidRDefault="0035001D">
      <w:r>
        <w:lastRenderedPageBreak/>
        <w:t>Thank you in advance for your participation.</w:t>
      </w:r>
    </w:p>
    <w:p w:rsidR="00EB5039" w:rsidRDefault="00EB5039"/>
    <w:p w:rsidR="00EB5039" w:rsidRDefault="0035001D">
      <w:r>
        <w:t>Yours faithfully,</w:t>
      </w:r>
    </w:p>
    <w:p w:rsidR="00EB5039" w:rsidRDefault="0035001D">
      <w:r>
        <w:rPr>
          <w:noProof/>
        </w:rPr>
        <w:drawing>
          <wp:inline distT="0" distB="0" distL="114300" distR="114300">
            <wp:extent cx="785813" cy="1200150"/>
            <wp:effectExtent l="207168" t="-207168" r="207168" b="-207168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813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5039" w:rsidRDefault="0035001D">
      <w:r>
        <w:t>Richard McKenzie</w:t>
      </w:r>
    </w:p>
    <w:p w:rsidR="00EB5039" w:rsidRDefault="0035001D">
      <w:r>
        <w:rPr>
          <w:b/>
        </w:rPr>
        <w:t>Senior Programmes Officer</w:t>
      </w:r>
    </w:p>
    <w:p w:rsidR="00EB5039" w:rsidRDefault="00EB5039">
      <w:pPr>
        <w:rPr>
          <w:b/>
        </w:rPr>
      </w:pPr>
    </w:p>
    <w:p w:rsidR="00EB5039" w:rsidRDefault="00EB5039">
      <w:pPr>
        <w:rPr>
          <w:b/>
        </w:rPr>
      </w:pPr>
    </w:p>
    <w:p w:rsidR="00EB5039" w:rsidRDefault="00EB5039"/>
    <w:tbl>
      <w:tblPr>
        <w:tblStyle w:val="a0"/>
        <w:tblW w:w="901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1575"/>
        <w:gridCol w:w="3525"/>
      </w:tblGrid>
      <w:tr w:rsidR="00EB5039">
        <w:trPr>
          <w:trHeight w:val="372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39" w:rsidRDefault="00EB5039">
            <w:pPr>
              <w:widowControl w:val="0"/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39" w:rsidRDefault="00EB5039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39" w:rsidRDefault="00EB5039">
            <w:pPr>
              <w:widowControl w:val="0"/>
              <w:spacing w:line="240" w:lineRule="auto"/>
            </w:pPr>
          </w:p>
        </w:tc>
      </w:tr>
    </w:tbl>
    <w:p w:rsidR="00EB5039" w:rsidRDefault="00EB5039"/>
    <w:p w:rsidR="00EB5039" w:rsidRDefault="00EB5039"/>
    <w:p w:rsidR="00EB5039" w:rsidRDefault="00EB5039"/>
    <w:p w:rsidR="00EB5039" w:rsidRDefault="00EB5039"/>
    <w:p w:rsidR="00EB5039" w:rsidRDefault="00EB5039"/>
    <w:p w:rsidR="00EB5039" w:rsidRDefault="00EB5039"/>
    <w:p w:rsidR="00EB5039" w:rsidRDefault="00EB5039"/>
    <w:p w:rsidR="00EB5039" w:rsidRDefault="00EB5039"/>
    <w:sectPr w:rsidR="00EB5039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1D" w:rsidRDefault="0035001D">
      <w:pPr>
        <w:spacing w:line="240" w:lineRule="auto"/>
      </w:pPr>
      <w:r>
        <w:separator/>
      </w:r>
    </w:p>
  </w:endnote>
  <w:endnote w:type="continuationSeparator" w:id="0">
    <w:p w:rsidR="0035001D" w:rsidRDefault="00350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39" w:rsidRDefault="00EB5039">
    <w:pPr>
      <w:ind w:left="-115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39" w:rsidRDefault="0035001D">
    <w:pPr>
      <w:ind w:left="-1155"/>
    </w:pPr>
    <w:r>
      <w:rPr>
        <w:noProof/>
      </w:rPr>
      <w:drawing>
        <wp:inline distT="114300" distB="114300" distL="114300" distR="114300">
          <wp:extent cx="8382000" cy="1204913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863" r="-9371"/>
                  <a:stretch>
                    <a:fillRect/>
                  </a:stretch>
                </pic:blipFill>
                <pic:spPr>
                  <a:xfrm>
                    <a:off x="0" y="0"/>
                    <a:ext cx="8382000" cy="1204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1D" w:rsidRDefault="0035001D">
      <w:pPr>
        <w:spacing w:line="240" w:lineRule="auto"/>
      </w:pPr>
      <w:r>
        <w:separator/>
      </w:r>
    </w:p>
  </w:footnote>
  <w:footnote w:type="continuationSeparator" w:id="0">
    <w:p w:rsidR="0035001D" w:rsidRDefault="00350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39" w:rsidRDefault="00EB5039">
    <w:pPr>
      <w:jc w:val="center"/>
    </w:pPr>
  </w:p>
  <w:p w:rsidR="00EB5039" w:rsidRDefault="00EB5039">
    <w:pPr>
      <w:jc w:val="center"/>
    </w:pPr>
  </w:p>
  <w:p w:rsidR="00EB5039" w:rsidRDefault="00EB5039">
    <w:pPr>
      <w:jc w:val="center"/>
    </w:pPr>
  </w:p>
  <w:p w:rsidR="00EB5039" w:rsidRDefault="00EB5039"/>
  <w:p w:rsidR="00EB5039" w:rsidRDefault="00EB50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39" w:rsidRDefault="00EB5039">
    <w:pPr>
      <w:jc w:val="center"/>
    </w:pPr>
  </w:p>
  <w:p w:rsidR="00EB5039" w:rsidRDefault="004C489D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4A8E8" wp14:editId="055083F5">
          <wp:simplePos x="0" y="0"/>
          <wp:positionH relativeFrom="column">
            <wp:posOffset>1143000</wp:posOffset>
          </wp:positionH>
          <wp:positionV relativeFrom="paragraph">
            <wp:posOffset>34290</wp:posOffset>
          </wp:positionV>
          <wp:extent cx="3452495" cy="937260"/>
          <wp:effectExtent l="0" t="0" r="0" b="0"/>
          <wp:wrapSquare wrapText="bothSides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2495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39" w:rsidRDefault="00EB5039">
    <w:pPr>
      <w:jc w:val="center"/>
    </w:pPr>
  </w:p>
  <w:p w:rsidR="00EB5039" w:rsidRDefault="00EB5039">
    <w:pPr>
      <w:jc w:val="center"/>
    </w:pPr>
  </w:p>
  <w:p w:rsidR="00EB5039" w:rsidRDefault="00EB50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039"/>
    <w:rsid w:val="0035001D"/>
    <w:rsid w:val="004C489D"/>
    <w:rsid w:val="00E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8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9D"/>
  </w:style>
  <w:style w:type="paragraph" w:styleId="Footer">
    <w:name w:val="footer"/>
    <w:basedOn w:val="Normal"/>
    <w:link w:val="FooterChar"/>
    <w:uiPriority w:val="99"/>
    <w:unhideWhenUsed/>
    <w:rsid w:val="004C48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8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9D"/>
  </w:style>
  <w:style w:type="paragraph" w:styleId="Footer">
    <w:name w:val="footer"/>
    <w:basedOn w:val="Normal"/>
    <w:link w:val="FooterChar"/>
    <w:uiPriority w:val="99"/>
    <w:unhideWhenUsed/>
    <w:rsid w:val="004C48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erland.gov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umberland.gov.uk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rafficconsult.northumberland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HighwaysProgramme@northumber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Mckenzie@northumberland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>Northumberland County Council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Edgar, Conor</cp:lastModifiedBy>
  <cp:revision>2</cp:revision>
  <dcterms:created xsi:type="dcterms:W3CDTF">2017-11-15T13:33:00Z</dcterms:created>
  <dcterms:modified xsi:type="dcterms:W3CDTF">2017-11-15T13:34:00Z</dcterms:modified>
</cp:coreProperties>
</file>