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6A" w:rsidRPr="00B373AC" w:rsidRDefault="00201B4C" w:rsidP="00070D17">
      <w:pPr>
        <w:autoSpaceDE w:val="0"/>
        <w:autoSpaceDN w:val="0"/>
        <w:adjustRightInd w:val="0"/>
        <w:ind w:left="4536"/>
        <w:rPr>
          <w:rFonts w:ascii="Arial" w:hAnsi="Arial" w:cs="Arial"/>
          <w:b/>
          <w:bCs/>
          <w:sz w:val="19"/>
          <w:szCs w:val="19"/>
          <w:lang w:val="en-US"/>
        </w:rPr>
      </w:pPr>
      <w:r>
        <w:rPr>
          <w:rFonts w:ascii="Arial" w:hAnsi="Arial" w:cs="Arial"/>
          <w:b/>
          <w:bCs/>
          <w:sz w:val="19"/>
          <w:szCs w:val="19"/>
          <w:lang w:val="en-US"/>
        </w:rPr>
        <w:t>Company</w:t>
      </w:r>
      <w:r w:rsidR="00BE5A6A" w:rsidRPr="00B373AC">
        <w:rPr>
          <w:rFonts w:ascii="Arial" w:hAnsi="Arial" w:cs="Arial"/>
          <w:b/>
          <w:bCs/>
          <w:sz w:val="19"/>
          <w:szCs w:val="19"/>
          <w:lang w:val="en-US"/>
        </w:rPr>
        <w:t xml:space="preserve"> Registration No. 04375380 (England and Wales)</w:t>
      </w:r>
    </w:p>
    <w:p w:rsidR="00BE5A6A" w:rsidRPr="00BE5A6A" w:rsidRDefault="00BE5A6A" w:rsidP="003A1BD9">
      <w:pPr>
        <w:autoSpaceDE w:val="0"/>
        <w:autoSpaceDN w:val="0"/>
        <w:adjustRightInd w:val="0"/>
        <w:rPr>
          <w:rFonts w:ascii="Arial" w:hAnsi="Arial" w:cs="Arial"/>
          <w:b/>
          <w:bCs/>
          <w:sz w:val="24"/>
          <w:szCs w:val="24"/>
          <w:lang w:val="en-US"/>
        </w:rPr>
      </w:pPr>
    </w:p>
    <w:p w:rsidR="00BE5A6A" w:rsidRPr="00BE5A6A" w:rsidRDefault="00BE5A6A" w:rsidP="003A1BD9">
      <w:pPr>
        <w:autoSpaceDE w:val="0"/>
        <w:autoSpaceDN w:val="0"/>
        <w:adjustRightInd w:val="0"/>
        <w:rPr>
          <w:rFonts w:ascii="Arial" w:hAnsi="Arial" w:cs="Arial"/>
          <w:b/>
          <w:bCs/>
          <w:sz w:val="24"/>
          <w:szCs w:val="24"/>
          <w:lang w:val="en-US"/>
        </w:rPr>
      </w:pPr>
    </w:p>
    <w:p w:rsidR="00BE5A6A" w:rsidRPr="00BE5A6A" w:rsidRDefault="00BE5A6A" w:rsidP="003A1BD9">
      <w:pPr>
        <w:autoSpaceDE w:val="0"/>
        <w:autoSpaceDN w:val="0"/>
        <w:adjustRightInd w:val="0"/>
        <w:rPr>
          <w:rFonts w:ascii="Arial" w:hAnsi="Arial" w:cs="Arial"/>
          <w:b/>
          <w:bCs/>
          <w:sz w:val="24"/>
          <w:szCs w:val="24"/>
          <w:lang w:val="en-US"/>
        </w:rPr>
      </w:pPr>
    </w:p>
    <w:p w:rsidR="00BE5A6A" w:rsidRPr="00BE5A6A" w:rsidRDefault="00BE5A6A" w:rsidP="003A1BD9">
      <w:pPr>
        <w:autoSpaceDE w:val="0"/>
        <w:autoSpaceDN w:val="0"/>
        <w:adjustRightInd w:val="0"/>
        <w:rPr>
          <w:rFonts w:ascii="Arial" w:hAnsi="Arial" w:cs="Arial"/>
          <w:b/>
          <w:bCs/>
          <w:sz w:val="24"/>
          <w:szCs w:val="24"/>
          <w:lang w:val="en-US"/>
        </w:rPr>
      </w:pPr>
    </w:p>
    <w:p w:rsidR="00BE5A6A" w:rsidRPr="00BE5A6A" w:rsidRDefault="00BE5A6A" w:rsidP="003A1BD9">
      <w:pPr>
        <w:autoSpaceDE w:val="0"/>
        <w:autoSpaceDN w:val="0"/>
        <w:adjustRightInd w:val="0"/>
        <w:rPr>
          <w:rFonts w:ascii="Arial" w:hAnsi="Arial" w:cs="Arial"/>
          <w:b/>
          <w:bCs/>
          <w:sz w:val="24"/>
          <w:szCs w:val="24"/>
          <w:lang w:val="en-US"/>
        </w:rPr>
      </w:pPr>
    </w:p>
    <w:p w:rsidR="00BE5A6A" w:rsidRPr="00BE5A6A" w:rsidRDefault="00BE5A6A" w:rsidP="003A1BD9">
      <w:pPr>
        <w:autoSpaceDE w:val="0"/>
        <w:autoSpaceDN w:val="0"/>
        <w:adjustRightInd w:val="0"/>
        <w:rPr>
          <w:rFonts w:ascii="Arial" w:hAnsi="Arial" w:cs="Arial"/>
          <w:b/>
          <w:bCs/>
          <w:sz w:val="24"/>
          <w:szCs w:val="24"/>
          <w:lang w:val="en-US"/>
        </w:rPr>
      </w:pPr>
    </w:p>
    <w:p w:rsidR="00BE5A6A" w:rsidRPr="00BE5A6A" w:rsidRDefault="00BE5A6A" w:rsidP="003A1BD9">
      <w:pPr>
        <w:autoSpaceDE w:val="0"/>
        <w:autoSpaceDN w:val="0"/>
        <w:adjustRightInd w:val="0"/>
        <w:rPr>
          <w:rFonts w:ascii="Arial" w:hAnsi="Arial" w:cs="Arial"/>
          <w:b/>
          <w:bCs/>
          <w:sz w:val="24"/>
          <w:szCs w:val="24"/>
          <w:lang w:val="en-US"/>
        </w:rPr>
      </w:pPr>
    </w:p>
    <w:p w:rsidR="00BE5A6A" w:rsidRPr="00BE5A6A" w:rsidRDefault="00BE5A6A" w:rsidP="003A1BD9">
      <w:pPr>
        <w:autoSpaceDE w:val="0"/>
        <w:autoSpaceDN w:val="0"/>
        <w:adjustRightInd w:val="0"/>
        <w:rPr>
          <w:rFonts w:ascii="Arial" w:hAnsi="Arial" w:cs="Arial"/>
          <w:b/>
          <w:bCs/>
          <w:sz w:val="24"/>
          <w:szCs w:val="24"/>
          <w:lang w:val="en-US"/>
        </w:rPr>
      </w:pPr>
    </w:p>
    <w:p w:rsidR="00BE5A6A" w:rsidRPr="00B373AC" w:rsidRDefault="00B373AC" w:rsidP="003A1BD9">
      <w:pPr>
        <w:autoSpaceDE w:val="0"/>
        <w:autoSpaceDN w:val="0"/>
        <w:adjustRightInd w:val="0"/>
        <w:jc w:val="center"/>
        <w:rPr>
          <w:rFonts w:ascii="Arial" w:hAnsi="Arial" w:cs="Arial"/>
          <w:b/>
          <w:bCs/>
          <w:sz w:val="28"/>
          <w:szCs w:val="24"/>
          <w:lang w:val="en-US"/>
        </w:rPr>
      </w:pPr>
      <w:r w:rsidRPr="00B373AC">
        <w:rPr>
          <w:rFonts w:ascii="Arial" w:hAnsi="Arial" w:cs="Arial"/>
          <w:b/>
          <w:bCs/>
          <w:sz w:val="28"/>
          <w:szCs w:val="24"/>
          <w:lang w:val="en-US"/>
        </w:rPr>
        <w:t>HOMES FOR NORTHUMBERLAND LIMITED</w:t>
      </w:r>
    </w:p>
    <w:p w:rsidR="00BE5A6A" w:rsidRPr="00BE5A6A" w:rsidRDefault="00BE5A6A" w:rsidP="003A1BD9">
      <w:pPr>
        <w:autoSpaceDE w:val="0"/>
        <w:autoSpaceDN w:val="0"/>
        <w:adjustRightInd w:val="0"/>
        <w:jc w:val="center"/>
        <w:rPr>
          <w:rFonts w:ascii="Arial" w:hAnsi="Arial" w:cs="Arial"/>
          <w:b/>
          <w:bCs/>
          <w:sz w:val="24"/>
          <w:szCs w:val="24"/>
          <w:lang w:val="en-US"/>
        </w:rPr>
      </w:pPr>
    </w:p>
    <w:p w:rsidR="00BE5A6A" w:rsidRDefault="00BE5A6A" w:rsidP="003A1BD9">
      <w:pPr>
        <w:autoSpaceDE w:val="0"/>
        <w:autoSpaceDN w:val="0"/>
        <w:adjustRightInd w:val="0"/>
        <w:jc w:val="center"/>
        <w:rPr>
          <w:rFonts w:ascii="Arial" w:hAnsi="Arial" w:cs="Arial"/>
          <w:b/>
          <w:bCs/>
          <w:sz w:val="24"/>
          <w:szCs w:val="24"/>
          <w:lang w:val="en-US"/>
        </w:rPr>
      </w:pPr>
      <w:r>
        <w:rPr>
          <w:rFonts w:ascii="Arial" w:hAnsi="Arial" w:cs="Arial"/>
          <w:b/>
          <w:bCs/>
          <w:sz w:val="24"/>
          <w:szCs w:val="24"/>
          <w:lang w:val="en-US"/>
        </w:rPr>
        <w:t>Annual</w:t>
      </w:r>
      <w:r w:rsidR="00B373AC">
        <w:rPr>
          <w:rFonts w:ascii="Arial" w:hAnsi="Arial" w:cs="Arial"/>
          <w:b/>
          <w:bCs/>
          <w:sz w:val="24"/>
          <w:szCs w:val="24"/>
          <w:lang w:val="en-US"/>
        </w:rPr>
        <w:t xml:space="preserve"> Report and Financial S</w:t>
      </w:r>
      <w:r w:rsidRPr="00BE5A6A">
        <w:rPr>
          <w:rFonts w:ascii="Arial" w:hAnsi="Arial" w:cs="Arial"/>
          <w:b/>
          <w:bCs/>
          <w:sz w:val="24"/>
          <w:szCs w:val="24"/>
          <w:lang w:val="en-US"/>
        </w:rPr>
        <w:t>tatements</w:t>
      </w:r>
    </w:p>
    <w:p w:rsidR="00BE5A6A" w:rsidRPr="00BE5A6A" w:rsidRDefault="00322CF4" w:rsidP="003A1BD9">
      <w:pPr>
        <w:autoSpaceDE w:val="0"/>
        <w:autoSpaceDN w:val="0"/>
        <w:adjustRightInd w:val="0"/>
        <w:jc w:val="center"/>
        <w:rPr>
          <w:rFonts w:ascii="Arial" w:hAnsi="Arial" w:cs="Arial"/>
          <w:b/>
          <w:bCs/>
          <w:sz w:val="24"/>
          <w:szCs w:val="24"/>
          <w:lang w:val="en-US"/>
        </w:rPr>
      </w:pPr>
      <w:r>
        <w:rPr>
          <w:rFonts w:ascii="Arial" w:hAnsi="Arial" w:cs="Arial"/>
          <w:b/>
          <w:bCs/>
          <w:sz w:val="24"/>
          <w:szCs w:val="24"/>
          <w:lang w:val="en-US"/>
        </w:rPr>
        <w:t>f</w:t>
      </w:r>
      <w:r w:rsidR="00B373AC">
        <w:rPr>
          <w:rFonts w:ascii="Arial" w:hAnsi="Arial" w:cs="Arial"/>
          <w:b/>
          <w:bCs/>
          <w:sz w:val="24"/>
          <w:szCs w:val="24"/>
          <w:lang w:val="en-US"/>
        </w:rPr>
        <w:t>or the Year E</w:t>
      </w:r>
      <w:r w:rsidR="00C46A29">
        <w:rPr>
          <w:rFonts w:ascii="Arial" w:hAnsi="Arial" w:cs="Arial"/>
          <w:b/>
          <w:bCs/>
          <w:sz w:val="24"/>
          <w:szCs w:val="24"/>
          <w:lang w:val="en-US"/>
        </w:rPr>
        <w:t>nded 31 March 2015</w:t>
      </w:r>
    </w:p>
    <w:p w:rsidR="00BE5A6A" w:rsidRPr="00BE5A6A" w:rsidRDefault="00BE5A6A" w:rsidP="003A1BD9">
      <w:pPr>
        <w:autoSpaceDE w:val="0"/>
        <w:autoSpaceDN w:val="0"/>
        <w:adjustRightInd w:val="0"/>
        <w:rPr>
          <w:rFonts w:ascii="Arial" w:hAnsi="Arial" w:cs="Arial"/>
          <w:b/>
          <w:bCs/>
          <w:sz w:val="24"/>
          <w:szCs w:val="24"/>
          <w:lang w:val="en-US"/>
        </w:rPr>
      </w:pPr>
      <w:r w:rsidRPr="00BE5A6A">
        <w:rPr>
          <w:rFonts w:ascii="Arial" w:hAnsi="Arial" w:cs="Arial"/>
          <w:sz w:val="24"/>
          <w:szCs w:val="24"/>
          <w:lang w:val="en-US"/>
        </w:rPr>
        <w:br w:type="page"/>
      </w:r>
      <w:r w:rsidRPr="00BE5A6A">
        <w:rPr>
          <w:rFonts w:ascii="Arial" w:hAnsi="Arial" w:cs="Arial"/>
          <w:b/>
          <w:bCs/>
          <w:sz w:val="24"/>
          <w:szCs w:val="24"/>
          <w:lang w:val="en-US"/>
        </w:rPr>
        <w:lastRenderedPageBreak/>
        <w:t xml:space="preserve"> </w:t>
      </w:r>
    </w:p>
    <w:p w:rsidR="00BE5A6A" w:rsidRPr="00C717C4" w:rsidRDefault="00BE5A6A" w:rsidP="00B373AC">
      <w:pPr>
        <w:autoSpaceDE w:val="0"/>
        <w:autoSpaceDN w:val="0"/>
        <w:adjustRightInd w:val="0"/>
        <w:jc w:val="left"/>
        <w:rPr>
          <w:rFonts w:ascii="Arial" w:hAnsi="Arial" w:cs="Arial"/>
          <w:b/>
          <w:bCs/>
          <w:sz w:val="28"/>
          <w:szCs w:val="24"/>
          <w:lang w:val="en-US"/>
        </w:rPr>
      </w:pPr>
      <w:r w:rsidRPr="00C717C4">
        <w:rPr>
          <w:rFonts w:ascii="Arial" w:hAnsi="Arial" w:cs="Arial"/>
          <w:b/>
          <w:bCs/>
          <w:sz w:val="28"/>
          <w:szCs w:val="24"/>
          <w:lang w:val="en-US"/>
        </w:rPr>
        <w:t>Contents</w:t>
      </w:r>
    </w:p>
    <w:sdt>
      <w:sdtPr>
        <w:rPr>
          <w:rFonts w:ascii="Times New Roman" w:eastAsia="Times New Roman" w:hAnsi="Times New Roman" w:cs="Times New Roman"/>
          <w:b w:val="0"/>
          <w:bCs w:val="0"/>
          <w:color w:val="auto"/>
          <w:sz w:val="20"/>
          <w:szCs w:val="20"/>
          <w:lang w:val="en-GB" w:eastAsia="en-GB"/>
        </w:rPr>
        <w:id w:val="565004297"/>
        <w:docPartObj>
          <w:docPartGallery w:val="Table of Contents"/>
          <w:docPartUnique/>
        </w:docPartObj>
      </w:sdtPr>
      <w:sdtEndPr>
        <w:rPr>
          <w:noProof/>
        </w:rPr>
      </w:sdtEndPr>
      <w:sdtContent>
        <w:p w:rsidR="00656B26" w:rsidRPr="00C717C4" w:rsidRDefault="00656B26">
          <w:pPr>
            <w:pStyle w:val="TOCHeading"/>
          </w:pPr>
        </w:p>
        <w:p w:rsidR="00656B26" w:rsidRPr="00C717C4" w:rsidRDefault="00656B26" w:rsidP="00B76847">
          <w:pPr>
            <w:pStyle w:val="TOC1"/>
            <w:tabs>
              <w:tab w:val="left" w:pos="709"/>
            </w:tabs>
            <w:outlineLvl w:val="0"/>
            <w:rPr>
              <w:rFonts w:ascii="Arial" w:eastAsiaTheme="minorEastAsia" w:hAnsi="Arial" w:cs="Arial"/>
              <w:noProof/>
              <w:sz w:val="22"/>
              <w:szCs w:val="22"/>
            </w:rPr>
          </w:pPr>
          <w:r w:rsidRPr="00C717C4">
            <w:rPr>
              <w:rFonts w:ascii="Arial" w:hAnsi="Arial" w:cs="Arial"/>
            </w:rPr>
            <w:fldChar w:fldCharType="begin"/>
          </w:r>
          <w:r w:rsidRPr="00C717C4">
            <w:rPr>
              <w:rFonts w:ascii="Arial" w:hAnsi="Arial" w:cs="Arial"/>
            </w:rPr>
            <w:instrText xml:space="preserve"> TOC \o "1-3" \h \z \u </w:instrText>
          </w:r>
          <w:r w:rsidRPr="00C717C4">
            <w:rPr>
              <w:rFonts w:ascii="Arial" w:hAnsi="Arial" w:cs="Arial"/>
            </w:rPr>
            <w:fldChar w:fldCharType="separate"/>
          </w:r>
          <w:hyperlink w:anchor="_Toc390775314" w:history="1">
            <w:r w:rsidR="000535CC" w:rsidRPr="00C717C4">
              <w:rPr>
                <w:rStyle w:val="Hyperlink"/>
                <w:rFonts w:ascii="Arial" w:hAnsi="Arial" w:cs="Arial"/>
                <w:noProof/>
              </w:rPr>
              <w:t>Introduction</w:t>
            </w:r>
            <w:r w:rsidR="000535CC" w:rsidRPr="00C717C4">
              <w:rPr>
                <w:rStyle w:val="Hyperlink"/>
                <w:rFonts w:ascii="Arial" w:hAnsi="Arial" w:cs="Arial"/>
                <w:noProof/>
              </w:rPr>
              <w:tab/>
            </w:r>
            <w:r w:rsidR="00743922" w:rsidRPr="00C717C4">
              <w:rPr>
                <w:rFonts w:ascii="Arial" w:hAnsi="Arial" w:cs="Arial"/>
                <w:noProof/>
                <w:webHidden/>
              </w:rPr>
              <w:t>1</w:t>
            </w:r>
          </w:hyperlink>
        </w:p>
        <w:p w:rsidR="00656B26" w:rsidRPr="00C717C4" w:rsidRDefault="00404BAE" w:rsidP="00B76847">
          <w:pPr>
            <w:pStyle w:val="TOC1"/>
            <w:tabs>
              <w:tab w:val="left" w:pos="709"/>
            </w:tabs>
            <w:outlineLvl w:val="0"/>
            <w:rPr>
              <w:rFonts w:ascii="Arial" w:eastAsiaTheme="minorEastAsia" w:hAnsi="Arial" w:cs="Arial"/>
              <w:noProof/>
              <w:sz w:val="22"/>
              <w:szCs w:val="22"/>
            </w:rPr>
          </w:pPr>
          <w:hyperlink w:anchor="_Toc390775316" w:history="1">
            <w:r w:rsidR="000535CC" w:rsidRPr="00C717C4">
              <w:rPr>
                <w:rStyle w:val="Hyperlink"/>
                <w:rFonts w:ascii="Arial" w:hAnsi="Arial" w:cs="Arial"/>
                <w:noProof/>
              </w:rPr>
              <w:t>Strategic Report</w:t>
            </w:r>
            <w:r w:rsidR="00656B26" w:rsidRPr="00C717C4">
              <w:rPr>
                <w:rFonts w:ascii="Arial" w:hAnsi="Arial" w:cs="Arial"/>
                <w:noProof/>
                <w:webHidden/>
              </w:rPr>
              <w:tab/>
            </w:r>
            <w:r w:rsidR="00743922" w:rsidRPr="00C717C4">
              <w:rPr>
                <w:rFonts w:ascii="Arial" w:hAnsi="Arial" w:cs="Arial"/>
                <w:noProof/>
                <w:webHidden/>
              </w:rPr>
              <w:t>1</w:t>
            </w:r>
          </w:hyperlink>
        </w:p>
        <w:p w:rsidR="00656B26" w:rsidRPr="00C717C4" w:rsidRDefault="00404BAE" w:rsidP="00B76847">
          <w:pPr>
            <w:pStyle w:val="TOC1"/>
            <w:tabs>
              <w:tab w:val="left" w:pos="709"/>
            </w:tabs>
            <w:outlineLvl w:val="0"/>
            <w:rPr>
              <w:rFonts w:ascii="Arial" w:eastAsiaTheme="minorEastAsia" w:hAnsi="Arial" w:cs="Arial"/>
              <w:noProof/>
              <w:sz w:val="22"/>
              <w:szCs w:val="22"/>
            </w:rPr>
          </w:pPr>
          <w:hyperlink w:anchor="_Toc390775320" w:history="1">
            <w:r w:rsidR="000535CC" w:rsidRPr="00C717C4">
              <w:rPr>
                <w:rStyle w:val="Hyperlink"/>
                <w:rFonts w:ascii="Arial" w:hAnsi="Arial" w:cs="Arial"/>
                <w:noProof/>
              </w:rPr>
              <w:t>Directors’ Report</w:t>
            </w:r>
            <w:r w:rsidR="00656B26" w:rsidRPr="00C717C4">
              <w:rPr>
                <w:rFonts w:ascii="Arial" w:hAnsi="Arial" w:cs="Arial"/>
                <w:noProof/>
                <w:webHidden/>
              </w:rPr>
              <w:tab/>
            </w:r>
            <w:r w:rsidR="00743922" w:rsidRPr="00C717C4">
              <w:rPr>
                <w:rFonts w:ascii="Arial" w:hAnsi="Arial" w:cs="Arial"/>
                <w:noProof/>
                <w:webHidden/>
              </w:rPr>
              <w:t>7</w:t>
            </w:r>
          </w:hyperlink>
        </w:p>
        <w:p w:rsidR="00656B26" w:rsidRPr="00C717C4" w:rsidRDefault="00404BAE" w:rsidP="00B76847">
          <w:pPr>
            <w:pStyle w:val="TOC1"/>
            <w:tabs>
              <w:tab w:val="left" w:pos="709"/>
            </w:tabs>
            <w:outlineLvl w:val="0"/>
            <w:rPr>
              <w:rFonts w:ascii="Arial" w:eastAsiaTheme="minorEastAsia" w:hAnsi="Arial" w:cs="Arial"/>
              <w:noProof/>
              <w:sz w:val="22"/>
              <w:szCs w:val="22"/>
            </w:rPr>
          </w:pPr>
          <w:hyperlink w:anchor="_Toc390775321" w:history="1">
            <w:r w:rsidR="000C2F5B" w:rsidRPr="00C717C4">
              <w:rPr>
                <w:rStyle w:val="Hyperlink"/>
                <w:rFonts w:ascii="Arial" w:hAnsi="Arial" w:cs="Arial"/>
                <w:noProof/>
              </w:rPr>
              <w:t>Directors’ Responsibilities</w:t>
            </w:r>
            <w:r w:rsidR="000535CC" w:rsidRPr="00C717C4">
              <w:rPr>
                <w:rStyle w:val="Hyperlink"/>
                <w:rFonts w:ascii="Arial" w:hAnsi="Arial" w:cs="Arial"/>
                <w:noProof/>
              </w:rPr>
              <w:t xml:space="preserve"> Statement</w:t>
            </w:r>
            <w:r w:rsidR="00656B26" w:rsidRPr="00C717C4">
              <w:rPr>
                <w:rFonts w:ascii="Arial" w:hAnsi="Arial" w:cs="Arial"/>
                <w:noProof/>
                <w:webHidden/>
              </w:rPr>
              <w:tab/>
            </w:r>
            <w:r w:rsidR="00E81231" w:rsidRPr="00C717C4">
              <w:rPr>
                <w:rFonts w:ascii="Arial" w:hAnsi="Arial" w:cs="Arial"/>
                <w:noProof/>
                <w:webHidden/>
              </w:rPr>
              <w:t>1</w:t>
            </w:r>
            <w:r w:rsidR="00743922" w:rsidRPr="00C717C4">
              <w:rPr>
                <w:rFonts w:ascii="Arial" w:hAnsi="Arial" w:cs="Arial"/>
                <w:noProof/>
                <w:webHidden/>
              </w:rPr>
              <w:t>0</w:t>
            </w:r>
          </w:hyperlink>
        </w:p>
        <w:p w:rsidR="00717491" w:rsidRPr="00C717C4" w:rsidRDefault="00404BAE" w:rsidP="00B76847">
          <w:pPr>
            <w:pStyle w:val="TOC1"/>
            <w:tabs>
              <w:tab w:val="left" w:pos="709"/>
            </w:tabs>
            <w:outlineLvl w:val="0"/>
            <w:rPr>
              <w:rFonts w:ascii="Arial" w:hAnsi="Arial" w:cs="Arial"/>
              <w:noProof/>
            </w:rPr>
          </w:pPr>
          <w:hyperlink w:anchor="_Toc390775322" w:history="1">
            <w:r w:rsidR="00B435F9" w:rsidRPr="00C717C4">
              <w:rPr>
                <w:rStyle w:val="Hyperlink"/>
                <w:rFonts w:ascii="Arial" w:hAnsi="Arial" w:cs="Arial"/>
                <w:noProof/>
              </w:rPr>
              <w:t>Independent Auditor’s Report to the Members of Homes for Northumberland Limited</w:t>
            </w:r>
            <w:r w:rsidR="00656B26" w:rsidRPr="00C717C4">
              <w:rPr>
                <w:rFonts w:ascii="Arial" w:hAnsi="Arial" w:cs="Arial"/>
                <w:noProof/>
                <w:webHidden/>
              </w:rPr>
              <w:tab/>
            </w:r>
            <w:r w:rsidR="003C1032" w:rsidRPr="00C717C4">
              <w:rPr>
                <w:rFonts w:ascii="Arial" w:hAnsi="Arial" w:cs="Arial"/>
                <w:noProof/>
                <w:webHidden/>
              </w:rPr>
              <w:t>1</w:t>
            </w:r>
            <w:r w:rsidR="00743922" w:rsidRPr="00C717C4">
              <w:rPr>
                <w:rFonts w:ascii="Arial" w:hAnsi="Arial" w:cs="Arial"/>
                <w:noProof/>
                <w:webHidden/>
              </w:rPr>
              <w:t>1</w:t>
            </w:r>
          </w:hyperlink>
        </w:p>
        <w:p w:rsidR="00656B26" w:rsidRPr="00C717C4" w:rsidRDefault="00404BAE" w:rsidP="00B76847">
          <w:pPr>
            <w:pStyle w:val="TOC1"/>
            <w:tabs>
              <w:tab w:val="left" w:pos="709"/>
            </w:tabs>
            <w:outlineLvl w:val="0"/>
            <w:rPr>
              <w:rFonts w:ascii="Arial" w:eastAsiaTheme="minorEastAsia" w:hAnsi="Arial" w:cs="Arial"/>
              <w:noProof/>
              <w:sz w:val="22"/>
              <w:szCs w:val="22"/>
            </w:rPr>
          </w:pPr>
          <w:hyperlink w:anchor="_Toc390775323" w:history="1">
            <w:r w:rsidR="00717491" w:rsidRPr="00C717C4">
              <w:rPr>
                <w:rStyle w:val="Hyperlink"/>
                <w:rFonts w:ascii="Arial" w:hAnsi="Arial" w:cs="Arial"/>
                <w:noProof/>
              </w:rPr>
              <w:t>Income and Expenditure Account</w:t>
            </w:r>
            <w:r w:rsidR="00656B26" w:rsidRPr="00C717C4">
              <w:rPr>
                <w:rFonts w:ascii="Arial" w:hAnsi="Arial" w:cs="Arial"/>
                <w:noProof/>
                <w:webHidden/>
              </w:rPr>
              <w:tab/>
            </w:r>
            <w:r w:rsidR="005B6F76" w:rsidRPr="00C717C4">
              <w:rPr>
                <w:rFonts w:ascii="Arial" w:hAnsi="Arial" w:cs="Arial"/>
                <w:noProof/>
                <w:webHidden/>
              </w:rPr>
              <w:t>1</w:t>
            </w:r>
            <w:r w:rsidR="00743922" w:rsidRPr="00C717C4">
              <w:rPr>
                <w:rFonts w:ascii="Arial" w:hAnsi="Arial" w:cs="Arial"/>
                <w:noProof/>
                <w:webHidden/>
              </w:rPr>
              <w:t>3</w:t>
            </w:r>
          </w:hyperlink>
        </w:p>
        <w:p w:rsidR="00656B26" w:rsidRPr="00C717C4" w:rsidRDefault="00404BAE" w:rsidP="00B76847">
          <w:pPr>
            <w:pStyle w:val="TOC1"/>
            <w:outlineLvl w:val="0"/>
            <w:rPr>
              <w:rFonts w:ascii="Arial" w:eastAsiaTheme="minorEastAsia" w:hAnsi="Arial" w:cs="Arial"/>
              <w:noProof/>
              <w:sz w:val="22"/>
              <w:szCs w:val="22"/>
            </w:rPr>
          </w:pPr>
          <w:hyperlink w:anchor="_Toc390775324" w:history="1">
            <w:r w:rsidR="00B76847" w:rsidRPr="00C717C4">
              <w:rPr>
                <w:rStyle w:val="Hyperlink"/>
                <w:rFonts w:ascii="Arial" w:hAnsi="Arial" w:cs="Arial"/>
                <w:bCs/>
                <w:noProof/>
                <w:lang w:val="en-US"/>
              </w:rPr>
              <w:t>Balance Sheet</w:t>
            </w:r>
            <w:r w:rsidR="00656B26" w:rsidRPr="00C717C4">
              <w:rPr>
                <w:rFonts w:ascii="Arial" w:hAnsi="Arial" w:cs="Arial"/>
                <w:noProof/>
                <w:webHidden/>
              </w:rPr>
              <w:tab/>
            </w:r>
            <w:r w:rsidR="00826412" w:rsidRPr="00C717C4">
              <w:rPr>
                <w:rFonts w:ascii="Arial" w:hAnsi="Arial" w:cs="Arial"/>
                <w:noProof/>
                <w:webHidden/>
              </w:rPr>
              <w:t>1</w:t>
            </w:r>
            <w:r w:rsidR="00743922" w:rsidRPr="00C717C4">
              <w:rPr>
                <w:rFonts w:ascii="Arial" w:hAnsi="Arial" w:cs="Arial"/>
                <w:noProof/>
                <w:webHidden/>
              </w:rPr>
              <w:t>4</w:t>
            </w:r>
          </w:hyperlink>
        </w:p>
        <w:p w:rsidR="00B76847" w:rsidRPr="00C717C4" w:rsidRDefault="00404BAE" w:rsidP="00B76847">
          <w:pPr>
            <w:pStyle w:val="TOC1"/>
            <w:tabs>
              <w:tab w:val="left" w:pos="709"/>
            </w:tabs>
            <w:outlineLvl w:val="0"/>
            <w:rPr>
              <w:rFonts w:ascii="Arial" w:hAnsi="Arial" w:cs="Arial"/>
              <w:bCs/>
              <w:noProof/>
            </w:rPr>
          </w:pPr>
          <w:hyperlink w:anchor="_Toc390775325" w:history="1">
            <w:r w:rsidR="00B76847" w:rsidRPr="00C717C4">
              <w:rPr>
                <w:rStyle w:val="Hyperlink"/>
                <w:rFonts w:ascii="Arial" w:hAnsi="Arial" w:cs="Arial"/>
                <w:noProof/>
              </w:rPr>
              <w:t>Statement of Total Recognised Gains and Losses</w:t>
            </w:r>
            <w:r w:rsidR="00656B26" w:rsidRPr="00C717C4">
              <w:rPr>
                <w:rStyle w:val="Hyperlink"/>
                <w:rFonts w:ascii="Arial" w:hAnsi="Arial" w:cs="Arial"/>
                <w:noProof/>
              </w:rPr>
              <w:tab/>
            </w:r>
            <w:r w:rsidR="004A6EDA" w:rsidRPr="00C717C4">
              <w:rPr>
                <w:rFonts w:ascii="Arial" w:hAnsi="Arial" w:cs="Arial"/>
                <w:noProof/>
                <w:webHidden/>
              </w:rPr>
              <w:t>1</w:t>
            </w:r>
            <w:r w:rsidR="00743922" w:rsidRPr="00C717C4">
              <w:rPr>
                <w:rFonts w:ascii="Arial" w:hAnsi="Arial" w:cs="Arial"/>
                <w:noProof/>
                <w:webHidden/>
              </w:rPr>
              <w:t>5</w:t>
            </w:r>
          </w:hyperlink>
          <w:r w:rsidR="00656B26" w:rsidRPr="00C717C4">
            <w:rPr>
              <w:rFonts w:ascii="Arial" w:hAnsi="Arial" w:cs="Arial"/>
              <w:bCs/>
              <w:noProof/>
            </w:rPr>
            <w:fldChar w:fldCharType="end"/>
          </w:r>
        </w:p>
        <w:p w:rsidR="00656B26" w:rsidRPr="00B76847" w:rsidRDefault="00B76847" w:rsidP="00B76847">
          <w:pPr>
            <w:rPr>
              <w:rFonts w:eastAsiaTheme="minorEastAsia"/>
            </w:rPr>
          </w:pPr>
          <w:r w:rsidRPr="00C717C4">
            <w:rPr>
              <w:rFonts w:ascii="Arial" w:eastAsiaTheme="minorEastAsia" w:hAnsi="Arial" w:cs="Arial"/>
              <w:b/>
            </w:rPr>
            <w:t>Notes</w:t>
          </w:r>
          <w:r w:rsidRPr="00C717C4">
            <w:rPr>
              <w:rFonts w:ascii="Arial" w:eastAsiaTheme="minorEastAsia" w:hAnsi="Arial" w:cs="Arial"/>
              <w:b/>
            </w:rPr>
            <w:tab/>
            <w:t xml:space="preserve"> to the </w:t>
          </w:r>
          <w:r w:rsidR="000C2F5B" w:rsidRPr="00C717C4">
            <w:rPr>
              <w:rFonts w:ascii="Arial" w:eastAsiaTheme="minorEastAsia" w:hAnsi="Arial" w:cs="Arial"/>
              <w:b/>
            </w:rPr>
            <w:t>Financial Statements</w:t>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t xml:space="preserve"> 1</w:t>
          </w:r>
          <w:r w:rsidR="00743922" w:rsidRPr="00C717C4">
            <w:rPr>
              <w:rFonts w:ascii="Arial" w:eastAsiaTheme="minorEastAsia" w:hAnsi="Arial" w:cs="Arial"/>
              <w:b/>
            </w:rPr>
            <w:t>6</w:t>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r>
          <w:r w:rsidRPr="00C717C4">
            <w:rPr>
              <w:rFonts w:ascii="Arial" w:eastAsiaTheme="minorEastAsia" w:hAnsi="Arial" w:cs="Arial"/>
              <w:b/>
            </w:rPr>
            <w:tab/>
          </w:r>
        </w:p>
      </w:sdtContent>
    </w:sdt>
    <w:p w:rsidR="00656B26" w:rsidRPr="00BE5A6A" w:rsidRDefault="00656B26" w:rsidP="003A1BD9">
      <w:pPr>
        <w:autoSpaceDE w:val="0"/>
        <w:autoSpaceDN w:val="0"/>
        <w:adjustRightInd w:val="0"/>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p>
    <w:p w:rsidR="00BE5A6A" w:rsidRPr="00BE5A6A" w:rsidRDefault="00BE5A6A" w:rsidP="003A1BD9">
      <w:pPr>
        <w:autoSpaceDE w:val="0"/>
        <w:autoSpaceDN w:val="0"/>
        <w:adjustRightInd w:val="0"/>
        <w:rPr>
          <w:rFonts w:ascii="Arial" w:hAnsi="Arial" w:cs="Arial"/>
          <w:b/>
          <w:bCs/>
          <w:sz w:val="24"/>
          <w:szCs w:val="24"/>
          <w:lang w:val="en-US"/>
        </w:rPr>
      </w:pPr>
    </w:p>
    <w:p w:rsidR="00BE5A6A" w:rsidRPr="00BE5A6A" w:rsidRDefault="00BE5A6A" w:rsidP="003A1BD9">
      <w:pPr>
        <w:autoSpaceDE w:val="0"/>
        <w:autoSpaceDN w:val="0"/>
        <w:adjustRightInd w:val="0"/>
        <w:rPr>
          <w:rFonts w:ascii="Arial" w:hAnsi="Arial" w:cs="Arial"/>
          <w:b/>
          <w:bCs/>
          <w:sz w:val="24"/>
          <w:szCs w:val="24"/>
          <w:lang w:val="en-US"/>
        </w:rPr>
      </w:pPr>
    </w:p>
    <w:p w:rsidR="000C2F5B" w:rsidRDefault="000C2F5B" w:rsidP="003A1BD9">
      <w:pPr>
        <w:autoSpaceDE w:val="0"/>
        <w:autoSpaceDN w:val="0"/>
        <w:adjustRightInd w:val="0"/>
        <w:ind w:left="3600" w:firstLine="720"/>
        <w:rPr>
          <w:rFonts w:ascii="Arial" w:hAnsi="Arial" w:cs="Arial"/>
          <w:sz w:val="19"/>
          <w:szCs w:val="19"/>
          <w:lang w:val="en-US"/>
        </w:rPr>
        <w:sectPr w:rsidR="000C2F5B" w:rsidSect="00325DB0">
          <w:headerReference w:type="even" r:id="rId49"/>
          <w:headerReference w:type="default" r:id="rId50"/>
          <w:footerReference w:type="default" r:id="rId51"/>
          <w:headerReference w:type="first" r:id="rId52"/>
          <w:footerReference w:type="first" r:id="rId53"/>
          <w:pgSz w:w="11907" w:h="16834" w:code="9"/>
          <w:pgMar w:top="1418" w:right="1077" w:bottom="1134" w:left="851" w:header="567" w:footer="851" w:gutter="0"/>
          <w:cols w:space="720"/>
          <w:titlePg/>
          <w:docGrid w:linePitch="272"/>
        </w:sectPr>
      </w:pPr>
    </w:p>
    <w:p w:rsidR="00402E60" w:rsidRPr="000C2F5B" w:rsidRDefault="00402E60" w:rsidP="000C2F5B">
      <w:pPr>
        <w:autoSpaceDE w:val="0"/>
        <w:autoSpaceDN w:val="0"/>
        <w:adjustRightInd w:val="0"/>
        <w:rPr>
          <w:rFonts w:ascii="Arial" w:hAnsi="Arial" w:cs="Arial"/>
          <w:sz w:val="19"/>
          <w:szCs w:val="19"/>
          <w:lang w:val="en-US"/>
        </w:rPr>
      </w:pPr>
      <w:r w:rsidRPr="00070D17">
        <w:rPr>
          <w:rFonts w:ascii="Arial" w:hAnsi="Arial" w:cs="Arial"/>
          <w:b/>
          <w:bCs/>
          <w:sz w:val="24"/>
          <w:szCs w:val="19"/>
          <w:lang w:val="en-US"/>
        </w:rPr>
        <w:lastRenderedPageBreak/>
        <w:t>Introduction</w:t>
      </w:r>
    </w:p>
    <w:p w:rsidR="00402E60" w:rsidRPr="004212F6" w:rsidRDefault="00402E60" w:rsidP="00402E60">
      <w:pPr>
        <w:rPr>
          <w:rFonts w:ascii="Arial" w:eastAsia="Calibri" w:hAnsi="Arial" w:cs="Arial"/>
          <w:b/>
          <w:szCs w:val="19"/>
        </w:rPr>
      </w:pPr>
      <w:r w:rsidRPr="004212F6">
        <w:rPr>
          <w:rFonts w:ascii="Arial" w:eastAsia="Calibri" w:hAnsi="Arial" w:cs="Arial"/>
          <w:b/>
          <w:szCs w:val="19"/>
        </w:rPr>
        <w:t>Homes for Northumberland</w:t>
      </w:r>
    </w:p>
    <w:p w:rsidR="00402E60" w:rsidRDefault="00402E60" w:rsidP="00402E60">
      <w:pPr>
        <w:spacing w:after="0"/>
        <w:jc w:val="left"/>
        <w:rPr>
          <w:rFonts w:ascii="Arial" w:eastAsia="Calibri" w:hAnsi="Arial" w:cs="Arial"/>
          <w:sz w:val="19"/>
          <w:szCs w:val="19"/>
        </w:rPr>
      </w:pPr>
      <w:r w:rsidRPr="00070D17">
        <w:rPr>
          <w:rFonts w:ascii="Arial" w:eastAsia="Calibri" w:hAnsi="Arial" w:cs="Arial"/>
          <w:sz w:val="19"/>
          <w:szCs w:val="19"/>
        </w:rPr>
        <w:t xml:space="preserve">Homes for Northumberland Limited is an Arm’s Length Management Organisation </w:t>
      </w:r>
      <w:r>
        <w:rPr>
          <w:rFonts w:ascii="Arial" w:eastAsia="Calibri" w:hAnsi="Arial" w:cs="Arial"/>
          <w:sz w:val="19"/>
          <w:szCs w:val="19"/>
        </w:rPr>
        <w:t xml:space="preserve">(ALMO) </w:t>
      </w:r>
      <w:r w:rsidRPr="00070D17">
        <w:rPr>
          <w:rFonts w:ascii="Arial" w:eastAsia="Calibri" w:hAnsi="Arial" w:cs="Arial"/>
          <w:sz w:val="19"/>
          <w:szCs w:val="19"/>
        </w:rPr>
        <w:t xml:space="preserve">of Northumberland County Council.  The principal activities of the </w:t>
      </w:r>
      <w:r>
        <w:rPr>
          <w:rFonts w:ascii="Arial" w:eastAsia="Calibri" w:hAnsi="Arial" w:cs="Arial"/>
          <w:sz w:val="19"/>
          <w:szCs w:val="19"/>
        </w:rPr>
        <w:t>Company</w:t>
      </w:r>
      <w:r w:rsidRPr="00070D17">
        <w:rPr>
          <w:rFonts w:ascii="Arial" w:eastAsia="Calibri" w:hAnsi="Arial" w:cs="Arial"/>
          <w:sz w:val="19"/>
          <w:szCs w:val="19"/>
        </w:rPr>
        <w:t xml:space="preserve"> are the management, day to day maintenance and capital improvement programme of council housing stock on behalf of the Council.  The </w:t>
      </w:r>
      <w:r>
        <w:rPr>
          <w:rFonts w:ascii="Arial" w:eastAsia="Calibri" w:hAnsi="Arial" w:cs="Arial"/>
          <w:sz w:val="19"/>
          <w:szCs w:val="19"/>
        </w:rPr>
        <w:t>Company</w:t>
      </w:r>
      <w:r w:rsidRPr="00070D17">
        <w:rPr>
          <w:rFonts w:ascii="Arial" w:eastAsia="Calibri" w:hAnsi="Arial" w:cs="Arial"/>
          <w:sz w:val="19"/>
          <w:szCs w:val="19"/>
        </w:rPr>
        <w:t xml:space="preserve"> also owns, manages and lets 22 properties (4 in shared ownership) on a site in Allendale in Northumberland.</w:t>
      </w:r>
    </w:p>
    <w:p w:rsidR="00402E60" w:rsidRPr="00070D17" w:rsidRDefault="00402E60" w:rsidP="00402E60">
      <w:pPr>
        <w:spacing w:after="0"/>
        <w:jc w:val="left"/>
        <w:rPr>
          <w:rFonts w:ascii="Arial" w:eastAsia="Calibri" w:hAnsi="Arial" w:cs="Arial"/>
          <w:sz w:val="19"/>
          <w:szCs w:val="19"/>
        </w:rPr>
      </w:pPr>
    </w:p>
    <w:p w:rsidR="00402E60" w:rsidRDefault="00402E60" w:rsidP="00402E60">
      <w:pPr>
        <w:spacing w:after="0"/>
        <w:jc w:val="left"/>
        <w:rPr>
          <w:rFonts w:ascii="Arial" w:eastAsia="Calibri" w:hAnsi="Arial" w:cs="Arial"/>
          <w:sz w:val="19"/>
          <w:szCs w:val="19"/>
        </w:rPr>
      </w:pPr>
      <w:r w:rsidRPr="00070D17">
        <w:rPr>
          <w:rFonts w:ascii="Arial" w:eastAsia="Calibri" w:hAnsi="Arial" w:cs="Arial"/>
          <w:sz w:val="19"/>
          <w:szCs w:val="19"/>
        </w:rPr>
        <w:t xml:space="preserve">The </w:t>
      </w:r>
      <w:r>
        <w:rPr>
          <w:rFonts w:ascii="Arial" w:eastAsia="Calibri" w:hAnsi="Arial" w:cs="Arial"/>
          <w:sz w:val="19"/>
          <w:szCs w:val="19"/>
        </w:rPr>
        <w:t>Company</w:t>
      </w:r>
      <w:r w:rsidRPr="00070D17">
        <w:rPr>
          <w:rFonts w:ascii="Arial" w:eastAsia="Calibri" w:hAnsi="Arial" w:cs="Arial"/>
          <w:sz w:val="19"/>
          <w:szCs w:val="19"/>
        </w:rPr>
        <w:t xml:space="preserve"> was </w:t>
      </w:r>
      <w:r>
        <w:rPr>
          <w:rFonts w:ascii="Arial" w:eastAsia="Calibri" w:hAnsi="Arial" w:cs="Arial"/>
          <w:sz w:val="19"/>
          <w:szCs w:val="19"/>
        </w:rPr>
        <w:t xml:space="preserve">initially </w:t>
      </w:r>
      <w:r w:rsidRPr="00070D17">
        <w:rPr>
          <w:rFonts w:ascii="Arial" w:eastAsia="Calibri" w:hAnsi="Arial" w:cs="Arial"/>
          <w:sz w:val="19"/>
          <w:szCs w:val="19"/>
        </w:rPr>
        <w:t>established as Blyth Valley Housing Limited under rou</w:t>
      </w:r>
      <w:r>
        <w:rPr>
          <w:rFonts w:ascii="Arial" w:eastAsia="Calibri" w:hAnsi="Arial" w:cs="Arial"/>
          <w:sz w:val="19"/>
          <w:szCs w:val="19"/>
        </w:rPr>
        <w:t xml:space="preserve">nd two of the Government’s Arms </w:t>
      </w:r>
      <w:r w:rsidRPr="00070D17">
        <w:rPr>
          <w:rFonts w:ascii="Arial" w:eastAsia="Calibri" w:hAnsi="Arial" w:cs="Arial"/>
          <w:sz w:val="19"/>
          <w:szCs w:val="19"/>
        </w:rPr>
        <w:t xml:space="preserve">Length Housing Management Programme.  It was incorporated on 15 February 2002 and commenced operations on 1 April 2002.  On 1 April 2009 it changed its name to Homes for Northumberland Limited following local government reorganisation in Northumberland when six district councils and the county council merged into one unitary authority.  On that date, the </w:t>
      </w:r>
      <w:r>
        <w:rPr>
          <w:rFonts w:ascii="Arial" w:eastAsia="Calibri" w:hAnsi="Arial" w:cs="Arial"/>
          <w:sz w:val="19"/>
          <w:szCs w:val="19"/>
        </w:rPr>
        <w:t>Company</w:t>
      </w:r>
      <w:r w:rsidRPr="00070D17">
        <w:rPr>
          <w:rFonts w:ascii="Arial" w:eastAsia="Calibri" w:hAnsi="Arial" w:cs="Arial"/>
          <w:sz w:val="19"/>
          <w:szCs w:val="19"/>
        </w:rPr>
        <w:t xml:space="preserve"> expanded to take on responsibility for the management of the Council’s housing stock in the district of Alnwick as well as Blyth Valley.</w:t>
      </w:r>
    </w:p>
    <w:p w:rsidR="00402E60" w:rsidRPr="00070D17" w:rsidRDefault="00402E60" w:rsidP="00402E60">
      <w:pPr>
        <w:spacing w:after="0"/>
        <w:jc w:val="left"/>
        <w:rPr>
          <w:rFonts w:ascii="Arial" w:eastAsia="Calibri" w:hAnsi="Arial" w:cs="Arial"/>
          <w:sz w:val="19"/>
          <w:szCs w:val="19"/>
        </w:rPr>
      </w:pPr>
    </w:p>
    <w:p w:rsidR="00402E60" w:rsidRDefault="00402E60" w:rsidP="00402E60">
      <w:pPr>
        <w:spacing w:after="0"/>
        <w:rPr>
          <w:rFonts w:ascii="Arial" w:eastAsia="Calibri" w:hAnsi="Arial" w:cs="Arial"/>
          <w:sz w:val="19"/>
          <w:szCs w:val="19"/>
        </w:rPr>
      </w:pPr>
      <w:r w:rsidRPr="00070D17">
        <w:rPr>
          <w:rFonts w:ascii="Arial" w:eastAsia="Calibri" w:hAnsi="Arial" w:cs="Arial"/>
          <w:sz w:val="19"/>
          <w:szCs w:val="19"/>
        </w:rPr>
        <w:t xml:space="preserve">The </w:t>
      </w:r>
      <w:r>
        <w:rPr>
          <w:rFonts w:ascii="Arial" w:eastAsia="Calibri" w:hAnsi="Arial" w:cs="Arial"/>
          <w:sz w:val="19"/>
          <w:szCs w:val="19"/>
        </w:rPr>
        <w:t>Company</w:t>
      </w:r>
      <w:r w:rsidRPr="00070D17">
        <w:rPr>
          <w:rFonts w:ascii="Arial" w:eastAsia="Calibri" w:hAnsi="Arial" w:cs="Arial"/>
          <w:sz w:val="19"/>
          <w:szCs w:val="19"/>
        </w:rPr>
        <w:t>’s vision is to create and sustain better homes, services, neighbourhoods and communities.</w:t>
      </w:r>
    </w:p>
    <w:p w:rsidR="00402E60" w:rsidRPr="00070D17" w:rsidRDefault="00402E60" w:rsidP="00402E60">
      <w:pPr>
        <w:spacing w:after="0"/>
        <w:rPr>
          <w:rFonts w:ascii="Arial" w:eastAsia="Calibri" w:hAnsi="Arial" w:cs="Arial"/>
          <w:sz w:val="19"/>
          <w:szCs w:val="19"/>
        </w:rPr>
      </w:pPr>
    </w:p>
    <w:p w:rsidR="00402E60" w:rsidRDefault="00402E60" w:rsidP="00402E60">
      <w:pPr>
        <w:spacing w:after="0"/>
        <w:rPr>
          <w:rFonts w:ascii="Arial" w:eastAsia="Calibri" w:hAnsi="Arial" w:cs="Arial"/>
          <w:sz w:val="19"/>
          <w:szCs w:val="19"/>
        </w:rPr>
      </w:pPr>
      <w:r w:rsidRPr="00070D17">
        <w:rPr>
          <w:rFonts w:ascii="Arial" w:eastAsia="Calibri" w:hAnsi="Arial" w:cs="Arial"/>
          <w:sz w:val="19"/>
          <w:szCs w:val="19"/>
        </w:rPr>
        <w:t xml:space="preserve">The </w:t>
      </w:r>
      <w:r>
        <w:rPr>
          <w:rFonts w:ascii="Arial" w:eastAsia="Calibri" w:hAnsi="Arial" w:cs="Arial"/>
          <w:sz w:val="19"/>
          <w:szCs w:val="19"/>
        </w:rPr>
        <w:t>Company</w:t>
      </w:r>
      <w:r w:rsidRPr="00070D17">
        <w:rPr>
          <w:rFonts w:ascii="Arial" w:eastAsia="Calibri" w:hAnsi="Arial" w:cs="Arial"/>
          <w:sz w:val="19"/>
          <w:szCs w:val="19"/>
        </w:rPr>
        <w:t>’s core objectives are to:</w:t>
      </w:r>
    </w:p>
    <w:p w:rsidR="00402E60" w:rsidRPr="00070D17" w:rsidRDefault="00402E60" w:rsidP="00402E60">
      <w:pPr>
        <w:spacing w:after="0"/>
        <w:rPr>
          <w:rFonts w:ascii="Arial" w:eastAsia="Calibri" w:hAnsi="Arial" w:cs="Arial"/>
          <w:sz w:val="19"/>
          <w:szCs w:val="19"/>
        </w:rPr>
      </w:pPr>
    </w:p>
    <w:p w:rsidR="00402E60" w:rsidRPr="00070D17" w:rsidRDefault="00402E60" w:rsidP="00402E60">
      <w:pPr>
        <w:numPr>
          <w:ilvl w:val="0"/>
          <w:numId w:val="20"/>
        </w:numPr>
        <w:spacing w:after="0"/>
        <w:jc w:val="left"/>
        <w:rPr>
          <w:rFonts w:ascii="Arial" w:eastAsia="Calibri" w:hAnsi="Arial" w:cs="Arial"/>
          <w:sz w:val="19"/>
          <w:szCs w:val="19"/>
        </w:rPr>
      </w:pPr>
      <w:r w:rsidRPr="00070D17">
        <w:rPr>
          <w:rFonts w:ascii="Arial" w:eastAsia="Calibri" w:hAnsi="Arial" w:cs="Arial"/>
          <w:sz w:val="19"/>
          <w:szCs w:val="19"/>
        </w:rPr>
        <w:t>Deliver improving services;</w:t>
      </w:r>
    </w:p>
    <w:p w:rsidR="00402E60" w:rsidRPr="00070D17" w:rsidRDefault="00402E60" w:rsidP="00402E60">
      <w:pPr>
        <w:numPr>
          <w:ilvl w:val="0"/>
          <w:numId w:val="20"/>
        </w:numPr>
        <w:spacing w:after="0"/>
        <w:jc w:val="left"/>
        <w:rPr>
          <w:rFonts w:ascii="Arial" w:eastAsia="Calibri" w:hAnsi="Arial" w:cs="Arial"/>
          <w:sz w:val="19"/>
          <w:szCs w:val="19"/>
        </w:rPr>
      </w:pPr>
      <w:r w:rsidRPr="00070D17">
        <w:rPr>
          <w:rFonts w:ascii="Arial" w:eastAsia="Calibri" w:hAnsi="Arial" w:cs="Arial"/>
          <w:sz w:val="19"/>
          <w:szCs w:val="19"/>
        </w:rPr>
        <w:t>Be a well-run and cost effective business;</w:t>
      </w:r>
    </w:p>
    <w:p w:rsidR="00402E60" w:rsidRPr="00070D17" w:rsidRDefault="00402E60" w:rsidP="00402E60">
      <w:pPr>
        <w:numPr>
          <w:ilvl w:val="0"/>
          <w:numId w:val="20"/>
        </w:numPr>
        <w:spacing w:after="0"/>
        <w:jc w:val="left"/>
        <w:rPr>
          <w:rFonts w:ascii="Arial" w:eastAsia="Calibri" w:hAnsi="Arial" w:cs="Arial"/>
          <w:sz w:val="19"/>
          <w:szCs w:val="19"/>
        </w:rPr>
      </w:pPr>
      <w:r w:rsidRPr="00070D17">
        <w:rPr>
          <w:rFonts w:ascii="Arial" w:eastAsia="Calibri" w:hAnsi="Arial" w:cs="Arial"/>
          <w:sz w:val="19"/>
          <w:szCs w:val="19"/>
        </w:rPr>
        <w:t>Empower tenants; and</w:t>
      </w:r>
    </w:p>
    <w:p w:rsidR="00402E60" w:rsidRPr="00070D17" w:rsidRDefault="00402E60" w:rsidP="00402E60">
      <w:pPr>
        <w:numPr>
          <w:ilvl w:val="0"/>
          <w:numId w:val="20"/>
        </w:numPr>
        <w:spacing w:after="0"/>
        <w:jc w:val="left"/>
        <w:rPr>
          <w:rFonts w:ascii="Arial" w:eastAsia="Calibri" w:hAnsi="Arial" w:cs="Arial"/>
          <w:sz w:val="19"/>
          <w:szCs w:val="19"/>
        </w:rPr>
      </w:pPr>
      <w:r w:rsidRPr="00070D17">
        <w:rPr>
          <w:rFonts w:ascii="Arial" w:eastAsia="Calibri" w:hAnsi="Arial" w:cs="Arial"/>
          <w:sz w:val="19"/>
          <w:szCs w:val="19"/>
        </w:rPr>
        <w:t>Build a stronger future.</w:t>
      </w:r>
    </w:p>
    <w:p w:rsidR="00402E60" w:rsidRDefault="00402E60" w:rsidP="00402E60">
      <w:pPr>
        <w:autoSpaceDE w:val="0"/>
        <w:autoSpaceDN w:val="0"/>
        <w:adjustRightInd w:val="0"/>
        <w:rPr>
          <w:rFonts w:ascii="Arial" w:hAnsi="Arial" w:cs="Arial"/>
          <w:b/>
          <w:bCs/>
          <w:sz w:val="19"/>
          <w:szCs w:val="19"/>
          <w:lang w:val="en-US"/>
        </w:rPr>
      </w:pPr>
    </w:p>
    <w:p w:rsidR="00402E60" w:rsidRPr="00070D17" w:rsidRDefault="00402E60" w:rsidP="00402E60">
      <w:pPr>
        <w:autoSpaceDE w:val="0"/>
        <w:autoSpaceDN w:val="0"/>
        <w:adjustRightInd w:val="0"/>
        <w:rPr>
          <w:rFonts w:ascii="Arial" w:hAnsi="Arial" w:cs="Arial"/>
          <w:b/>
          <w:bCs/>
          <w:sz w:val="24"/>
          <w:szCs w:val="19"/>
          <w:lang w:val="en-US"/>
        </w:rPr>
      </w:pPr>
      <w:r w:rsidRPr="00070D17">
        <w:rPr>
          <w:rFonts w:ascii="Arial" w:hAnsi="Arial" w:cs="Arial"/>
          <w:b/>
          <w:bCs/>
          <w:sz w:val="24"/>
          <w:szCs w:val="19"/>
          <w:lang w:val="en-US"/>
        </w:rPr>
        <w:t>Strategic Report</w:t>
      </w:r>
    </w:p>
    <w:p w:rsidR="00402E60" w:rsidRPr="004212F6" w:rsidRDefault="00402E60" w:rsidP="00402E60">
      <w:pPr>
        <w:rPr>
          <w:rFonts w:ascii="Arial" w:eastAsia="Calibri" w:hAnsi="Arial" w:cs="Arial"/>
          <w:b/>
          <w:szCs w:val="19"/>
        </w:rPr>
      </w:pPr>
      <w:r w:rsidRPr="004212F6">
        <w:rPr>
          <w:rFonts w:ascii="Arial" w:eastAsia="Calibri" w:hAnsi="Arial" w:cs="Arial"/>
          <w:b/>
          <w:szCs w:val="19"/>
        </w:rPr>
        <w:t>Review of the Business – Operational Issues</w:t>
      </w:r>
    </w:p>
    <w:p w:rsidR="00E45C96" w:rsidRDefault="0010236C" w:rsidP="00402E60">
      <w:pPr>
        <w:rPr>
          <w:rFonts w:ascii="Arial" w:eastAsia="Calibri" w:hAnsi="Arial" w:cs="Arial"/>
          <w:sz w:val="19"/>
          <w:szCs w:val="19"/>
        </w:rPr>
      </w:pPr>
      <w:r>
        <w:rPr>
          <w:rFonts w:ascii="Arial" w:eastAsia="Calibri" w:hAnsi="Arial" w:cs="Arial"/>
          <w:sz w:val="19"/>
          <w:szCs w:val="19"/>
        </w:rPr>
        <w:t xml:space="preserve">The key operational development for Homes for Northumberland in 2014./15 was an announcement by Northumberland County Council that it would review the future delivery of housing management.  </w:t>
      </w:r>
      <w:r w:rsidR="00B94FC3">
        <w:rPr>
          <w:rFonts w:ascii="Arial" w:eastAsia="Calibri" w:hAnsi="Arial" w:cs="Arial"/>
          <w:sz w:val="19"/>
          <w:szCs w:val="19"/>
        </w:rPr>
        <w:t>This led to a decision in June 2015 to end the arm’s length management arrangement for the Council’s housing stock</w:t>
      </w:r>
      <w:r w:rsidR="000C2F5B">
        <w:rPr>
          <w:rFonts w:ascii="Arial" w:eastAsia="Calibri" w:hAnsi="Arial" w:cs="Arial"/>
          <w:sz w:val="19"/>
          <w:szCs w:val="19"/>
        </w:rPr>
        <w:t>.</w:t>
      </w:r>
      <w:r w:rsidR="00E45C96">
        <w:rPr>
          <w:rFonts w:ascii="Arial" w:eastAsia="Calibri" w:hAnsi="Arial" w:cs="Arial"/>
          <w:sz w:val="19"/>
          <w:szCs w:val="19"/>
        </w:rPr>
        <w:t xml:space="preserve"> </w:t>
      </w:r>
      <w:r w:rsidR="000C2F5B">
        <w:rPr>
          <w:rFonts w:ascii="Arial" w:eastAsia="Calibri" w:hAnsi="Arial" w:cs="Arial"/>
          <w:sz w:val="19"/>
          <w:szCs w:val="19"/>
        </w:rPr>
        <w:t>These new arrangements will begin from</w:t>
      </w:r>
      <w:r w:rsidR="00E45C96">
        <w:rPr>
          <w:rFonts w:ascii="Arial" w:eastAsia="Calibri" w:hAnsi="Arial" w:cs="Arial"/>
          <w:sz w:val="19"/>
          <w:szCs w:val="19"/>
        </w:rPr>
        <w:t xml:space="preserve"> 1 September 2015.  The Council proposes to transfer all of Homes for Northumberland</w:t>
      </w:r>
      <w:r w:rsidR="000C2F5B">
        <w:rPr>
          <w:rFonts w:ascii="Arial" w:eastAsia="Calibri" w:hAnsi="Arial" w:cs="Arial"/>
          <w:sz w:val="19"/>
          <w:szCs w:val="19"/>
        </w:rPr>
        <w:t xml:space="preserve"> Limited</w:t>
      </w:r>
      <w:r w:rsidR="00E45C96">
        <w:rPr>
          <w:rFonts w:ascii="Arial" w:eastAsia="Calibri" w:hAnsi="Arial" w:cs="Arial"/>
          <w:sz w:val="19"/>
          <w:szCs w:val="19"/>
        </w:rPr>
        <w:t xml:space="preserve">’s staff at that date on a TUPE basis into the Council. </w:t>
      </w:r>
      <w:r w:rsidR="000C2F5B">
        <w:rPr>
          <w:rFonts w:ascii="Arial" w:eastAsia="Calibri" w:hAnsi="Arial" w:cs="Arial"/>
          <w:sz w:val="19"/>
          <w:szCs w:val="19"/>
        </w:rPr>
        <w:t>Homes for Northumberland Limited will continue to operate after this date but only</w:t>
      </w:r>
      <w:r w:rsidR="00D261DE">
        <w:rPr>
          <w:rFonts w:ascii="Arial" w:eastAsia="Calibri" w:hAnsi="Arial" w:cs="Arial"/>
          <w:sz w:val="19"/>
          <w:szCs w:val="19"/>
        </w:rPr>
        <w:t xml:space="preserve"> as a vehicle to hold the 22 properties in Allendale.</w:t>
      </w:r>
      <w:r w:rsidR="00E45C96">
        <w:rPr>
          <w:rFonts w:ascii="Arial" w:eastAsia="Calibri" w:hAnsi="Arial" w:cs="Arial"/>
          <w:sz w:val="19"/>
          <w:szCs w:val="19"/>
        </w:rPr>
        <w:t xml:space="preserve"> </w:t>
      </w:r>
    </w:p>
    <w:p w:rsidR="00402E60" w:rsidRPr="00070D17" w:rsidRDefault="00D261DE" w:rsidP="00402E60">
      <w:pPr>
        <w:rPr>
          <w:rFonts w:ascii="Arial" w:eastAsia="Calibri" w:hAnsi="Arial" w:cs="Arial"/>
          <w:sz w:val="19"/>
          <w:szCs w:val="19"/>
        </w:rPr>
      </w:pPr>
      <w:r>
        <w:rPr>
          <w:rFonts w:ascii="Arial" w:eastAsia="Calibri" w:hAnsi="Arial" w:cs="Arial"/>
          <w:sz w:val="19"/>
          <w:szCs w:val="19"/>
        </w:rPr>
        <w:t>Against this background, d</w:t>
      </w:r>
      <w:r w:rsidR="00402E60">
        <w:rPr>
          <w:rFonts w:ascii="Arial" w:eastAsia="Calibri" w:hAnsi="Arial" w:cs="Arial"/>
          <w:sz w:val="19"/>
          <w:szCs w:val="19"/>
        </w:rPr>
        <w:t>uring 2014/15 we continued to diversify the activities undertaken by Homes for Northumberland</w:t>
      </w:r>
      <w:r>
        <w:rPr>
          <w:rFonts w:ascii="Arial" w:eastAsia="Calibri" w:hAnsi="Arial" w:cs="Arial"/>
          <w:sz w:val="19"/>
          <w:szCs w:val="19"/>
        </w:rPr>
        <w:t xml:space="preserve"> Limited</w:t>
      </w:r>
      <w:r w:rsidR="00402E60">
        <w:rPr>
          <w:rFonts w:ascii="Arial" w:eastAsia="Calibri" w:hAnsi="Arial" w:cs="Arial"/>
          <w:sz w:val="19"/>
          <w:szCs w:val="19"/>
        </w:rPr>
        <w:t>, building on the additional work that had been generated in 2013/14.  At the end of the year, we had projects that covered a variety of new business streams including:</w:t>
      </w:r>
    </w:p>
    <w:p w:rsidR="00402E60" w:rsidRPr="00070D17" w:rsidRDefault="00402E60" w:rsidP="00402E60">
      <w:pPr>
        <w:numPr>
          <w:ilvl w:val="0"/>
          <w:numId w:val="40"/>
        </w:numPr>
        <w:spacing w:after="0"/>
        <w:jc w:val="left"/>
        <w:rPr>
          <w:rFonts w:ascii="Arial" w:eastAsia="Calibri" w:hAnsi="Arial" w:cs="Arial"/>
          <w:sz w:val="19"/>
          <w:szCs w:val="19"/>
        </w:rPr>
      </w:pPr>
      <w:r w:rsidRPr="00070D17">
        <w:rPr>
          <w:rFonts w:ascii="Arial" w:eastAsia="Calibri" w:hAnsi="Arial" w:cs="Arial"/>
          <w:sz w:val="19"/>
          <w:szCs w:val="19"/>
        </w:rPr>
        <w:t>Enhancing specific elements of the Council’s housing stock in-house rather than contracting work out to third parties</w:t>
      </w:r>
      <w:r>
        <w:rPr>
          <w:rFonts w:ascii="Arial" w:eastAsia="Calibri" w:hAnsi="Arial" w:cs="Arial"/>
          <w:sz w:val="19"/>
          <w:szCs w:val="19"/>
        </w:rPr>
        <w:t xml:space="preserve"> – focussing on central heating, kitchen and bathroom installation</w:t>
      </w:r>
      <w:r w:rsidRPr="00070D17">
        <w:rPr>
          <w:rFonts w:ascii="Arial" w:eastAsia="Calibri" w:hAnsi="Arial" w:cs="Arial"/>
          <w:sz w:val="19"/>
          <w:szCs w:val="19"/>
        </w:rPr>
        <w:t>;</w:t>
      </w:r>
    </w:p>
    <w:p w:rsidR="00402E60" w:rsidRPr="00070D17" w:rsidRDefault="00402E60" w:rsidP="00402E60">
      <w:pPr>
        <w:numPr>
          <w:ilvl w:val="0"/>
          <w:numId w:val="39"/>
        </w:numPr>
        <w:spacing w:after="0"/>
        <w:jc w:val="left"/>
        <w:rPr>
          <w:rFonts w:ascii="Arial" w:eastAsia="Calibri" w:hAnsi="Arial" w:cs="Arial"/>
          <w:sz w:val="19"/>
          <w:szCs w:val="19"/>
        </w:rPr>
      </w:pPr>
      <w:r w:rsidRPr="00070D17">
        <w:rPr>
          <w:rFonts w:ascii="Arial" w:eastAsia="Calibri" w:hAnsi="Arial" w:cs="Arial"/>
          <w:sz w:val="19"/>
          <w:szCs w:val="19"/>
        </w:rPr>
        <w:t>Working directly with Northumberland County Council to install solar voltaic panels</w:t>
      </w:r>
      <w:r>
        <w:rPr>
          <w:rFonts w:ascii="Arial" w:eastAsia="Calibri" w:hAnsi="Arial" w:cs="Arial"/>
          <w:sz w:val="19"/>
          <w:szCs w:val="19"/>
        </w:rPr>
        <w:t xml:space="preserve"> on the roofs of council houses;</w:t>
      </w:r>
    </w:p>
    <w:p w:rsidR="00402E60" w:rsidRDefault="00402E60" w:rsidP="00402E60">
      <w:pPr>
        <w:numPr>
          <w:ilvl w:val="0"/>
          <w:numId w:val="40"/>
        </w:numPr>
        <w:spacing w:after="0"/>
        <w:jc w:val="left"/>
        <w:rPr>
          <w:rFonts w:ascii="Arial" w:eastAsia="Calibri" w:hAnsi="Arial" w:cs="Arial"/>
          <w:sz w:val="19"/>
          <w:szCs w:val="19"/>
        </w:rPr>
      </w:pPr>
      <w:r w:rsidRPr="00070D17">
        <w:rPr>
          <w:rFonts w:ascii="Arial" w:eastAsia="Calibri" w:hAnsi="Arial" w:cs="Arial"/>
          <w:sz w:val="19"/>
          <w:szCs w:val="19"/>
        </w:rPr>
        <w:t>Managing facilities at the Haltwhistle Integrated Care Scheme. This pioneering purpose-built scheme is one of the first to provide hospital and social care support under one roof.  The facility has 12 extra-care flats on the ground floor and 15 hospital beds providing rehabilitation suppor</w:t>
      </w:r>
      <w:r w:rsidR="003B58A7">
        <w:rPr>
          <w:rFonts w:ascii="Arial" w:eastAsia="Calibri" w:hAnsi="Arial" w:cs="Arial"/>
          <w:sz w:val="19"/>
          <w:szCs w:val="19"/>
        </w:rPr>
        <w:t>t and care for elderly patients;</w:t>
      </w:r>
    </w:p>
    <w:p w:rsidR="00402E60" w:rsidRDefault="003B58A7" w:rsidP="00402E60">
      <w:pPr>
        <w:numPr>
          <w:ilvl w:val="0"/>
          <w:numId w:val="40"/>
        </w:numPr>
        <w:spacing w:after="0"/>
        <w:jc w:val="left"/>
        <w:rPr>
          <w:rFonts w:ascii="Arial" w:eastAsia="Calibri" w:hAnsi="Arial" w:cs="Arial"/>
          <w:sz w:val="19"/>
          <w:szCs w:val="19"/>
        </w:rPr>
      </w:pPr>
      <w:r>
        <w:rPr>
          <w:rFonts w:ascii="Arial" w:eastAsia="Calibri" w:hAnsi="Arial" w:cs="Arial"/>
          <w:sz w:val="19"/>
          <w:szCs w:val="19"/>
        </w:rPr>
        <w:t>Undertaken project management work on behalf of Northumberland County Council in relation to their council house new build programme;</w:t>
      </w:r>
      <w:r w:rsidR="00A62C75">
        <w:rPr>
          <w:rFonts w:ascii="Arial" w:eastAsia="Calibri" w:hAnsi="Arial" w:cs="Arial"/>
          <w:sz w:val="19"/>
          <w:szCs w:val="19"/>
        </w:rPr>
        <w:t xml:space="preserve"> and</w:t>
      </w:r>
    </w:p>
    <w:p w:rsidR="00402E60" w:rsidRPr="00070D17" w:rsidRDefault="00A62C75" w:rsidP="00402E60">
      <w:pPr>
        <w:numPr>
          <w:ilvl w:val="0"/>
          <w:numId w:val="40"/>
        </w:numPr>
        <w:spacing w:after="0"/>
        <w:jc w:val="left"/>
        <w:rPr>
          <w:rFonts w:ascii="Arial" w:eastAsia="Calibri" w:hAnsi="Arial" w:cs="Arial"/>
          <w:sz w:val="19"/>
          <w:szCs w:val="19"/>
        </w:rPr>
      </w:pPr>
      <w:r>
        <w:rPr>
          <w:rFonts w:ascii="Arial" w:eastAsia="Calibri" w:hAnsi="Arial" w:cs="Arial"/>
          <w:sz w:val="19"/>
          <w:szCs w:val="19"/>
        </w:rPr>
        <w:t>Repairs and maintenance work on the Council’s wider (ie non-housing) property portfolio.</w:t>
      </w:r>
    </w:p>
    <w:p w:rsidR="00402E60" w:rsidRDefault="00402E60" w:rsidP="00402E60">
      <w:pPr>
        <w:spacing w:after="0"/>
        <w:ind w:left="720"/>
        <w:jc w:val="left"/>
        <w:rPr>
          <w:rFonts w:ascii="Arial" w:eastAsia="Calibri" w:hAnsi="Arial" w:cs="Arial"/>
          <w:sz w:val="19"/>
          <w:szCs w:val="19"/>
        </w:rPr>
      </w:pPr>
    </w:p>
    <w:p w:rsidR="00402E60" w:rsidRDefault="00402E60" w:rsidP="00402E60">
      <w:pPr>
        <w:spacing w:after="0"/>
        <w:jc w:val="left"/>
        <w:rPr>
          <w:rFonts w:ascii="Arial" w:eastAsia="Calibri" w:hAnsi="Arial" w:cs="Arial"/>
          <w:sz w:val="19"/>
          <w:szCs w:val="19"/>
        </w:rPr>
      </w:pPr>
      <w:r>
        <w:rPr>
          <w:rFonts w:ascii="Arial" w:eastAsia="Calibri" w:hAnsi="Arial" w:cs="Arial"/>
          <w:sz w:val="19"/>
          <w:szCs w:val="19"/>
        </w:rPr>
        <w:t xml:space="preserve">These additional activities have seen an increase in staff in the business - </w:t>
      </w:r>
      <w:r w:rsidRPr="00070D17">
        <w:rPr>
          <w:rFonts w:ascii="Arial" w:eastAsia="Calibri" w:hAnsi="Arial" w:cs="Arial"/>
          <w:sz w:val="19"/>
          <w:szCs w:val="19"/>
        </w:rPr>
        <w:t>from 211 at the start of the</w:t>
      </w:r>
      <w:r>
        <w:rPr>
          <w:rFonts w:ascii="Arial" w:eastAsia="Calibri" w:hAnsi="Arial" w:cs="Arial"/>
          <w:sz w:val="19"/>
          <w:szCs w:val="19"/>
        </w:rPr>
        <w:t xml:space="preserve"> year to 263 at the year-end.  The 263 includes 18 apprentices.  The additional revenue generated by the new business has helped to transform the financial position of the Company (discussed below).  Some elements of the new work have attracted national attention and have been nominated for a variety of awards.  For example:</w:t>
      </w:r>
    </w:p>
    <w:p w:rsidR="00402E60" w:rsidRDefault="00402E60" w:rsidP="00402E60">
      <w:pPr>
        <w:spacing w:after="0"/>
        <w:jc w:val="left"/>
        <w:rPr>
          <w:rFonts w:ascii="Arial" w:eastAsia="Calibri" w:hAnsi="Arial" w:cs="Arial"/>
          <w:sz w:val="19"/>
          <w:szCs w:val="19"/>
        </w:rPr>
      </w:pPr>
    </w:p>
    <w:p w:rsidR="00402E60" w:rsidRPr="005E19F7" w:rsidRDefault="00402E60" w:rsidP="00402E60">
      <w:pPr>
        <w:numPr>
          <w:ilvl w:val="0"/>
          <w:numId w:val="40"/>
        </w:numPr>
        <w:spacing w:after="0"/>
        <w:jc w:val="left"/>
        <w:rPr>
          <w:rFonts w:ascii="Arial" w:eastAsia="Calibri" w:hAnsi="Arial" w:cs="Arial"/>
          <w:sz w:val="19"/>
          <w:szCs w:val="19"/>
        </w:rPr>
      </w:pPr>
      <w:r w:rsidRPr="005E19F7">
        <w:rPr>
          <w:rFonts w:ascii="Arial" w:eastAsia="Calibri" w:hAnsi="Arial" w:cs="Arial"/>
          <w:sz w:val="19"/>
          <w:szCs w:val="19"/>
        </w:rPr>
        <w:t xml:space="preserve">RICS North East Renaissance awards Regeneration category – </w:t>
      </w:r>
      <w:r w:rsidR="003B58A7">
        <w:rPr>
          <w:rFonts w:ascii="Arial" w:eastAsia="Calibri" w:hAnsi="Arial" w:cs="Arial"/>
          <w:sz w:val="19"/>
          <w:szCs w:val="19"/>
        </w:rPr>
        <w:t>Haltwhistle</w:t>
      </w:r>
      <w:r w:rsidRPr="005E19F7">
        <w:rPr>
          <w:rFonts w:ascii="Arial" w:eastAsia="Calibri" w:hAnsi="Arial" w:cs="Arial"/>
          <w:sz w:val="19"/>
          <w:szCs w:val="19"/>
        </w:rPr>
        <w:t xml:space="preserve"> and Ark Royal development</w:t>
      </w:r>
      <w:r w:rsidR="003B58A7">
        <w:rPr>
          <w:rFonts w:ascii="Arial" w:eastAsia="Calibri" w:hAnsi="Arial" w:cs="Arial"/>
          <w:sz w:val="19"/>
          <w:szCs w:val="19"/>
        </w:rPr>
        <w:t>s;</w:t>
      </w:r>
    </w:p>
    <w:p w:rsidR="00402E60" w:rsidRPr="00D42B05" w:rsidRDefault="00402E60" w:rsidP="00402E60">
      <w:pPr>
        <w:numPr>
          <w:ilvl w:val="0"/>
          <w:numId w:val="40"/>
        </w:numPr>
        <w:spacing w:after="0"/>
        <w:jc w:val="left"/>
        <w:rPr>
          <w:rFonts w:ascii="Arial" w:eastAsia="Calibri" w:hAnsi="Arial" w:cs="Arial"/>
          <w:sz w:val="19"/>
          <w:szCs w:val="19"/>
        </w:rPr>
      </w:pPr>
      <w:r w:rsidRPr="00D42B05">
        <w:rPr>
          <w:rFonts w:ascii="Arial" w:eastAsia="Calibri" w:hAnsi="Arial" w:cs="Arial"/>
          <w:sz w:val="19"/>
          <w:szCs w:val="19"/>
        </w:rPr>
        <w:t>Chartered Institute of Housing, North East Celebrating the Region award 2015 – Inspirational Project of the Year – Haltwhistle Integrated Care Facility</w:t>
      </w:r>
      <w:r w:rsidR="003B58A7">
        <w:rPr>
          <w:rFonts w:ascii="Arial" w:eastAsia="Calibri" w:hAnsi="Arial" w:cs="Arial"/>
          <w:sz w:val="19"/>
          <w:szCs w:val="19"/>
        </w:rPr>
        <w:t>; and</w:t>
      </w:r>
    </w:p>
    <w:p w:rsidR="00402E60" w:rsidRPr="00D42B05" w:rsidRDefault="00402E60" w:rsidP="00402E60">
      <w:pPr>
        <w:numPr>
          <w:ilvl w:val="0"/>
          <w:numId w:val="40"/>
        </w:numPr>
        <w:spacing w:after="0"/>
        <w:jc w:val="left"/>
        <w:rPr>
          <w:rFonts w:ascii="Arial" w:eastAsia="Calibri" w:hAnsi="Arial" w:cs="Arial"/>
          <w:sz w:val="19"/>
          <w:szCs w:val="19"/>
        </w:rPr>
      </w:pPr>
      <w:r w:rsidRPr="00D42B05">
        <w:rPr>
          <w:rFonts w:ascii="Arial" w:eastAsia="Calibri" w:hAnsi="Arial" w:cs="Arial"/>
          <w:sz w:val="19"/>
          <w:szCs w:val="19"/>
        </w:rPr>
        <w:t>UK Housing Awards 2015 – Highly Commended – Diversifying your Business – Haltwhistle Integrated Care Facility</w:t>
      </w:r>
    </w:p>
    <w:p w:rsidR="00402E60" w:rsidRDefault="00402E60" w:rsidP="00402E60">
      <w:pPr>
        <w:spacing w:after="0"/>
        <w:ind w:left="360"/>
        <w:jc w:val="left"/>
        <w:rPr>
          <w:rFonts w:ascii="Arial" w:eastAsia="Calibri" w:hAnsi="Arial" w:cs="Arial"/>
          <w:sz w:val="19"/>
          <w:szCs w:val="19"/>
        </w:rPr>
      </w:pPr>
    </w:p>
    <w:p w:rsidR="004F2030" w:rsidRDefault="004F2030" w:rsidP="00402E60">
      <w:pPr>
        <w:spacing w:after="0"/>
        <w:jc w:val="left"/>
        <w:rPr>
          <w:rFonts w:ascii="Arial" w:eastAsia="Calibri" w:hAnsi="Arial" w:cs="Arial"/>
          <w:sz w:val="19"/>
          <w:szCs w:val="19"/>
        </w:rPr>
      </w:pPr>
    </w:p>
    <w:p w:rsidR="001F1404" w:rsidRDefault="001F1404" w:rsidP="00402E60">
      <w:pPr>
        <w:spacing w:after="0"/>
        <w:jc w:val="left"/>
        <w:rPr>
          <w:rFonts w:ascii="Arial" w:eastAsia="Calibri" w:hAnsi="Arial" w:cs="Arial"/>
          <w:sz w:val="19"/>
          <w:szCs w:val="19"/>
        </w:rPr>
      </w:pPr>
    </w:p>
    <w:p w:rsidR="004F2030" w:rsidRDefault="004F2030" w:rsidP="00402E60">
      <w:pPr>
        <w:spacing w:after="0"/>
        <w:jc w:val="left"/>
        <w:rPr>
          <w:rFonts w:ascii="Arial" w:eastAsia="Calibri" w:hAnsi="Arial" w:cs="Arial"/>
          <w:sz w:val="19"/>
          <w:szCs w:val="19"/>
        </w:rPr>
      </w:pPr>
    </w:p>
    <w:p w:rsidR="004F2030" w:rsidRPr="004F2030" w:rsidRDefault="004F2030" w:rsidP="00402E60">
      <w:pPr>
        <w:spacing w:after="0"/>
        <w:jc w:val="left"/>
        <w:rPr>
          <w:rFonts w:ascii="Arial" w:eastAsia="Calibri" w:hAnsi="Arial" w:cs="Arial"/>
          <w:b/>
          <w:sz w:val="19"/>
          <w:szCs w:val="19"/>
        </w:rPr>
      </w:pPr>
      <w:r w:rsidRPr="004F2030">
        <w:rPr>
          <w:rFonts w:ascii="Arial" w:eastAsia="Calibri" w:hAnsi="Arial" w:cs="Arial"/>
          <w:b/>
          <w:sz w:val="19"/>
          <w:szCs w:val="19"/>
        </w:rPr>
        <w:lastRenderedPageBreak/>
        <w:t>Strategic Report (continued)</w:t>
      </w:r>
    </w:p>
    <w:p w:rsidR="004F2030" w:rsidRPr="004F2030" w:rsidRDefault="004F2030" w:rsidP="00402E60">
      <w:pPr>
        <w:spacing w:after="0"/>
        <w:jc w:val="left"/>
        <w:rPr>
          <w:rFonts w:ascii="Arial" w:eastAsia="Calibri" w:hAnsi="Arial" w:cs="Arial"/>
          <w:b/>
          <w:sz w:val="19"/>
          <w:szCs w:val="19"/>
        </w:rPr>
      </w:pPr>
      <w:r w:rsidRPr="004F2030">
        <w:rPr>
          <w:rFonts w:ascii="Arial" w:eastAsia="Calibri" w:hAnsi="Arial" w:cs="Arial"/>
          <w:b/>
          <w:sz w:val="19"/>
          <w:szCs w:val="19"/>
        </w:rPr>
        <w:t xml:space="preserve">Review of the Business </w:t>
      </w:r>
      <w:r>
        <w:rPr>
          <w:rFonts w:ascii="Arial" w:eastAsia="Calibri" w:hAnsi="Arial" w:cs="Arial"/>
          <w:b/>
          <w:sz w:val="19"/>
          <w:szCs w:val="19"/>
        </w:rPr>
        <w:t xml:space="preserve">- </w:t>
      </w:r>
      <w:r w:rsidRPr="004F2030">
        <w:rPr>
          <w:rFonts w:ascii="Arial" w:eastAsia="Calibri" w:hAnsi="Arial" w:cs="Arial"/>
          <w:b/>
          <w:sz w:val="19"/>
          <w:szCs w:val="19"/>
        </w:rPr>
        <w:t>Operational Issues (continued)</w:t>
      </w:r>
    </w:p>
    <w:p w:rsidR="004F2030" w:rsidRDefault="004F2030" w:rsidP="00402E60">
      <w:pPr>
        <w:spacing w:after="0"/>
        <w:jc w:val="left"/>
        <w:rPr>
          <w:rFonts w:ascii="Arial" w:eastAsia="Calibri" w:hAnsi="Arial" w:cs="Arial"/>
          <w:sz w:val="19"/>
          <w:szCs w:val="19"/>
        </w:rPr>
      </w:pPr>
    </w:p>
    <w:p w:rsidR="00402E60" w:rsidRDefault="00402E60" w:rsidP="00402E60">
      <w:pPr>
        <w:spacing w:after="0"/>
        <w:jc w:val="left"/>
        <w:rPr>
          <w:rFonts w:ascii="Arial" w:eastAsia="Calibri" w:hAnsi="Arial" w:cs="Arial"/>
          <w:sz w:val="19"/>
          <w:szCs w:val="19"/>
        </w:rPr>
      </w:pPr>
      <w:r>
        <w:rPr>
          <w:rFonts w:ascii="Arial" w:eastAsia="Calibri" w:hAnsi="Arial" w:cs="Arial"/>
          <w:sz w:val="19"/>
          <w:szCs w:val="19"/>
        </w:rPr>
        <w:t>Despite these</w:t>
      </w:r>
      <w:r w:rsidRPr="00070D17">
        <w:rPr>
          <w:rFonts w:ascii="Arial" w:eastAsia="Calibri" w:hAnsi="Arial" w:cs="Arial"/>
          <w:sz w:val="19"/>
          <w:szCs w:val="19"/>
        </w:rPr>
        <w:t xml:space="preserve"> developments </w:t>
      </w:r>
      <w:r>
        <w:rPr>
          <w:rFonts w:ascii="Arial" w:eastAsia="Calibri" w:hAnsi="Arial" w:cs="Arial"/>
          <w:sz w:val="19"/>
          <w:szCs w:val="19"/>
        </w:rPr>
        <w:t>in</w:t>
      </w:r>
      <w:r w:rsidRPr="00070D17">
        <w:rPr>
          <w:rFonts w:ascii="Arial" w:eastAsia="Calibri" w:hAnsi="Arial" w:cs="Arial"/>
          <w:sz w:val="19"/>
          <w:szCs w:val="19"/>
        </w:rPr>
        <w:t xml:space="preserve"> the business, our focus during 201</w:t>
      </w:r>
      <w:r>
        <w:rPr>
          <w:rFonts w:ascii="Arial" w:eastAsia="Calibri" w:hAnsi="Arial" w:cs="Arial"/>
          <w:sz w:val="19"/>
          <w:szCs w:val="19"/>
        </w:rPr>
        <w:t>4</w:t>
      </w:r>
      <w:r w:rsidRPr="00070D17">
        <w:rPr>
          <w:rFonts w:ascii="Arial" w:eastAsia="Calibri" w:hAnsi="Arial" w:cs="Arial"/>
          <w:sz w:val="19"/>
          <w:szCs w:val="19"/>
        </w:rPr>
        <w:t>/1</w:t>
      </w:r>
      <w:r>
        <w:rPr>
          <w:rFonts w:ascii="Arial" w:eastAsia="Calibri" w:hAnsi="Arial" w:cs="Arial"/>
          <w:sz w:val="19"/>
          <w:szCs w:val="19"/>
        </w:rPr>
        <w:t>5</w:t>
      </w:r>
      <w:r w:rsidRPr="00070D17">
        <w:rPr>
          <w:rFonts w:ascii="Arial" w:eastAsia="Calibri" w:hAnsi="Arial" w:cs="Arial"/>
          <w:sz w:val="19"/>
          <w:szCs w:val="19"/>
        </w:rPr>
        <w:t xml:space="preserve"> has been resolutely on our core </w:t>
      </w:r>
      <w:r w:rsidR="00A62C75">
        <w:rPr>
          <w:rFonts w:ascii="Arial" w:eastAsia="Calibri" w:hAnsi="Arial" w:cs="Arial"/>
          <w:sz w:val="19"/>
          <w:szCs w:val="19"/>
        </w:rPr>
        <w:t>housing management</w:t>
      </w:r>
      <w:r w:rsidRPr="00070D17">
        <w:rPr>
          <w:rFonts w:ascii="Arial" w:eastAsia="Calibri" w:hAnsi="Arial" w:cs="Arial"/>
          <w:sz w:val="19"/>
          <w:szCs w:val="19"/>
        </w:rPr>
        <w:t xml:space="preserve">.  </w:t>
      </w:r>
      <w:r>
        <w:rPr>
          <w:rFonts w:ascii="Arial" w:eastAsia="Calibri" w:hAnsi="Arial" w:cs="Arial"/>
          <w:sz w:val="19"/>
          <w:szCs w:val="19"/>
        </w:rPr>
        <w:t>Our ambition is to build on a survey of tenants undertaken in February 2014 that showed a high level of satisfaction with our services.</w:t>
      </w:r>
    </w:p>
    <w:p w:rsidR="00402E60" w:rsidRDefault="00402E60" w:rsidP="00402E60">
      <w:pPr>
        <w:spacing w:after="0"/>
        <w:jc w:val="left"/>
        <w:rPr>
          <w:rFonts w:ascii="Arial" w:eastAsia="Calibri" w:hAnsi="Arial" w:cs="Arial"/>
          <w:sz w:val="19"/>
          <w:szCs w:val="19"/>
        </w:rPr>
      </w:pPr>
    </w:p>
    <w:p w:rsidR="003B58A7" w:rsidRPr="003B58A7" w:rsidRDefault="00402E60" w:rsidP="00402E60">
      <w:pPr>
        <w:spacing w:after="0"/>
        <w:jc w:val="left"/>
        <w:rPr>
          <w:rFonts w:ascii="Arial" w:eastAsia="Calibri" w:hAnsi="Arial" w:cs="Arial"/>
          <w:sz w:val="19"/>
          <w:szCs w:val="19"/>
        </w:rPr>
      </w:pPr>
      <w:r w:rsidRPr="003B58A7">
        <w:rPr>
          <w:rFonts w:ascii="Arial" w:eastAsia="Calibri" w:hAnsi="Arial" w:cs="Arial"/>
          <w:sz w:val="19"/>
          <w:szCs w:val="19"/>
        </w:rPr>
        <w:t>Homes for Northumberland</w:t>
      </w:r>
      <w:r w:rsidR="004F2030">
        <w:rPr>
          <w:rFonts w:ascii="Arial" w:eastAsia="Calibri" w:hAnsi="Arial" w:cs="Arial"/>
          <w:sz w:val="19"/>
          <w:szCs w:val="19"/>
        </w:rPr>
        <w:t xml:space="preserve"> Limited</w:t>
      </w:r>
      <w:r w:rsidRPr="003B58A7">
        <w:rPr>
          <w:rFonts w:ascii="Arial" w:eastAsia="Calibri" w:hAnsi="Arial" w:cs="Arial"/>
          <w:sz w:val="19"/>
          <w:szCs w:val="19"/>
        </w:rPr>
        <w:t>’s housing management activities in 2014/15 have continued against the background of significan</w:t>
      </w:r>
      <w:r w:rsidR="003B58A7">
        <w:rPr>
          <w:rFonts w:ascii="Arial" w:eastAsia="Calibri" w:hAnsi="Arial" w:cs="Arial"/>
          <w:sz w:val="19"/>
          <w:szCs w:val="19"/>
        </w:rPr>
        <w:t>t changes to the welfare system</w:t>
      </w:r>
      <w:r w:rsidRPr="003B58A7">
        <w:rPr>
          <w:rFonts w:ascii="Arial" w:eastAsia="Calibri" w:hAnsi="Arial" w:cs="Arial"/>
          <w:sz w:val="19"/>
          <w:szCs w:val="19"/>
        </w:rPr>
        <w:t xml:space="preserve"> and in particular, the impact of under-occupancy on housing benefit entitlement.  These new rules, which affect people of working age, reduce Housing Benefit payments in the circumstance in which a home is considered to be too large for the household's needs.  We have monitored the impact of these changes on our customer base. </w:t>
      </w:r>
    </w:p>
    <w:p w:rsidR="003B58A7" w:rsidRPr="003B58A7" w:rsidRDefault="003B58A7" w:rsidP="00402E60">
      <w:pPr>
        <w:spacing w:after="0"/>
        <w:jc w:val="left"/>
        <w:rPr>
          <w:rFonts w:ascii="Arial" w:eastAsia="Calibri" w:hAnsi="Arial" w:cs="Arial"/>
          <w:sz w:val="19"/>
          <w:szCs w:val="19"/>
        </w:rPr>
      </w:pPr>
    </w:p>
    <w:p w:rsidR="00402E60" w:rsidRPr="003B58A7" w:rsidRDefault="00402E60" w:rsidP="00402E60">
      <w:pPr>
        <w:spacing w:after="0"/>
        <w:jc w:val="left"/>
        <w:rPr>
          <w:rFonts w:ascii="Arial" w:eastAsia="Calibri" w:hAnsi="Arial" w:cs="Arial"/>
          <w:sz w:val="19"/>
          <w:szCs w:val="19"/>
        </w:rPr>
      </w:pPr>
      <w:r w:rsidRPr="003B58A7">
        <w:rPr>
          <w:rFonts w:ascii="Arial" w:eastAsia="Calibri" w:hAnsi="Arial" w:cs="Arial"/>
          <w:sz w:val="19"/>
          <w:szCs w:val="19"/>
        </w:rPr>
        <w:t xml:space="preserve">The </w:t>
      </w:r>
      <w:r w:rsidR="003B58A7">
        <w:rPr>
          <w:rFonts w:ascii="Arial" w:eastAsia="Calibri" w:hAnsi="Arial" w:cs="Arial"/>
          <w:sz w:val="19"/>
          <w:szCs w:val="19"/>
        </w:rPr>
        <w:t>operational</w:t>
      </w:r>
      <w:r w:rsidRPr="003B58A7">
        <w:rPr>
          <w:rFonts w:ascii="Arial" w:eastAsia="Calibri" w:hAnsi="Arial" w:cs="Arial"/>
          <w:sz w:val="19"/>
          <w:szCs w:val="19"/>
        </w:rPr>
        <w:t xml:space="preserve"> issues for Homes for Northumberland</w:t>
      </w:r>
      <w:r w:rsidR="004F2030">
        <w:rPr>
          <w:rFonts w:ascii="Arial" w:eastAsia="Calibri" w:hAnsi="Arial" w:cs="Arial"/>
          <w:sz w:val="19"/>
          <w:szCs w:val="19"/>
        </w:rPr>
        <w:t xml:space="preserve"> Limited</w:t>
      </w:r>
      <w:r w:rsidRPr="003B58A7">
        <w:rPr>
          <w:rFonts w:ascii="Arial" w:eastAsia="Calibri" w:hAnsi="Arial" w:cs="Arial"/>
          <w:sz w:val="19"/>
          <w:szCs w:val="19"/>
        </w:rPr>
        <w:t xml:space="preserve"> </w:t>
      </w:r>
      <w:r w:rsidR="003B58A7">
        <w:rPr>
          <w:rFonts w:ascii="Arial" w:eastAsia="Calibri" w:hAnsi="Arial" w:cs="Arial"/>
          <w:sz w:val="19"/>
          <w:szCs w:val="19"/>
        </w:rPr>
        <w:t>in the year were</w:t>
      </w:r>
      <w:r w:rsidRPr="003B58A7">
        <w:rPr>
          <w:rFonts w:ascii="Arial" w:eastAsia="Calibri" w:hAnsi="Arial" w:cs="Arial"/>
          <w:sz w:val="19"/>
          <w:szCs w:val="19"/>
        </w:rPr>
        <w:t>:</w:t>
      </w:r>
    </w:p>
    <w:p w:rsidR="00402E60" w:rsidRPr="00E75170" w:rsidRDefault="00402E60" w:rsidP="00402E60">
      <w:pPr>
        <w:spacing w:after="0"/>
        <w:jc w:val="left"/>
        <w:rPr>
          <w:rFonts w:ascii="Arial" w:eastAsia="Calibri" w:hAnsi="Arial" w:cs="Arial"/>
          <w:sz w:val="19"/>
          <w:szCs w:val="19"/>
          <w:highlight w:val="yellow"/>
        </w:rPr>
      </w:pPr>
    </w:p>
    <w:p w:rsidR="003B58A7" w:rsidRPr="003B58A7" w:rsidRDefault="004F2030" w:rsidP="003B58A7">
      <w:pPr>
        <w:numPr>
          <w:ilvl w:val="0"/>
          <w:numId w:val="41"/>
        </w:numPr>
        <w:spacing w:after="0"/>
        <w:jc w:val="left"/>
        <w:rPr>
          <w:rFonts w:ascii="Arial" w:eastAsia="Calibri" w:hAnsi="Arial" w:cs="Arial"/>
          <w:sz w:val="19"/>
          <w:szCs w:val="19"/>
        </w:rPr>
      </w:pPr>
      <w:r>
        <w:rPr>
          <w:rFonts w:ascii="Arial" w:eastAsia="Calibri" w:hAnsi="Arial" w:cs="Arial"/>
          <w:sz w:val="19"/>
          <w:szCs w:val="19"/>
        </w:rPr>
        <w:t xml:space="preserve">There have been significant pressures from void properties. </w:t>
      </w:r>
      <w:r w:rsidR="003B58A7" w:rsidRPr="003B58A7">
        <w:rPr>
          <w:rFonts w:ascii="Arial" w:eastAsia="Calibri" w:hAnsi="Arial" w:cs="Arial"/>
          <w:sz w:val="19"/>
          <w:szCs w:val="19"/>
        </w:rPr>
        <w:t xml:space="preserve">The total number of properties </w:t>
      </w:r>
      <w:r w:rsidR="003B58A7">
        <w:rPr>
          <w:rFonts w:ascii="Arial" w:eastAsia="Calibri" w:hAnsi="Arial" w:cs="Arial"/>
          <w:sz w:val="19"/>
          <w:szCs w:val="19"/>
        </w:rPr>
        <w:t>in</w:t>
      </w:r>
      <w:r w:rsidR="003B58A7" w:rsidRPr="003B58A7">
        <w:rPr>
          <w:rFonts w:ascii="Arial" w:eastAsia="Calibri" w:hAnsi="Arial" w:cs="Arial"/>
          <w:sz w:val="19"/>
          <w:szCs w:val="19"/>
        </w:rPr>
        <w:t xml:space="preserve"> the year that </w:t>
      </w:r>
      <w:r>
        <w:rPr>
          <w:rFonts w:ascii="Arial" w:eastAsia="Calibri" w:hAnsi="Arial" w:cs="Arial"/>
          <w:sz w:val="19"/>
          <w:szCs w:val="19"/>
        </w:rPr>
        <w:t>have been void</w:t>
      </w:r>
      <w:r w:rsidR="003B58A7" w:rsidRPr="003B58A7">
        <w:rPr>
          <w:rFonts w:ascii="Arial" w:eastAsia="Calibri" w:hAnsi="Arial" w:cs="Arial"/>
          <w:sz w:val="19"/>
          <w:szCs w:val="19"/>
        </w:rPr>
        <w:t xml:space="preserve"> is 840. 125</w:t>
      </w:r>
      <w:r w:rsidR="003B58A7">
        <w:rPr>
          <w:rFonts w:ascii="Arial" w:eastAsia="Calibri" w:hAnsi="Arial" w:cs="Arial"/>
          <w:sz w:val="19"/>
          <w:szCs w:val="19"/>
        </w:rPr>
        <w:t xml:space="preserve"> of the 840 properties are long-</w:t>
      </w:r>
      <w:r w:rsidR="003B58A7" w:rsidRPr="003B58A7">
        <w:rPr>
          <w:rFonts w:ascii="Arial" w:eastAsia="Calibri" w:hAnsi="Arial" w:cs="Arial"/>
          <w:sz w:val="19"/>
          <w:szCs w:val="19"/>
        </w:rPr>
        <w:t xml:space="preserve">standing voids where small capital schemes were required to bring the properties up to standard. </w:t>
      </w:r>
      <w:r w:rsidR="003B58A7">
        <w:rPr>
          <w:rFonts w:ascii="Arial" w:eastAsia="Calibri" w:hAnsi="Arial" w:cs="Arial"/>
          <w:sz w:val="19"/>
          <w:szCs w:val="19"/>
        </w:rPr>
        <w:t xml:space="preserve"> </w:t>
      </w:r>
      <w:r w:rsidR="003B58A7" w:rsidRPr="003B58A7">
        <w:rPr>
          <w:rFonts w:ascii="Arial" w:eastAsia="Calibri" w:hAnsi="Arial" w:cs="Arial"/>
          <w:sz w:val="19"/>
          <w:szCs w:val="19"/>
        </w:rPr>
        <w:t>Collectively</w:t>
      </w:r>
      <w:r w:rsidR="003B58A7">
        <w:rPr>
          <w:rFonts w:ascii="Arial" w:eastAsia="Calibri" w:hAnsi="Arial" w:cs="Arial"/>
          <w:sz w:val="19"/>
          <w:szCs w:val="19"/>
        </w:rPr>
        <w:t>,</w:t>
      </w:r>
      <w:r w:rsidR="003B58A7" w:rsidRPr="003B58A7">
        <w:rPr>
          <w:rFonts w:ascii="Arial" w:eastAsia="Calibri" w:hAnsi="Arial" w:cs="Arial"/>
          <w:sz w:val="19"/>
          <w:szCs w:val="19"/>
        </w:rPr>
        <w:t xml:space="preserve"> this equates to 1.25% of total rent lost at the end of the year which translates to £288,671.71of potential revenue for the Co</w:t>
      </w:r>
      <w:r w:rsidR="003B58A7">
        <w:rPr>
          <w:rFonts w:ascii="Arial" w:eastAsia="Calibri" w:hAnsi="Arial" w:cs="Arial"/>
          <w:sz w:val="19"/>
          <w:szCs w:val="19"/>
        </w:rPr>
        <w:t>uncil;</w:t>
      </w:r>
      <w:r w:rsidR="003B58A7" w:rsidRPr="003B58A7">
        <w:rPr>
          <w:rFonts w:ascii="Arial" w:eastAsia="Calibri" w:hAnsi="Arial" w:cs="Arial"/>
          <w:sz w:val="19"/>
          <w:szCs w:val="19"/>
        </w:rPr>
        <w:t xml:space="preserve"> </w:t>
      </w:r>
    </w:p>
    <w:p w:rsidR="003B58A7" w:rsidRPr="003B58A7" w:rsidRDefault="003B58A7" w:rsidP="003B58A7">
      <w:pPr>
        <w:numPr>
          <w:ilvl w:val="0"/>
          <w:numId w:val="41"/>
        </w:numPr>
        <w:spacing w:after="0"/>
        <w:jc w:val="left"/>
        <w:rPr>
          <w:rFonts w:ascii="Arial" w:eastAsia="Calibri" w:hAnsi="Arial" w:cs="Arial"/>
          <w:sz w:val="19"/>
          <w:szCs w:val="19"/>
        </w:rPr>
      </w:pPr>
      <w:r w:rsidRPr="003B58A7">
        <w:rPr>
          <w:rFonts w:ascii="Arial" w:eastAsia="Calibri" w:hAnsi="Arial" w:cs="Arial"/>
          <w:sz w:val="19"/>
          <w:szCs w:val="19"/>
        </w:rPr>
        <w:t xml:space="preserve">Of the 715 properties allocated, 356 took longer than 30 days to allocate. This was due to a high number of properties requiring significant amounts of work and a number of voids which were hard to let and had to be advertised on more than three occasions. </w:t>
      </w:r>
    </w:p>
    <w:p w:rsidR="003B58A7" w:rsidRPr="003B58A7" w:rsidRDefault="003B58A7" w:rsidP="003B58A7">
      <w:pPr>
        <w:numPr>
          <w:ilvl w:val="0"/>
          <w:numId w:val="41"/>
        </w:numPr>
        <w:spacing w:after="0"/>
        <w:jc w:val="left"/>
        <w:rPr>
          <w:rFonts w:ascii="Arial" w:eastAsia="Calibri" w:hAnsi="Arial" w:cs="Arial"/>
          <w:sz w:val="19"/>
          <w:szCs w:val="19"/>
        </w:rPr>
      </w:pPr>
      <w:r w:rsidRPr="003B58A7">
        <w:rPr>
          <w:rFonts w:ascii="Arial" w:eastAsia="Calibri" w:hAnsi="Arial" w:cs="Arial"/>
          <w:sz w:val="19"/>
          <w:szCs w:val="19"/>
        </w:rPr>
        <w:t xml:space="preserve">It is clear that rent loss owing to voids has increased but, rent charges have increased significantly in the same period along with the number of voids, </w:t>
      </w:r>
      <w:r w:rsidR="004F2030">
        <w:rPr>
          <w:rFonts w:ascii="Arial" w:eastAsia="Calibri" w:hAnsi="Arial" w:cs="Arial"/>
          <w:sz w:val="19"/>
          <w:szCs w:val="19"/>
        </w:rPr>
        <w:t>so this outcome is unsurprising.</w:t>
      </w:r>
      <w:r w:rsidRPr="003B58A7">
        <w:rPr>
          <w:rFonts w:ascii="Arial" w:eastAsia="Calibri" w:hAnsi="Arial" w:cs="Arial"/>
          <w:sz w:val="19"/>
          <w:szCs w:val="19"/>
        </w:rPr>
        <w:t xml:space="preserve"> </w:t>
      </w:r>
    </w:p>
    <w:p w:rsidR="003B58A7" w:rsidRPr="003B58A7" w:rsidRDefault="003B58A7" w:rsidP="003B58A7">
      <w:pPr>
        <w:numPr>
          <w:ilvl w:val="0"/>
          <w:numId w:val="41"/>
        </w:numPr>
        <w:spacing w:after="0"/>
        <w:jc w:val="left"/>
        <w:rPr>
          <w:rFonts w:ascii="Arial" w:eastAsia="Calibri" w:hAnsi="Arial" w:cs="Arial"/>
          <w:sz w:val="19"/>
          <w:szCs w:val="19"/>
        </w:rPr>
      </w:pPr>
      <w:r w:rsidRPr="003B58A7">
        <w:rPr>
          <w:rFonts w:ascii="Arial" w:eastAsia="Calibri" w:hAnsi="Arial" w:cs="Arial"/>
          <w:sz w:val="19"/>
          <w:szCs w:val="19"/>
        </w:rPr>
        <w:t>We have had some particular difficulties with demand for sheltered accommodation. During 2014/15 we had 48 voids of which 30 properties were allocated outside of the 30 day pri</w:t>
      </w:r>
      <w:r w:rsidR="004F2030">
        <w:rPr>
          <w:rFonts w:ascii="Arial" w:eastAsia="Calibri" w:hAnsi="Arial" w:cs="Arial"/>
          <w:sz w:val="19"/>
          <w:szCs w:val="19"/>
        </w:rPr>
        <w:t xml:space="preserve">ority with some properties taking up to </w:t>
      </w:r>
      <w:r w:rsidRPr="003B58A7">
        <w:rPr>
          <w:rFonts w:ascii="Arial" w:eastAsia="Calibri" w:hAnsi="Arial" w:cs="Arial"/>
          <w:sz w:val="19"/>
          <w:szCs w:val="19"/>
        </w:rPr>
        <w:t xml:space="preserve">80 days to allocate. This was due to the simple fact that there was little to no demand within </w:t>
      </w:r>
      <w:r w:rsidR="004F2030">
        <w:rPr>
          <w:rFonts w:ascii="Arial" w:eastAsia="Calibri" w:hAnsi="Arial" w:cs="Arial"/>
          <w:sz w:val="19"/>
          <w:szCs w:val="19"/>
        </w:rPr>
        <w:t>particular schemes.</w:t>
      </w:r>
    </w:p>
    <w:p w:rsidR="003B58A7" w:rsidRPr="003B58A7" w:rsidRDefault="003B58A7" w:rsidP="003B58A7">
      <w:pPr>
        <w:numPr>
          <w:ilvl w:val="0"/>
          <w:numId w:val="41"/>
        </w:numPr>
        <w:spacing w:after="0"/>
        <w:jc w:val="left"/>
        <w:rPr>
          <w:rFonts w:ascii="Arial" w:eastAsia="Calibri" w:hAnsi="Arial" w:cs="Arial"/>
          <w:sz w:val="19"/>
          <w:szCs w:val="19"/>
        </w:rPr>
      </w:pPr>
      <w:r w:rsidRPr="003B58A7">
        <w:rPr>
          <w:rFonts w:ascii="Arial" w:eastAsia="Calibri" w:hAnsi="Arial" w:cs="Arial"/>
          <w:sz w:val="19"/>
          <w:szCs w:val="19"/>
        </w:rPr>
        <w:t xml:space="preserve">There has been a 53% increase in </w:t>
      </w:r>
      <w:r w:rsidR="004F2030">
        <w:rPr>
          <w:rFonts w:ascii="Arial" w:eastAsia="Calibri" w:hAnsi="Arial" w:cs="Arial"/>
          <w:sz w:val="19"/>
          <w:szCs w:val="19"/>
        </w:rPr>
        <w:t>the number of empty homes</w:t>
      </w:r>
      <w:r w:rsidRPr="003B58A7">
        <w:rPr>
          <w:rFonts w:ascii="Arial" w:eastAsia="Calibri" w:hAnsi="Arial" w:cs="Arial"/>
          <w:sz w:val="19"/>
          <w:szCs w:val="19"/>
        </w:rPr>
        <w:t xml:space="preserve"> in 2014/15 compared with four years ago. Whilst it is recognised that performance has decreased in comparison to four years ago, this has to be viewed within a wider context when we have had little or no increase in resource to meet the upsurge in demand.  We have also had a lot of new build activity that has ha</w:t>
      </w:r>
      <w:r w:rsidR="00C14310">
        <w:rPr>
          <w:rFonts w:ascii="Arial" w:eastAsia="Calibri" w:hAnsi="Arial" w:cs="Arial"/>
          <w:sz w:val="19"/>
          <w:szCs w:val="19"/>
        </w:rPr>
        <w:t>d a medium term impact on supply</w:t>
      </w:r>
      <w:r w:rsidRPr="003B58A7">
        <w:rPr>
          <w:rFonts w:ascii="Arial" w:eastAsia="Calibri" w:hAnsi="Arial" w:cs="Arial"/>
          <w:sz w:val="19"/>
          <w:szCs w:val="19"/>
        </w:rPr>
        <w:t xml:space="preserve">. </w:t>
      </w:r>
    </w:p>
    <w:p w:rsidR="003B58A7" w:rsidRPr="003B58A7" w:rsidRDefault="003B58A7" w:rsidP="003B58A7">
      <w:pPr>
        <w:numPr>
          <w:ilvl w:val="0"/>
          <w:numId w:val="41"/>
        </w:numPr>
        <w:spacing w:after="0"/>
        <w:jc w:val="left"/>
        <w:rPr>
          <w:rFonts w:ascii="Arial" w:eastAsia="Calibri" w:hAnsi="Arial" w:cs="Arial"/>
          <w:sz w:val="19"/>
          <w:szCs w:val="19"/>
        </w:rPr>
      </w:pPr>
      <w:r w:rsidRPr="003B58A7">
        <w:rPr>
          <w:rFonts w:ascii="Arial" w:eastAsia="Calibri" w:hAnsi="Arial" w:cs="Arial"/>
          <w:sz w:val="19"/>
          <w:szCs w:val="19"/>
        </w:rPr>
        <w:t>We have seen a wide range of properties that have proved difficult to let, from three bedroom maisonettes in Blyth town centre to sheltered accommodation in Alnwick and surrounding rural areas.  We have embarked on a more proactive marketing campaign for hard to let properties, including advertising on the HfN Facebook page, ‘estate agent style’ To-Let boards and also by professional networking with our partners in, for example, Occupational Health.</w:t>
      </w:r>
    </w:p>
    <w:p w:rsidR="003B58A7" w:rsidRPr="003B58A7" w:rsidRDefault="003B58A7" w:rsidP="003B58A7">
      <w:pPr>
        <w:numPr>
          <w:ilvl w:val="0"/>
          <w:numId w:val="41"/>
        </w:numPr>
        <w:spacing w:after="0"/>
        <w:jc w:val="left"/>
        <w:rPr>
          <w:rFonts w:ascii="Arial" w:eastAsia="Calibri" w:hAnsi="Arial" w:cs="Arial"/>
          <w:sz w:val="19"/>
          <w:szCs w:val="19"/>
        </w:rPr>
      </w:pPr>
      <w:r w:rsidRPr="003B58A7">
        <w:rPr>
          <w:rFonts w:ascii="Arial" w:eastAsia="Calibri" w:hAnsi="Arial" w:cs="Arial"/>
          <w:sz w:val="19"/>
          <w:szCs w:val="19"/>
        </w:rPr>
        <w:t>The Lettings Team recently concluded a pilot scheme</w:t>
      </w:r>
      <w:r w:rsidR="00C14310">
        <w:rPr>
          <w:rFonts w:ascii="Arial" w:eastAsia="Calibri" w:hAnsi="Arial" w:cs="Arial"/>
          <w:sz w:val="19"/>
          <w:szCs w:val="19"/>
        </w:rPr>
        <w:t>, introduced by Northumberland County Council,</w:t>
      </w:r>
      <w:r w:rsidRPr="003B58A7">
        <w:rPr>
          <w:rFonts w:ascii="Arial" w:eastAsia="Calibri" w:hAnsi="Arial" w:cs="Arial"/>
          <w:sz w:val="19"/>
          <w:szCs w:val="19"/>
        </w:rPr>
        <w:t xml:space="preserve"> to reduce the bedroom eligibility criteria on properties.  Normally, an applicant would only be able to bid for a property with the number of bedrooms they are entitled to.  Where there are properties will no applicants that meet these criteria, the common allocation policy allows us to then advertise the property again and offer it to applicants with lower entitlement. This adds a week onto the lettings process. </w:t>
      </w:r>
    </w:p>
    <w:p w:rsidR="003B58A7" w:rsidRPr="003B58A7" w:rsidRDefault="003B58A7" w:rsidP="003B58A7">
      <w:pPr>
        <w:numPr>
          <w:ilvl w:val="0"/>
          <w:numId w:val="41"/>
        </w:numPr>
        <w:spacing w:after="0"/>
        <w:jc w:val="left"/>
        <w:rPr>
          <w:rFonts w:ascii="Arial" w:eastAsia="Calibri" w:hAnsi="Arial" w:cs="Arial"/>
          <w:sz w:val="19"/>
          <w:szCs w:val="19"/>
        </w:rPr>
      </w:pPr>
      <w:r w:rsidRPr="003B58A7">
        <w:rPr>
          <w:rFonts w:ascii="Arial" w:eastAsia="Calibri" w:hAnsi="Arial" w:cs="Arial"/>
          <w:sz w:val="19"/>
          <w:szCs w:val="19"/>
        </w:rPr>
        <w:t>The pilot saw us reduce the bedroom entitlement for every property with a clear caveat that preference will always be given to an applicant with the actual requirement for that number of bedrooms.  The pilot ran for 13 cycles (weeks).  The previous 13 cycles saw us need to re-advertise 24% of our properties. Impressively, during the 13 cycles we ran this pilot, we saw the number of re-advertisements plummet to just 12%.  This has now been adopted permanently.</w:t>
      </w:r>
    </w:p>
    <w:p w:rsidR="003B58A7" w:rsidRPr="003B58A7" w:rsidRDefault="00C14310" w:rsidP="003B58A7">
      <w:pPr>
        <w:numPr>
          <w:ilvl w:val="0"/>
          <w:numId w:val="41"/>
        </w:numPr>
        <w:spacing w:after="0"/>
        <w:jc w:val="left"/>
        <w:rPr>
          <w:rFonts w:ascii="Arial" w:eastAsia="Calibri" w:hAnsi="Arial" w:cs="Arial"/>
          <w:sz w:val="19"/>
          <w:szCs w:val="19"/>
        </w:rPr>
      </w:pPr>
      <w:r>
        <w:rPr>
          <w:rFonts w:ascii="Arial" w:eastAsia="Calibri" w:hAnsi="Arial" w:cs="Arial"/>
          <w:sz w:val="19"/>
          <w:szCs w:val="19"/>
        </w:rPr>
        <w:t>M</w:t>
      </w:r>
      <w:r w:rsidR="003B58A7" w:rsidRPr="003B58A7">
        <w:rPr>
          <w:rFonts w:ascii="Arial" w:eastAsia="Calibri" w:hAnsi="Arial" w:cs="Arial"/>
          <w:sz w:val="19"/>
          <w:szCs w:val="19"/>
        </w:rPr>
        <w:t>ore than 10% of</w:t>
      </w:r>
      <w:r>
        <w:rPr>
          <w:rFonts w:ascii="Arial" w:eastAsia="Calibri" w:hAnsi="Arial" w:cs="Arial"/>
          <w:sz w:val="19"/>
          <w:szCs w:val="19"/>
        </w:rPr>
        <w:t xml:space="preserve"> our tenants</w:t>
      </w:r>
      <w:r w:rsidR="003B58A7" w:rsidRPr="003B58A7">
        <w:rPr>
          <w:rFonts w:ascii="Arial" w:eastAsia="Calibri" w:hAnsi="Arial" w:cs="Arial"/>
          <w:sz w:val="19"/>
          <w:szCs w:val="19"/>
        </w:rPr>
        <w:t xml:space="preserve"> moving</w:t>
      </w:r>
      <w:r>
        <w:rPr>
          <w:rFonts w:ascii="Arial" w:eastAsia="Calibri" w:hAnsi="Arial" w:cs="Arial"/>
          <w:sz w:val="19"/>
          <w:szCs w:val="19"/>
        </w:rPr>
        <w:t xml:space="preserve"> house</w:t>
      </w:r>
      <w:r w:rsidR="003B58A7" w:rsidRPr="003B58A7">
        <w:rPr>
          <w:rFonts w:ascii="Arial" w:eastAsia="Calibri" w:hAnsi="Arial" w:cs="Arial"/>
          <w:sz w:val="19"/>
          <w:szCs w:val="19"/>
        </w:rPr>
        <w:t xml:space="preserve"> state</w:t>
      </w:r>
      <w:r>
        <w:rPr>
          <w:rFonts w:ascii="Arial" w:eastAsia="Calibri" w:hAnsi="Arial" w:cs="Arial"/>
          <w:sz w:val="19"/>
          <w:szCs w:val="19"/>
        </w:rPr>
        <w:t xml:space="preserve"> that</w:t>
      </w:r>
      <w:r w:rsidR="003B58A7" w:rsidRPr="003B58A7">
        <w:rPr>
          <w:rFonts w:ascii="Arial" w:eastAsia="Calibri" w:hAnsi="Arial" w:cs="Arial"/>
          <w:sz w:val="19"/>
          <w:szCs w:val="19"/>
        </w:rPr>
        <w:t xml:space="preserve"> they require fewer bedrooms.  </w:t>
      </w:r>
      <w:r>
        <w:rPr>
          <w:rFonts w:ascii="Arial" w:eastAsia="Calibri" w:hAnsi="Arial" w:cs="Arial"/>
          <w:sz w:val="19"/>
          <w:szCs w:val="19"/>
        </w:rPr>
        <w:t>Whilst we do not have comparative</w:t>
      </w:r>
      <w:r w:rsidR="003B58A7" w:rsidRPr="003B58A7">
        <w:rPr>
          <w:rFonts w:ascii="Arial" w:eastAsia="Calibri" w:hAnsi="Arial" w:cs="Arial"/>
          <w:sz w:val="19"/>
          <w:szCs w:val="19"/>
        </w:rPr>
        <w:t xml:space="preserve"> data, it is unlikely this number would have been as high prior to welfare reform. </w:t>
      </w:r>
    </w:p>
    <w:p w:rsidR="003B58A7" w:rsidRPr="003B58A7" w:rsidRDefault="003B58A7" w:rsidP="003B58A7">
      <w:pPr>
        <w:numPr>
          <w:ilvl w:val="0"/>
          <w:numId w:val="41"/>
        </w:numPr>
        <w:spacing w:after="0"/>
        <w:jc w:val="left"/>
        <w:rPr>
          <w:rFonts w:ascii="Arial" w:eastAsia="Calibri" w:hAnsi="Arial" w:cs="Arial"/>
          <w:sz w:val="19"/>
          <w:szCs w:val="19"/>
        </w:rPr>
      </w:pPr>
      <w:r w:rsidRPr="003B58A7">
        <w:rPr>
          <w:rFonts w:ascii="Arial" w:eastAsia="Calibri" w:hAnsi="Arial" w:cs="Arial"/>
          <w:sz w:val="19"/>
          <w:szCs w:val="19"/>
        </w:rPr>
        <w:t>We have seen a 26% increase in evictions for rent arrears, from 34 evictions 2013/14 to 43 evictions 2014/15</w:t>
      </w:r>
      <w:r w:rsidR="00C14310">
        <w:rPr>
          <w:rFonts w:ascii="Arial" w:eastAsia="Calibri" w:hAnsi="Arial" w:cs="Arial"/>
          <w:sz w:val="19"/>
          <w:szCs w:val="19"/>
        </w:rPr>
        <w:t>.</w:t>
      </w:r>
    </w:p>
    <w:p w:rsidR="003B58A7" w:rsidRPr="003B58A7" w:rsidRDefault="003B58A7" w:rsidP="003B58A7">
      <w:pPr>
        <w:numPr>
          <w:ilvl w:val="0"/>
          <w:numId w:val="41"/>
        </w:numPr>
        <w:spacing w:after="0"/>
        <w:jc w:val="left"/>
        <w:rPr>
          <w:rFonts w:ascii="Arial" w:eastAsia="Calibri" w:hAnsi="Arial" w:cs="Arial"/>
          <w:sz w:val="19"/>
          <w:szCs w:val="19"/>
        </w:rPr>
      </w:pPr>
      <w:r w:rsidRPr="003B58A7">
        <w:rPr>
          <w:rFonts w:ascii="Arial" w:eastAsia="Calibri" w:hAnsi="Arial" w:cs="Arial"/>
          <w:sz w:val="19"/>
          <w:szCs w:val="19"/>
        </w:rPr>
        <w:t>We have seen an increase in our Housing Benefit support work. In 2013/14 we dealt with 308 cases which rose to 327 in 2014/15.</w:t>
      </w:r>
    </w:p>
    <w:p w:rsidR="003B58A7" w:rsidRDefault="003B58A7" w:rsidP="003B58A7">
      <w:pPr>
        <w:numPr>
          <w:ilvl w:val="0"/>
          <w:numId w:val="41"/>
        </w:numPr>
        <w:spacing w:after="0"/>
        <w:jc w:val="left"/>
        <w:rPr>
          <w:rFonts w:ascii="Arial" w:eastAsia="Calibri" w:hAnsi="Arial" w:cs="Arial"/>
          <w:sz w:val="19"/>
          <w:szCs w:val="19"/>
        </w:rPr>
      </w:pPr>
      <w:r w:rsidRPr="003B58A7">
        <w:rPr>
          <w:rFonts w:ascii="Arial" w:eastAsia="Calibri" w:hAnsi="Arial" w:cs="Arial"/>
          <w:sz w:val="19"/>
          <w:szCs w:val="19"/>
        </w:rPr>
        <w:t>We continue to deal with referrals to our Money Advice service and have taken on an Apprentice during 2014/15 to assist and help reduce the waiting times, which are now down to 2 to 3 weeks</w:t>
      </w:r>
      <w:r w:rsidR="00A62C75">
        <w:rPr>
          <w:rFonts w:ascii="Arial" w:eastAsia="Calibri" w:hAnsi="Arial" w:cs="Arial"/>
          <w:sz w:val="19"/>
          <w:szCs w:val="19"/>
        </w:rPr>
        <w:t>.</w:t>
      </w:r>
    </w:p>
    <w:p w:rsidR="00C14310" w:rsidRDefault="00C14310" w:rsidP="003B58A7">
      <w:pPr>
        <w:numPr>
          <w:ilvl w:val="0"/>
          <w:numId w:val="41"/>
        </w:numPr>
        <w:spacing w:after="0"/>
        <w:jc w:val="left"/>
        <w:rPr>
          <w:rFonts w:ascii="Arial" w:eastAsia="Calibri" w:hAnsi="Arial" w:cs="Arial"/>
          <w:sz w:val="19"/>
          <w:szCs w:val="19"/>
        </w:rPr>
      </w:pPr>
      <w:r>
        <w:rPr>
          <w:rFonts w:ascii="Arial" w:eastAsia="Calibri" w:hAnsi="Arial" w:cs="Arial"/>
          <w:sz w:val="19"/>
          <w:szCs w:val="19"/>
        </w:rPr>
        <w:t>During the year, we opened 559 new cases of anti-social behaviour. Of those, we entered into 27 Acceptable</w:t>
      </w:r>
      <w:r w:rsidR="00B3574C">
        <w:rPr>
          <w:rFonts w:ascii="Arial" w:eastAsia="Calibri" w:hAnsi="Arial" w:cs="Arial"/>
          <w:sz w:val="19"/>
          <w:szCs w:val="19"/>
        </w:rPr>
        <w:t xml:space="preserve"> Behaviour Agreements with tenants or those living with them, 15 legal notices were served leading to eight evictions and two suspended possession orders and two ASB injunctions. Our approach is always to prevent cases escalating to legal action but unfortunately this was required in a limited number of situations.</w:t>
      </w:r>
    </w:p>
    <w:p w:rsidR="00B3574C" w:rsidRDefault="00B3574C" w:rsidP="003B58A7">
      <w:pPr>
        <w:numPr>
          <w:ilvl w:val="0"/>
          <w:numId w:val="41"/>
        </w:numPr>
        <w:spacing w:after="0"/>
        <w:jc w:val="left"/>
        <w:rPr>
          <w:rFonts w:ascii="Arial" w:eastAsia="Calibri" w:hAnsi="Arial" w:cs="Arial"/>
          <w:sz w:val="19"/>
          <w:szCs w:val="19"/>
        </w:rPr>
      </w:pPr>
      <w:r>
        <w:rPr>
          <w:rFonts w:ascii="Arial" w:eastAsia="Calibri" w:hAnsi="Arial" w:cs="Arial"/>
          <w:sz w:val="19"/>
          <w:szCs w:val="19"/>
        </w:rPr>
        <w:t>In mid-2014 we temporarily collapsed our resident engagement structures to allow a full review to be undertaken. This took some months to complete but we are now in the process of populating a number of new groups and aim to elect a new Tenants Forum in the autumn.</w:t>
      </w:r>
    </w:p>
    <w:p w:rsidR="00B3574C" w:rsidRDefault="00B3574C" w:rsidP="00B3574C">
      <w:pPr>
        <w:spacing w:after="0"/>
        <w:ind w:left="720"/>
        <w:jc w:val="left"/>
        <w:rPr>
          <w:rFonts w:ascii="Arial" w:eastAsia="Calibri" w:hAnsi="Arial" w:cs="Arial"/>
          <w:sz w:val="19"/>
          <w:szCs w:val="19"/>
        </w:rPr>
      </w:pPr>
    </w:p>
    <w:p w:rsidR="00B3574C" w:rsidRDefault="00B3574C" w:rsidP="00B3574C">
      <w:pPr>
        <w:spacing w:after="0"/>
        <w:ind w:left="720"/>
        <w:jc w:val="left"/>
        <w:rPr>
          <w:rFonts w:ascii="Arial" w:eastAsia="Calibri" w:hAnsi="Arial" w:cs="Arial"/>
          <w:sz w:val="19"/>
          <w:szCs w:val="19"/>
        </w:rPr>
      </w:pPr>
    </w:p>
    <w:p w:rsidR="00B3574C" w:rsidRPr="004F2030" w:rsidRDefault="00B3574C" w:rsidP="00B3574C">
      <w:pPr>
        <w:spacing w:after="0"/>
        <w:jc w:val="left"/>
        <w:rPr>
          <w:rFonts w:ascii="Arial" w:eastAsia="Calibri" w:hAnsi="Arial" w:cs="Arial"/>
          <w:b/>
          <w:sz w:val="19"/>
          <w:szCs w:val="19"/>
        </w:rPr>
      </w:pPr>
      <w:r w:rsidRPr="004F2030">
        <w:rPr>
          <w:rFonts w:ascii="Arial" w:eastAsia="Calibri" w:hAnsi="Arial" w:cs="Arial"/>
          <w:b/>
          <w:sz w:val="19"/>
          <w:szCs w:val="19"/>
        </w:rPr>
        <w:lastRenderedPageBreak/>
        <w:t>Strategic Report (continued)</w:t>
      </w:r>
    </w:p>
    <w:p w:rsidR="00B3574C" w:rsidRPr="004F2030" w:rsidRDefault="00B3574C" w:rsidP="00B3574C">
      <w:pPr>
        <w:spacing w:after="0"/>
        <w:jc w:val="left"/>
        <w:rPr>
          <w:rFonts w:ascii="Arial" w:eastAsia="Calibri" w:hAnsi="Arial" w:cs="Arial"/>
          <w:b/>
          <w:sz w:val="19"/>
          <w:szCs w:val="19"/>
        </w:rPr>
      </w:pPr>
      <w:r w:rsidRPr="004F2030">
        <w:rPr>
          <w:rFonts w:ascii="Arial" w:eastAsia="Calibri" w:hAnsi="Arial" w:cs="Arial"/>
          <w:b/>
          <w:sz w:val="19"/>
          <w:szCs w:val="19"/>
        </w:rPr>
        <w:t xml:space="preserve">Review of the Business </w:t>
      </w:r>
      <w:r>
        <w:rPr>
          <w:rFonts w:ascii="Arial" w:eastAsia="Calibri" w:hAnsi="Arial" w:cs="Arial"/>
          <w:b/>
          <w:sz w:val="19"/>
          <w:szCs w:val="19"/>
        </w:rPr>
        <w:t xml:space="preserve">- </w:t>
      </w:r>
      <w:r w:rsidRPr="004F2030">
        <w:rPr>
          <w:rFonts w:ascii="Arial" w:eastAsia="Calibri" w:hAnsi="Arial" w:cs="Arial"/>
          <w:b/>
          <w:sz w:val="19"/>
          <w:szCs w:val="19"/>
        </w:rPr>
        <w:t>Operational Issues (continued)</w:t>
      </w:r>
    </w:p>
    <w:p w:rsidR="00B3574C" w:rsidRDefault="00B3574C" w:rsidP="00B3574C">
      <w:pPr>
        <w:spacing w:after="0"/>
        <w:jc w:val="left"/>
        <w:rPr>
          <w:rFonts w:ascii="Arial" w:eastAsia="Calibri" w:hAnsi="Arial" w:cs="Arial"/>
          <w:sz w:val="19"/>
          <w:szCs w:val="19"/>
        </w:rPr>
      </w:pPr>
    </w:p>
    <w:p w:rsidR="00B3574C" w:rsidRDefault="00B3574C" w:rsidP="003B58A7">
      <w:pPr>
        <w:numPr>
          <w:ilvl w:val="0"/>
          <w:numId w:val="41"/>
        </w:numPr>
        <w:spacing w:after="0"/>
        <w:jc w:val="left"/>
        <w:rPr>
          <w:rFonts w:ascii="Arial" w:eastAsia="Calibri" w:hAnsi="Arial" w:cs="Arial"/>
          <w:sz w:val="19"/>
          <w:szCs w:val="19"/>
        </w:rPr>
      </w:pPr>
      <w:r>
        <w:rPr>
          <w:rFonts w:ascii="Arial" w:eastAsia="Calibri" w:hAnsi="Arial" w:cs="Arial"/>
          <w:sz w:val="19"/>
          <w:szCs w:val="19"/>
        </w:rPr>
        <w:t>We also undertook a significant consultation exercise during October and November called ‘Get on Board’. Homes for Northumberland Limited hired a double decker bus that visited every community we have a presence in to ask tenants a series of questions about their views on the services we offer. In total we spoke to over 500 tenants and we will use this information to inform our service offer.</w:t>
      </w:r>
    </w:p>
    <w:p w:rsidR="00B3574C" w:rsidRDefault="00B3574C" w:rsidP="003B58A7">
      <w:pPr>
        <w:numPr>
          <w:ilvl w:val="0"/>
          <w:numId w:val="41"/>
        </w:numPr>
        <w:spacing w:after="0"/>
        <w:jc w:val="left"/>
        <w:rPr>
          <w:rFonts w:ascii="Arial" w:eastAsia="Calibri" w:hAnsi="Arial" w:cs="Arial"/>
          <w:sz w:val="19"/>
          <w:szCs w:val="19"/>
        </w:rPr>
      </w:pPr>
      <w:r>
        <w:rPr>
          <w:rFonts w:ascii="Arial" w:eastAsia="Calibri" w:hAnsi="Arial" w:cs="Arial"/>
          <w:sz w:val="19"/>
          <w:szCs w:val="19"/>
        </w:rPr>
        <w:t>Tenants have consistently told Homes for Northumberland Limited that customer service is a key service to them. During 2014/15 we witnessed a significant improvement in performance compared to the year before:</w:t>
      </w:r>
    </w:p>
    <w:p w:rsidR="00B3574C" w:rsidRDefault="00B3574C" w:rsidP="00B3574C">
      <w:pPr>
        <w:numPr>
          <w:ilvl w:val="1"/>
          <w:numId w:val="41"/>
        </w:numPr>
        <w:spacing w:after="0"/>
        <w:jc w:val="left"/>
        <w:rPr>
          <w:rFonts w:ascii="Arial" w:eastAsia="Calibri" w:hAnsi="Arial" w:cs="Arial"/>
          <w:sz w:val="19"/>
          <w:szCs w:val="19"/>
        </w:rPr>
      </w:pPr>
      <w:r>
        <w:rPr>
          <w:rFonts w:ascii="Arial" w:eastAsia="Calibri" w:hAnsi="Arial" w:cs="Arial"/>
          <w:sz w:val="19"/>
          <w:szCs w:val="19"/>
        </w:rPr>
        <w:t>Percentage of abandoned calls has reduced from 3.57% to 1.47%</w:t>
      </w:r>
    </w:p>
    <w:p w:rsidR="00B3574C" w:rsidRDefault="005C4337" w:rsidP="00B3574C">
      <w:pPr>
        <w:numPr>
          <w:ilvl w:val="1"/>
          <w:numId w:val="41"/>
        </w:numPr>
        <w:spacing w:after="0"/>
        <w:jc w:val="left"/>
        <w:rPr>
          <w:rFonts w:ascii="Arial" w:eastAsia="Calibri" w:hAnsi="Arial" w:cs="Arial"/>
          <w:sz w:val="19"/>
          <w:szCs w:val="19"/>
        </w:rPr>
      </w:pPr>
      <w:r>
        <w:rPr>
          <w:rFonts w:ascii="Arial" w:eastAsia="Calibri" w:hAnsi="Arial" w:cs="Arial"/>
          <w:sz w:val="19"/>
          <w:szCs w:val="19"/>
        </w:rPr>
        <w:t>Queries resolved at first point of contact from 91.37% to 97.04%</w:t>
      </w:r>
    </w:p>
    <w:p w:rsidR="005C4337" w:rsidRDefault="005C4337" w:rsidP="00B3574C">
      <w:pPr>
        <w:numPr>
          <w:ilvl w:val="1"/>
          <w:numId w:val="41"/>
        </w:numPr>
        <w:spacing w:after="0"/>
        <w:jc w:val="left"/>
        <w:rPr>
          <w:rFonts w:ascii="Arial" w:eastAsia="Calibri" w:hAnsi="Arial" w:cs="Arial"/>
          <w:sz w:val="19"/>
          <w:szCs w:val="19"/>
        </w:rPr>
      </w:pPr>
      <w:r>
        <w:rPr>
          <w:rFonts w:ascii="Arial" w:eastAsia="Calibri" w:hAnsi="Arial" w:cs="Arial"/>
          <w:sz w:val="19"/>
          <w:szCs w:val="19"/>
        </w:rPr>
        <w:t>Calls answered in target time has improved from 80.68% to 91.05%</w:t>
      </w:r>
    </w:p>
    <w:p w:rsidR="005C4337" w:rsidRPr="003B58A7" w:rsidRDefault="005C4337" w:rsidP="005C4337">
      <w:pPr>
        <w:numPr>
          <w:ilvl w:val="0"/>
          <w:numId w:val="41"/>
        </w:numPr>
        <w:spacing w:after="0"/>
        <w:jc w:val="left"/>
        <w:rPr>
          <w:rFonts w:ascii="Arial" w:eastAsia="Calibri" w:hAnsi="Arial" w:cs="Arial"/>
          <w:sz w:val="19"/>
          <w:szCs w:val="19"/>
        </w:rPr>
      </w:pPr>
      <w:r>
        <w:rPr>
          <w:rFonts w:ascii="Arial" w:eastAsia="Calibri" w:hAnsi="Arial" w:cs="Arial"/>
          <w:sz w:val="19"/>
          <w:szCs w:val="19"/>
        </w:rPr>
        <w:t>During the year we spent £290,000 on environmental works; the schemes were chosen by a panel of tenants with the funds split on a proportionate basis between Alnwick and Blyth Valley. The schemes included the installations of hard standings across a range of sites, new paths to bungalows in Blyth, new fencing to bungalows in the Cramlington area and garage forecourts benefitting from the new services.</w:t>
      </w:r>
    </w:p>
    <w:p w:rsidR="00402E60" w:rsidRPr="00070D17" w:rsidRDefault="00402E60" w:rsidP="00402E60">
      <w:pPr>
        <w:spacing w:after="0"/>
        <w:jc w:val="left"/>
        <w:rPr>
          <w:rFonts w:ascii="Arial" w:eastAsia="Calibri" w:hAnsi="Arial" w:cs="Arial"/>
          <w:sz w:val="19"/>
          <w:szCs w:val="19"/>
        </w:rPr>
      </w:pPr>
    </w:p>
    <w:p w:rsidR="00402E60" w:rsidRDefault="00A62C75" w:rsidP="00FC3E6B">
      <w:pPr>
        <w:spacing w:after="0"/>
        <w:jc w:val="left"/>
        <w:rPr>
          <w:rFonts w:ascii="Arial" w:eastAsia="Calibri" w:hAnsi="Arial" w:cs="Arial"/>
          <w:sz w:val="19"/>
          <w:szCs w:val="19"/>
        </w:rPr>
      </w:pPr>
      <w:r>
        <w:rPr>
          <w:rFonts w:ascii="Arial" w:eastAsia="Calibri" w:hAnsi="Arial" w:cs="Arial"/>
          <w:sz w:val="19"/>
          <w:szCs w:val="19"/>
        </w:rPr>
        <w:t>Homes for Northumberland</w:t>
      </w:r>
      <w:r w:rsidR="005C4337">
        <w:rPr>
          <w:rFonts w:ascii="Arial" w:eastAsia="Calibri" w:hAnsi="Arial" w:cs="Arial"/>
          <w:sz w:val="19"/>
          <w:szCs w:val="19"/>
        </w:rPr>
        <w:t xml:space="preserve"> Limited</w:t>
      </w:r>
      <w:r>
        <w:rPr>
          <w:rFonts w:ascii="Arial" w:eastAsia="Calibri" w:hAnsi="Arial" w:cs="Arial"/>
          <w:sz w:val="19"/>
          <w:szCs w:val="19"/>
        </w:rPr>
        <w:t xml:space="preserve"> had three subsidiaries.  Two of these, </w:t>
      </w:r>
      <w:r w:rsidR="00CF439B">
        <w:rPr>
          <w:rFonts w:ascii="Arial" w:eastAsia="Calibri" w:hAnsi="Arial" w:cs="Arial"/>
          <w:sz w:val="19"/>
          <w:szCs w:val="19"/>
        </w:rPr>
        <w:t>Action for Northumberland</w:t>
      </w:r>
      <w:r w:rsidR="005C4337">
        <w:rPr>
          <w:rFonts w:ascii="Arial" w:eastAsia="Calibri" w:hAnsi="Arial" w:cs="Arial"/>
          <w:sz w:val="19"/>
          <w:szCs w:val="19"/>
        </w:rPr>
        <w:t xml:space="preserve"> Limited</w:t>
      </w:r>
      <w:r w:rsidR="00CF439B">
        <w:rPr>
          <w:rFonts w:ascii="Arial" w:eastAsia="Calibri" w:hAnsi="Arial" w:cs="Arial"/>
          <w:sz w:val="19"/>
          <w:szCs w:val="19"/>
        </w:rPr>
        <w:t xml:space="preserve"> and </w:t>
      </w:r>
      <w:r w:rsidR="00402E60" w:rsidRPr="00070D17">
        <w:rPr>
          <w:rFonts w:ascii="Arial" w:eastAsia="Calibri" w:hAnsi="Arial" w:cs="Arial"/>
          <w:sz w:val="19"/>
          <w:szCs w:val="19"/>
        </w:rPr>
        <w:t>Caring for Northumberland</w:t>
      </w:r>
      <w:r w:rsidR="005C4337">
        <w:rPr>
          <w:rFonts w:ascii="Arial" w:eastAsia="Calibri" w:hAnsi="Arial" w:cs="Arial"/>
          <w:sz w:val="19"/>
          <w:szCs w:val="19"/>
        </w:rPr>
        <w:t xml:space="preserve"> Limited</w:t>
      </w:r>
      <w:r w:rsidR="00CF439B">
        <w:rPr>
          <w:rFonts w:ascii="Arial" w:eastAsia="Calibri" w:hAnsi="Arial" w:cs="Arial"/>
          <w:sz w:val="19"/>
          <w:szCs w:val="19"/>
        </w:rPr>
        <w:t xml:space="preserve">, </w:t>
      </w:r>
      <w:r w:rsidR="007B509D">
        <w:rPr>
          <w:rFonts w:ascii="Arial" w:eastAsia="Calibri" w:hAnsi="Arial" w:cs="Arial"/>
          <w:sz w:val="19"/>
          <w:szCs w:val="19"/>
        </w:rPr>
        <w:t>were never active and</w:t>
      </w:r>
      <w:r w:rsidR="005C4337">
        <w:rPr>
          <w:rFonts w:ascii="Arial" w:eastAsia="Calibri" w:hAnsi="Arial" w:cs="Arial"/>
          <w:sz w:val="19"/>
          <w:szCs w:val="19"/>
        </w:rPr>
        <w:t xml:space="preserve"> we are in the process of closing both</w:t>
      </w:r>
      <w:r w:rsidR="00CF439B">
        <w:rPr>
          <w:rFonts w:ascii="Arial" w:eastAsia="Calibri" w:hAnsi="Arial" w:cs="Arial"/>
          <w:sz w:val="19"/>
          <w:szCs w:val="19"/>
        </w:rPr>
        <w:t xml:space="preserve">.  </w:t>
      </w:r>
      <w:r w:rsidR="007B509D">
        <w:rPr>
          <w:rFonts w:ascii="Arial" w:eastAsia="Calibri" w:hAnsi="Arial" w:cs="Arial"/>
          <w:sz w:val="19"/>
          <w:szCs w:val="19"/>
        </w:rPr>
        <w:t xml:space="preserve">A third subsidiary, </w:t>
      </w:r>
      <w:r w:rsidR="00CF439B" w:rsidRPr="00070D17">
        <w:rPr>
          <w:rFonts w:ascii="Arial" w:eastAsia="Calibri" w:hAnsi="Arial" w:cs="Arial"/>
          <w:sz w:val="19"/>
          <w:szCs w:val="19"/>
        </w:rPr>
        <w:t>Building for Northumberland</w:t>
      </w:r>
      <w:r w:rsidR="005C4337">
        <w:rPr>
          <w:rFonts w:ascii="Arial" w:eastAsia="Calibri" w:hAnsi="Arial" w:cs="Arial"/>
          <w:sz w:val="19"/>
          <w:szCs w:val="19"/>
        </w:rPr>
        <w:t xml:space="preserve"> Limited</w:t>
      </w:r>
      <w:r w:rsidR="00CF439B" w:rsidRPr="00070D17">
        <w:rPr>
          <w:rFonts w:ascii="Arial" w:eastAsia="Calibri" w:hAnsi="Arial" w:cs="Arial"/>
          <w:sz w:val="19"/>
          <w:szCs w:val="19"/>
        </w:rPr>
        <w:t xml:space="preserve">; </w:t>
      </w:r>
      <w:r w:rsidR="005C4337">
        <w:rPr>
          <w:rFonts w:ascii="Arial" w:eastAsia="Calibri" w:hAnsi="Arial" w:cs="Arial"/>
          <w:sz w:val="19"/>
          <w:szCs w:val="19"/>
        </w:rPr>
        <w:t>was</w:t>
      </w:r>
      <w:r w:rsidR="007B509D">
        <w:rPr>
          <w:rFonts w:ascii="Arial" w:eastAsia="Calibri" w:hAnsi="Arial" w:cs="Arial"/>
          <w:sz w:val="19"/>
          <w:szCs w:val="19"/>
        </w:rPr>
        <w:t xml:space="preserve"> registered with the Homes and Communities Agency </w:t>
      </w:r>
      <w:r w:rsidR="00FC3E6B">
        <w:rPr>
          <w:rFonts w:ascii="Arial" w:eastAsia="Calibri" w:hAnsi="Arial" w:cs="Arial"/>
          <w:sz w:val="19"/>
          <w:szCs w:val="19"/>
        </w:rPr>
        <w:t>a</w:t>
      </w:r>
      <w:r w:rsidR="005C4337">
        <w:rPr>
          <w:rFonts w:ascii="Arial" w:eastAsia="Calibri" w:hAnsi="Arial" w:cs="Arial"/>
          <w:sz w:val="19"/>
          <w:szCs w:val="19"/>
        </w:rPr>
        <w:t>s a provider of social housing on 5 March 2015 and is constructing two bungalows. The financial activities of Building for Northumberland Limited in 2014/15 were not significant and they have not been consolidated into these financial statements on the grounds of immateriality.</w:t>
      </w:r>
    </w:p>
    <w:p w:rsidR="00402E60" w:rsidRPr="00070D17" w:rsidRDefault="00402E60" w:rsidP="00402E60">
      <w:pPr>
        <w:spacing w:after="0"/>
        <w:jc w:val="left"/>
        <w:rPr>
          <w:rFonts w:ascii="Arial" w:eastAsia="Calibri" w:hAnsi="Arial" w:cs="Arial"/>
          <w:sz w:val="19"/>
          <w:szCs w:val="19"/>
        </w:rPr>
      </w:pPr>
    </w:p>
    <w:p w:rsidR="00402E60" w:rsidRDefault="00402E60" w:rsidP="005C4337">
      <w:pPr>
        <w:spacing w:after="0"/>
        <w:jc w:val="left"/>
        <w:rPr>
          <w:rFonts w:ascii="Arial" w:eastAsia="Calibri" w:hAnsi="Arial" w:cs="Arial"/>
          <w:b/>
          <w:szCs w:val="19"/>
        </w:rPr>
      </w:pPr>
      <w:r w:rsidRPr="004212F6">
        <w:rPr>
          <w:rFonts w:ascii="Arial" w:eastAsia="Calibri" w:hAnsi="Arial" w:cs="Arial"/>
          <w:b/>
          <w:szCs w:val="19"/>
        </w:rPr>
        <w:t>Review of the Business - Financial Results for the Year</w:t>
      </w:r>
    </w:p>
    <w:p w:rsidR="005C4337" w:rsidRPr="005C4337" w:rsidRDefault="005C4337" w:rsidP="005C4337">
      <w:pPr>
        <w:spacing w:after="0"/>
        <w:jc w:val="left"/>
        <w:rPr>
          <w:rFonts w:ascii="Arial" w:eastAsia="Calibri" w:hAnsi="Arial" w:cs="Arial"/>
          <w:b/>
          <w:szCs w:val="19"/>
        </w:rPr>
      </w:pPr>
    </w:p>
    <w:p w:rsidR="00402E60" w:rsidRPr="00C46A29" w:rsidRDefault="00402E60" w:rsidP="00402E60">
      <w:pPr>
        <w:jc w:val="left"/>
        <w:rPr>
          <w:rFonts w:ascii="Arial" w:eastAsia="Calibri" w:hAnsi="Arial" w:cs="Arial"/>
          <w:sz w:val="19"/>
          <w:szCs w:val="19"/>
          <w:highlight w:val="yellow"/>
        </w:rPr>
      </w:pPr>
      <w:r w:rsidRPr="00873505">
        <w:rPr>
          <w:rFonts w:ascii="Arial" w:eastAsia="Calibri" w:hAnsi="Arial" w:cs="Arial"/>
          <w:sz w:val="19"/>
          <w:szCs w:val="19"/>
        </w:rPr>
        <w:t>The Company’s income and expenditure accounts for the last two years are summarised below:</w:t>
      </w:r>
      <w:r w:rsidRPr="00C46A29">
        <w:rPr>
          <w:rFonts w:ascii="Arial" w:eastAsia="Calibri" w:hAnsi="Arial" w:cs="Arial"/>
          <w:sz w:val="19"/>
          <w:szCs w:val="19"/>
          <w:highlight w:val="yellow"/>
        </w:rPr>
        <w:br/>
      </w:r>
    </w:p>
    <w:tbl>
      <w:tblPr>
        <w:tblW w:w="6204" w:type="dxa"/>
        <w:tblLook w:val="04A0" w:firstRow="1" w:lastRow="0" w:firstColumn="1" w:lastColumn="0" w:noHBand="0" w:noVBand="1"/>
      </w:tblPr>
      <w:tblGrid>
        <w:gridCol w:w="3458"/>
        <w:gridCol w:w="1302"/>
        <w:gridCol w:w="310"/>
        <w:gridCol w:w="1134"/>
      </w:tblGrid>
      <w:tr w:rsidR="00402E60" w:rsidRPr="00C46A29" w:rsidTr="00402E60">
        <w:tc>
          <w:tcPr>
            <w:tcW w:w="3458" w:type="dxa"/>
            <w:shd w:val="clear" w:color="auto" w:fill="auto"/>
          </w:tcPr>
          <w:p w:rsidR="00402E60" w:rsidRPr="00C46A29" w:rsidRDefault="00402E60" w:rsidP="00402E60">
            <w:pPr>
              <w:rPr>
                <w:rFonts w:ascii="Arial" w:eastAsia="Calibri" w:hAnsi="Arial" w:cs="Arial"/>
                <w:sz w:val="19"/>
                <w:szCs w:val="19"/>
                <w:highlight w:val="yellow"/>
              </w:rPr>
            </w:pPr>
          </w:p>
        </w:tc>
        <w:tc>
          <w:tcPr>
            <w:tcW w:w="1302" w:type="dxa"/>
            <w:shd w:val="clear" w:color="auto" w:fill="auto"/>
          </w:tcPr>
          <w:p w:rsidR="00402E60" w:rsidRPr="00BC2CD5" w:rsidRDefault="00402E60" w:rsidP="00402E60">
            <w:pPr>
              <w:jc w:val="right"/>
              <w:rPr>
                <w:rFonts w:ascii="Arial" w:eastAsia="Calibri" w:hAnsi="Arial" w:cs="Arial"/>
                <w:b/>
                <w:sz w:val="19"/>
                <w:szCs w:val="19"/>
              </w:rPr>
            </w:pPr>
            <w:r w:rsidRPr="00BC2CD5">
              <w:rPr>
                <w:rFonts w:ascii="Arial" w:eastAsia="Calibri" w:hAnsi="Arial" w:cs="Arial"/>
                <w:b/>
                <w:sz w:val="19"/>
                <w:szCs w:val="19"/>
              </w:rPr>
              <w:t>2014/15</w:t>
            </w:r>
          </w:p>
        </w:tc>
        <w:tc>
          <w:tcPr>
            <w:tcW w:w="310" w:type="dxa"/>
          </w:tcPr>
          <w:p w:rsidR="00402E60" w:rsidRPr="00C46A29" w:rsidRDefault="00402E60" w:rsidP="00402E60">
            <w:pPr>
              <w:jc w:val="right"/>
              <w:rPr>
                <w:rFonts w:ascii="Arial" w:eastAsia="Calibri" w:hAnsi="Arial" w:cs="Arial"/>
                <w:sz w:val="19"/>
                <w:szCs w:val="19"/>
                <w:highlight w:val="yellow"/>
              </w:rPr>
            </w:pPr>
          </w:p>
        </w:tc>
        <w:tc>
          <w:tcPr>
            <w:tcW w:w="1134" w:type="dxa"/>
          </w:tcPr>
          <w:p w:rsidR="00402E60" w:rsidRPr="00873505" w:rsidRDefault="00402E60" w:rsidP="00402E60">
            <w:pPr>
              <w:jc w:val="right"/>
              <w:rPr>
                <w:rFonts w:ascii="Arial" w:eastAsia="Calibri" w:hAnsi="Arial" w:cs="Arial"/>
                <w:sz w:val="19"/>
                <w:szCs w:val="19"/>
              </w:rPr>
            </w:pPr>
            <w:r w:rsidRPr="00873505">
              <w:rPr>
                <w:rFonts w:ascii="Arial" w:eastAsia="Calibri" w:hAnsi="Arial" w:cs="Arial"/>
                <w:sz w:val="19"/>
                <w:szCs w:val="19"/>
              </w:rPr>
              <w:t>2013/14</w:t>
            </w:r>
          </w:p>
        </w:tc>
      </w:tr>
      <w:tr w:rsidR="00402E60" w:rsidRPr="00C46A29" w:rsidTr="00402E60">
        <w:tc>
          <w:tcPr>
            <w:tcW w:w="3458" w:type="dxa"/>
            <w:shd w:val="clear" w:color="auto" w:fill="auto"/>
          </w:tcPr>
          <w:p w:rsidR="00402E60" w:rsidRPr="00C46A29" w:rsidRDefault="00402E60" w:rsidP="00402E60">
            <w:pPr>
              <w:rPr>
                <w:rFonts w:ascii="Arial" w:eastAsia="Calibri" w:hAnsi="Arial" w:cs="Arial"/>
                <w:sz w:val="19"/>
                <w:szCs w:val="19"/>
                <w:highlight w:val="yellow"/>
              </w:rPr>
            </w:pPr>
          </w:p>
        </w:tc>
        <w:tc>
          <w:tcPr>
            <w:tcW w:w="1302" w:type="dxa"/>
            <w:tcBorders>
              <w:bottom w:val="single" w:sz="4" w:space="0" w:color="auto"/>
            </w:tcBorders>
            <w:shd w:val="clear" w:color="auto" w:fill="auto"/>
          </w:tcPr>
          <w:p w:rsidR="00402E60" w:rsidRPr="00BC2CD5" w:rsidRDefault="00402E60" w:rsidP="00402E60">
            <w:pPr>
              <w:jc w:val="right"/>
              <w:rPr>
                <w:rFonts w:ascii="Arial" w:eastAsia="Calibri" w:hAnsi="Arial" w:cs="Arial"/>
                <w:b/>
                <w:sz w:val="19"/>
                <w:szCs w:val="19"/>
              </w:rPr>
            </w:pPr>
            <w:r w:rsidRPr="00BC2CD5">
              <w:rPr>
                <w:rFonts w:ascii="Arial" w:eastAsia="Calibri" w:hAnsi="Arial" w:cs="Arial"/>
                <w:b/>
                <w:sz w:val="19"/>
                <w:szCs w:val="19"/>
              </w:rPr>
              <w:t>£000</w:t>
            </w:r>
          </w:p>
        </w:tc>
        <w:tc>
          <w:tcPr>
            <w:tcW w:w="310" w:type="dxa"/>
          </w:tcPr>
          <w:p w:rsidR="00402E60" w:rsidRPr="00C46A29" w:rsidRDefault="00402E60" w:rsidP="00402E60">
            <w:pPr>
              <w:jc w:val="right"/>
              <w:rPr>
                <w:rFonts w:ascii="Arial" w:eastAsia="Calibri" w:hAnsi="Arial" w:cs="Arial"/>
                <w:sz w:val="19"/>
                <w:szCs w:val="19"/>
                <w:highlight w:val="yellow"/>
              </w:rPr>
            </w:pPr>
          </w:p>
        </w:tc>
        <w:tc>
          <w:tcPr>
            <w:tcW w:w="1134" w:type="dxa"/>
            <w:tcBorders>
              <w:bottom w:val="single" w:sz="4" w:space="0" w:color="auto"/>
            </w:tcBorders>
          </w:tcPr>
          <w:p w:rsidR="00402E60" w:rsidRPr="00873505" w:rsidRDefault="00402E60" w:rsidP="00402E60">
            <w:pPr>
              <w:jc w:val="right"/>
              <w:rPr>
                <w:rFonts w:ascii="Arial" w:eastAsia="Calibri" w:hAnsi="Arial" w:cs="Arial"/>
                <w:sz w:val="19"/>
                <w:szCs w:val="19"/>
              </w:rPr>
            </w:pPr>
            <w:r w:rsidRPr="00873505">
              <w:rPr>
                <w:rFonts w:ascii="Arial" w:eastAsia="Calibri" w:hAnsi="Arial" w:cs="Arial"/>
                <w:sz w:val="19"/>
                <w:szCs w:val="19"/>
              </w:rPr>
              <w:t>£000</w:t>
            </w:r>
          </w:p>
        </w:tc>
      </w:tr>
      <w:tr w:rsidR="00402E60" w:rsidRPr="00C46A29" w:rsidTr="00402E60">
        <w:tc>
          <w:tcPr>
            <w:tcW w:w="3458" w:type="dxa"/>
            <w:shd w:val="clear" w:color="auto" w:fill="auto"/>
          </w:tcPr>
          <w:p w:rsidR="00402E60" w:rsidRPr="00873505" w:rsidRDefault="00402E60" w:rsidP="00402E60">
            <w:pPr>
              <w:rPr>
                <w:rFonts w:ascii="Arial" w:eastAsia="Calibri" w:hAnsi="Arial" w:cs="Arial"/>
                <w:sz w:val="19"/>
                <w:szCs w:val="19"/>
              </w:rPr>
            </w:pPr>
            <w:r w:rsidRPr="00873505">
              <w:rPr>
                <w:rFonts w:ascii="Arial" w:eastAsia="Calibri" w:hAnsi="Arial" w:cs="Arial"/>
                <w:sz w:val="19"/>
                <w:szCs w:val="19"/>
              </w:rPr>
              <w:t>Total income</w:t>
            </w:r>
          </w:p>
        </w:tc>
        <w:tc>
          <w:tcPr>
            <w:tcW w:w="1302" w:type="dxa"/>
            <w:tcBorders>
              <w:top w:val="single" w:sz="4" w:space="0" w:color="auto"/>
            </w:tcBorders>
            <w:shd w:val="clear" w:color="auto" w:fill="auto"/>
          </w:tcPr>
          <w:p w:rsidR="00402E60" w:rsidRPr="00BC2CD5" w:rsidRDefault="00BC2CD5" w:rsidP="00402E60">
            <w:pPr>
              <w:jc w:val="right"/>
              <w:rPr>
                <w:rFonts w:ascii="Arial" w:eastAsia="Calibri" w:hAnsi="Arial" w:cs="Arial"/>
                <w:b/>
                <w:sz w:val="19"/>
                <w:szCs w:val="19"/>
              </w:rPr>
            </w:pPr>
            <w:r w:rsidRPr="00BC2CD5">
              <w:rPr>
                <w:rFonts w:ascii="Arial" w:eastAsia="Calibri" w:hAnsi="Arial" w:cs="Arial"/>
                <w:b/>
                <w:sz w:val="19"/>
                <w:szCs w:val="19"/>
              </w:rPr>
              <w:t>19,178</w:t>
            </w:r>
          </w:p>
        </w:tc>
        <w:tc>
          <w:tcPr>
            <w:tcW w:w="310" w:type="dxa"/>
          </w:tcPr>
          <w:p w:rsidR="00402E60" w:rsidRPr="00C46A29" w:rsidRDefault="00402E60" w:rsidP="00402E60">
            <w:pPr>
              <w:jc w:val="right"/>
              <w:rPr>
                <w:rFonts w:ascii="Arial" w:eastAsia="Calibri" w:hAnsi="Arial" w:cs="Arial"/>
                <w:sz w:val="19"/>
                <w:szCs w:val="19"/>
                <w:highlight w:val="yellow"/>
              </w:rPr>
            </w:pPr>
          </w:p>
        </w:tc>
        <w:tc>
          <w:tcPr>
            <w:tcW w:w="1134" w:type="dxa"/>
            <w:tcBorders>
              <w:top w:val="single" w:sz="4" w:space="0" w:color="auto"/>
            </w:tcBorders>
          </w:tcPr>
          <w:p w:rsidR="00402E60" w:rsidRPr="00873505" w:rsidRDefault="00402E60" w:rsidP="00402E60">
            <w:pPr>
              <w:jc w:val="right"/>
              <w:rPr>
                <w:rFonts w:ascii="Arial" w:eastAsia="Calibri" w:hAnsi="Arial" w:cs="Arial"/>
                <w:sz w:val="19"/>
                <w:szCs w:val="19"/>
              </w:rPr>
            </w:pPr>
            <w:r w:rsidRPr="00873505">
              <w:rPr>
                <w:rFonts w:ascii="Arial" w:eastAsia="Calibri" w:hAnsi="Arial" w:cs="Arial"/>
                <w:sz w:val="19"/>
                <w:szCs w:val="19"/>
              </w:rPr>
              <w:t>14,326</w:t>
            </w:r>
          </w:p>
        </w:tc>
      </w:tr>
      <w:tr w:rsidR="00402E60" w:rsidRPr="00C46A29" w:rsidTr="00402E60">
        <w:tc>
          <w:tcPr>
            <w:tcW w:w="3458" w:type="dxa"/>
            <w:shd w:val="clear" w:color="auto" w:fill="auto"/>
          </w:tcPr>
          <w:p w:rsidR="00402E60" w:rsidRPr="00873505" w:rsidRDefault="00402E60" w:rsidP="00402E60">
            <w:pPr>
              <w:rPr>
                <w:rFonts w:ascii="Arial" w:eastAsia="Calibri" w:hAnsi="Arial" w:cs="Arial"/>
                <w:sz w:val="19"/>
                <w:szCs w:val="19"/>
              </w:rPr>
            </w:pPr>
            <w:r w:rsidRPr="00873505">
              <w:rPr>
                <w:rFonts w:ascii="Arial" w:eastAsia="Calibri" w:hAnsi="Arial" w:cs="Arial"/>
                <w:sz w:val="19"/>
                <w:szCs w:val="19"/>
              </w:rPr>
              <w:t>Operating costs</w:t>
            </w:r>
          </w:p>
        </w:tc>
        <w:tc>
          <w:tcPr>
            <w:tcW w:w="1302" w:type="dxa"/>
            <w:tcBorders>
              <w:bottom w:val="single" w:sz="4" w:space="0" w:color="auto"/>
            </w:tcBorders>
            <w:shd w:val="clear" w:color="auto" w:fill="auto"/>
          </w:tcPr>
          <w:p w:rsidR="00402E60" w:rsidRPr="00BC2CD5" w:rsidRDefault="00BC2CD5" w:rsidP="00402E60">
            <w:pPr>
              <w:jc w:val="right"/>
              <w:rPr>
                <w:rFonts w:ascii="Arial" w:eastAsia="Calibri" w:hAnsi="Arial" w:cs="Arial"/>
                <w:b/>
                <w:sz w:val="19"/>
                <w:szCs w:val="19"/>
              </w:rPr>
            </w:pPr>
            <w:r w:rsidRPr="00BC2CD5">
              <w:rPr>
                <w:rFonts w:ascii="Arial" w:eastAsia="Calibri" w:hAnsi="Arial" w:cs="Arial"/>
                <w:b/>
                <w:sz w:val="19"/>
                <w:szCs w:val="19"/>
              </w:rPr>
              <w:t>(17,704</w:t>
            </w:r>
            <w:r w:rsidR="00402E60" w:rsidRPr="00BC2CD5">
              <w:rPr>
                <w:rFonts w:ascii="Arial" w:eastAsia="Calibri" w:hAnsi="Arial" w:cs="Arial"/>
                <w:b/>
                <w:sz w:val="19"/>
                <w:szCs w:val="19"/>
              </w:rPr>
              <w:t>)</w:t>
            </w:r>
          </w:p>
        </w:tc>
        <w:tc>
          <w:tcPr>
            <w:tcW w:w="310" w:type="dxa"/>
          </w:tcPr>
          <w:p w:rsidR="00402E60" w:rsidRPr="00C46A29" w:rsidRDefault="00402E60" w:rsidP="00402E60">
            <w:pPr>
              <w:jc w:val="right"/>
              <w:rPr>
                <w:rFonts w:ascii="Arial" w:eastAsia="Calibri" w:hAnsi="Arial" w:cs="Arial"/>
                <w:sz w:val="19"/>
                <w:szCs w:val="19"/>
                <w:highlight w:val="yellow"/>
              </w:rPr>
            </w:pPr>
          </w:p>
        </w:tc>
        <w:tc>
          <w:tcPr>
            <w:tcW w:w="1134" w:type="dxa"/>
            <w:tcBorders>
              <w:bottom w:val="single" w:sz="4" w:space="0" w:color="auto"/>
            </w:tcBorders>
          </w:tcPr>
          <w:p w:rsidR="00402E60" w:rsidRPr="00873505" w:rsidRDefault="00402E60" w:rsidP="00402E60">
            <w:pPr>
              <w:jc w:val="right"/>
              <w:rPr>
                <w:rFonts w:ascii="Arial" w:eastAsia="Calibri" w:hAnsi="Arial" w:cs="Arial"/>
                <w:sz w:val="19"/>
                <w:szCs w:val="19"/>
              </w:rPr>
            </w:pPr>
            <w:r w:rsidRPr="00873505">
              <w:rPr>
                <w:rFonts w:ascii="Arial" w:eastAsia="Calibri" w:hAnsi="Arial" w:cs="Arial"/>
                <w:sz w:val="19"/>
                <w:szCs w:val="19"/>
              </w:rPr>
              <w:t>(13,827)</w:t>
            </w:r>
          </w:p>
        </w:tc>
      </w:tr>
      <w:tr w:rsidR="00402E60" w:rsidRPr="00C46A29" w:rsidTr="00402E60">
        <w:tc>
          <w:tcPr>
            <w:tcW w:w="3458" w:type="dxa"/>
            <w:shd w:val="clear" w:color="auto" w:fill="auto"/>
          </w:tcPr>
          <w:p w:rsidR="00402E60" w:rsidRPr="00873505" w:rsidRDefault="00402E60" w:rsidP="00402E60">
            <w:pPr>
              <w:rPr>
                <w:rFonts w:ascii="Arial" w:eastAsia="Calibri" w:hAnsi="Arial" w:cs="Arial"/>
                <w:sz w:val="19"/>
                <w:szCs w:val="19"/>
              </w:rPr>
            </w:pPr>
            <w:r w:rsidRPr="00873505">
              <w:rPr>
                <w:rFonts w:ascii="Arial" w:eastAsia="Calibri" w:hAnsi="Arial" w:cs="Arial"/>
                <w:sz w:val="19"/>
                <w:szCs w:val="19"/>
              </w:rPr>
              <w:t>Operating (deficit)/surplus</w:t>
            </w:r>
          </w:p>
        </w:tc>
        <w:tc>
          <w:tcPr>
            <w:tcW w:w="1302" w:type="dxa"/>
            <w:tcBorders>
              <w:top w:val="single" w:sz="4" w:space="0" w:color="auto"/>
            </w:tcBorders>
            <w:shd w:val="clear" w:color="auto" w:fill="auto"/>
          </w:tcPr>
          <w:p w:rsidR="00402E60" w:rsidRPr="00BC2CD5" w:rsidRDefault="00BC2CD5" w:rsidP="00402E60">
            <w:pPr>
              <w:jc w:val="right"/>
              <w:rPr>
                <w:rFonts w:ascii="Arial" w:eastAsia="Calibri" w:hAnsi="Arial" w:cs="Arial"/>
                <w:b/>
                <w:sz w:val="19"/>
                <w:szCs w:val="19"/>
              </w:rPr>
            </w:pPr>
            <w:r w:rsidRPr="00BC2CD5">
              <w:rPr>
                <w:rFonts w:ascii="Arial" w:eastAsia="Calibri" w:hAnsi="Arial" w:cs="Arial"/>
                <w:b/>
                <w:sz w:val="19"/>
                <w:szCs w:val="19"/>
              </w:rPr>
              <w:t>1,474</w:t>
            </w:r>
          </w:p>
        </w:tc>
        <w:tc>
          <w:tcPr>
            <w:tcW w:w="310" w:type="dxa"/>
          </w:tcPr>
          <w:p w:rsidR="00402E60" w:rsidRPr="00C46A29" w:rsidRDefault="00402E60" w:rsidP="00402E60">
            <w:pPr>
              <w:jc w:val="right"/>
              <w:rPr>
                <w:rFonts w:ascii="Arial" w:eastAsia="Calibri" w:hAnsi="Arial" w:cs="Arial"/>
                <w:sz w:val="19"/>
                <w:szCs w:val="19"/>
                <w:highlight w:val="yellow"/>
              </w:rPr>
            </w:pPr>
          </w:p>
        </w:tc>
        <w:tc>
          <w:tcPr>
            <w:tcW w:w="1134" w:type="dxa"/>
            <w:tcBorders>
              <w:top w:val="single" w:sz="4" w:space="0" w:color="auto"/>
            </w:tcBorders>
          </w:tcPr>
          <w:p w:rsidR="00402E60" w:rsidRPr="00873505" w:rsidRDefault="00402E60" w:rsidP="00402E60">
            <w:pPr>
              <w:jc w:val="right"/>
              <w:rPr>
                <w:rFonts w:ascii="Arial" w:eastAsia="Calibri" w:hAnsi="Arial" w:cs="Arial"/>
                <w:sz w:val="19"/>
                <w:szCs w:val="19"/>
              </w:rPr>
            </w:pPr>
            <w:r w:rsidRPr="00873505">
              <w:rPr>
                <w:rFonts w:ascii="Arial" w:eastAsia="Calibri" w:hAnsi="Arial" w:cs="Arial"/>
                <w:sz w:val="19"/>
                <w:szCs w:val="19"/>
              </w:rPr>
              <w:t>499</w:t>
            </w:r>
          </w:p>
        </w:tc>
      </w:tr>
      <w:tr w:rsidR="00402E60" w:rsidRPr="00C46A29" w:rsidTr="00402E60">
        <w:tc>
          <w:tcPr>
            <w:tcW w:w="3458" w:type="dxa"/>
            <w:shd w:val="clear" w:color="auto" w:fill="auto"/>
          </w:tcPr>
          <w:p w:rsidR="00402E60" w:rsidRPr="00873505" w:rsidRDefault="00402E60" w:rsidP="00C717C4">
            <w:pPr>
              <w:rPr>
                <w:rFonts w:ascii="Arial" w:eastAsia="Calibri" w:hAnsi="Arial" w:cs="Arial"/>
                <w:sz w:val="19"/>
                <w:szCs w:val="19"/>
              </w:rPr>
            </w:pPr>
            <w:r w:rsidRPr="00873505">
              <w:rPr>
                <w:rFonts w:ascii="Arial" w:eastAsia="Calibri" w:hAnsi="Arial" w:cs="Arial"/>
                <w:sz w:val="19"/>
                <w:szCs w:val="19"/>
              </w:rPr>
              <w:t>Net interest c</w:t>
            </w:r>
            <w:r w:rsidR="00C717C4">
              <w:rPr>
                <w:rFonts w:ascii="Arial" w:eastAsia="Calibri" w:hAnsi="Arial" w:cs="Arial"/>
                <w:sz w:val="19"/>
                <w:szCs w:val="19"/>
              </w:rPr>
              <w:t xml:space="preserve">redit/(charges) </w:t>
            </w:r>
            <w:r w:rsidRPr="00873505">
              <w:rPr>
                <w:rFonts w:ascii="Arial" w:eastAsia="Calibri" w:hAnsi="Arial" w:cs="Arial"/>
                <w:sz w:val="19"/>
                <w:szCs w:val="19"/>
              </w:rPr>
              <w:t>and tax</w:t>
            </w:r>
          </w:p>
        </w:tc>
        <w:tc>
          <w:tcPr>
            <w:tcW w:w="1302" w:type="dxa"/>
            <w:tcBorders>
              <w:bottom w:val="single" w:sz="4" w:space="0" w:color="auto"/>
            </w:tcBorders>
            <w:shd w:val="clear" w:color="auto" w:fill="auto"/>
          </w:tcPr>
          <w:p w:rsidR="00402E60" w:rsidRPr="00BC2CD5" w:rsidRDefault="00402E60" w:rsidP="00402E60">
            <w:pPr>
              <w:jc w:val="right"/>
              <w:rPr>
                <w:rFonts w:ascii="Arial" w:eastAsia="Calibri" w:hAnsi="Arial" w:cs="Arial"/>
                <w:b/>
                <w:sz w:val="19"/>
                <w:szCs w:val="19"/>
              </w:rPr>
            </w:pPr>
            <w:r w:rsidRPr="00BC2CD5">
              <w:rPr>
                <w:rFonts w:ascii="Arial" w:eastAsia="Calibri" w:hAnsi="Arial" w:cs="Arial"/>
                <w:b/>
                <w:sz w:val="19"/>
                <w:szCs w:val="19"/>
              </w:rPr>
              <w:t>238</w:t>
            </w:r>
          </w:p>
        </w:tc>
        <w:tc>
          <w:tcPr>
            <w:tcW w:w="310" w:type="dxa"/>
          </w:tcPr>
          <w:p w:rsidR="00402E60" w:rsidRPr="00C46A29" w:rsidRDefault="00402E60" w:rsidP="00402E60">
            <w:pPr>
              <w:jc w:val="right"/>
              <w:rPr>
                <w:rFonts w:ascii="Arial" w:eastAsia="Calibri" w:hAnsi="Arial" w:cs="Arial"/>
                <w:sz w:val="19"/>
                <w:szCs w:val="19"/>
                <w:highlight w:val="yellow"/>
              </w:rPr>
            </w:pPr>
          </w:p>
        </w:tc>
        <w:tc>
          <w:tcPr>
            <w:tcW w:w="1134" w:type="dxa"/>
            <w:tcBorders>
              <w:bottom w:val="single" w:sz="4" w:space="0" w:color="auto"/>
            </w:tcBorders>
          </w:tcPr>
          <w:p w:rsidR="00402E60" w:rsidRPr="00873505" w:rsidRDefault="00402E60" w:rsidP="00402E60">
            <w:pPr>
              <w:jc w:val="right"/>
              <w:rPr>
                <w:rFonts w:ascii="Arial" w:eastAsia="Calibri" w:hAnsi="Arial" w:cs="Arial"/>
                <w:sz w:val="19"/>
                <w:szCs w:val="19"/>
              </w:rPr>
            </w:pPr>
            <w:r w:rsidRPr="00873505">
              <w:rPr>
                <w:rFonts w:ascii="Arial" w:eastAsia="Calibri" w:hAnsi="Arial" w:cs="Arial"/>
                <w:sz w:val="19"/>
                <w:szCs w:val="19"/>
              </w:rPr>
              <w:t>(16)</w:t>
            </w:r>
          </w:p>
        </w:tc>
      </w:tr>
      <w:tr w:rsidR="00402E60" w:rsidRPr="00C46A29" w:rsidTr="00402E60">
        <w:tc>
          <w:tcPr>
            <w:tcW w:w="3458" w:type="dxa"/>
            <w:shd w:val="clear" w:color="auto" w:fill="auto"/>
          </w:tcPr>
          <w:p w:rsidR="00402E60" w:rsidRPr="00873505" w:rsidRDefault="00402E60" w:rsidP="00402E60">
            <w:pPr>
              <w:rPr>
                <w:rFonts w:ascii="Arial" w:eastAsia="Calibri" w:hAnsi="Arial" w:cs="Arial"/>
                <w:sz w:val="19"/>
                <w:szCs w:val="19"/>
              </w:rPr>
            </w:pPr>
            <w:r w:rsidRPr="00873505">
              <w:rPr>
                <w:rFonts w:ascii="Arial" w:eastAsia="Calibri" w:hAnsi="Arial" w:cs="Arial"/>
                <w:sz w:val="19"/>
                <w:szCs w:val="19"/>
              </w:rPr>
              <w:t>Deficit for the year</w:t>
            </w:r>
          </w:p>
        </w:tc>
        <w:tc>
          <w:tcPr>
            <w:tcW w:w="1302" w:type="dxa"/>
            <w:tcBorders>
              <w:top w:val="single" w:sz="4" w:space="0" w:color="auto"/>
              <w:bottom w:val="double" w:sz="4" w:space="0" w:color="auto"/>
            </w:tcBorders>
            <w:shd w:val="clear" w:color="auto" w:fill="auto"/>
          </w:tcPr>
          <w:p w:rsidR="00402E60" w:rsidRPr="00BC2CD5" w:rsidRDefault="00BC2CD5" w:rsidP="00402E60">
            <w:pPr>
              <w:jc w:val="right"/>
              <w:rPr>
                <w:rFonts w:ascii="Arial" w:eastAsia="Calibri" w:hAnsi="Arial" w:cs="Arial"/>
                <w:b/>
                <w:sz w:val="19"/>
                <w:szCs w:val="19"/>
              </w:rPr>
            </w:pPr>
            <w:r w:rsidRPr="00BC2CD5">
              <w:rPr>
                <w:rFonts w:ascii="Arial" w:eastAsia="Calibri" w:hAnsi="Arial" w:cs="Arial"/>
                <w:b/>
                <w:sz w:val="19"/>
                <w:szCs w:val="19"/>
              </w:rPr>
              <w:t>1,712</w:t>
            </w:r>
          </w:p>
        </w:tc>
        <w:tc>
          <w:tcPr>
            <w:tcW w:w="310" w:type="dxa"/>
          </w:tcPr>
          <w:p w:rsidR="00402E60" w:rsidRPr="00C46A29" w:rsidRDefault="00402E60" w:rsidP="00402E60">
            <w:pPr>
              <w:jc w:val="right"/>
              <w:rPr>
                <w:rFonts w:ascii="Arial" w:eastAsia="Calibri" w:hAnsi="Arial" w:cs="Arial"/>
                <w:sz w:val="19"/>
                <w:szCs w:val="19"/>
                <w:highlight w:val="yellow"/>
              </w:rPr>
            </w:pPr>
          </w:p>
        </w:tc>
        <w:tc>
          <w:tcPr>
            <w:tcW w:w="1134" w:type="dxa"/>
            <w:tcBorders>
              <w:top w:val="single" w:sz="4" w:space="0" w:color="auto"/>
              <w:bottom w:val="double" w:sz="4" w:space="0" w:color="auto"/>
            </w:tcBorders>
          </w:tcPr>
          <w:p w:rsidR="00402E60" w:rsidRPr="00873505" w:rsidRDefault="00402E60" w:rsidP="00402E60">
            <w:pPr>
              <w:jc w:val="right"/>
              <w:rPr>
                <w:rFonts w:ascii="Arial" w:eastAsia="Calibri" w:hAnsi="Arial" w:cs="Arial"/>
                <w:sz w:val="19"/>
                <w:szCs w:val="19"/>
              </w:rPr>
            </w:pPr>
            <w:r w:rsidRPr="00873505">
              <w:rPr>
                <w:rFonts w:ascii="Arial" w:eastAsia="Calibri" w:hAnsi="Arial" w:cs="Arial"/>
                <w:sz w:val="19"/>
                <w:szCs w:val="19"/>
              </w:rPr>
              <w:t>483</w:t>
            </w:r>
          </w:p>
        </w:tc>
      </w:tr>
    </w:tbl>
    <w:p w:rsidR="00402E60" w:rsidRPr="00C46A29" w:rsidRDefault="00402E60" w:rsidP="00402E60">
      <w:pPr>
        <w:rPr>
          <w:rFonts w:ascii="Arial" w:eastAsia="Calibri" w:hAnsi="Arial" w:cs="Arial"/>
          <w:sz w:val="19"/>
          <w:szCs w:val="19"/>
          <w:highlight w:val="yellow"/>
        </w:rPr>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694"/>
        <w:gridCol w:w="1696"/>
        <w:gridCol w:w="1695"/>
        <w:gridCol w:w="1695"/>
        <w:gridCol w:w="1696"/>
      </w:tblGrid>
      <w:tr w:rsidR="00402E60" w:rsidRPr="00C46A29" w:rsidTr="00402E60">
        <w:tc>
          <w:tcPr>
            <w:tcW w:w="1719" w:type="dxa"/>
            <w:shd w:val="clear" w:color="auto" w:fill="auto"/>
          </w:tcPr>
          <w:p w:rsidR="00402E60" w:rsidRPr="00C46A29" w:rsidRDefault="00402E60" w:rsidP="00402E60">
            <w:pPr>
              <w:rPr>
                <w:rFonts w:ascii="Arial" w:eastAsia="Calibri" w:hAnsi="Arial" w:cs="Arial"/>
                <w:sz w:val="19"/>
                <w:szCs w:val="19"/>
                <w:highlight w:val="yellow"/>
              </w:rPr>
            </w:pPr>
          </w:p>
        </w:tc>
        <w:tc>
          <w:tcPr>
            <w:tcW w:w="1694" w:type="dxa"/>
            <w:shd w:val="clear" w:color="auto" w:fill="auto"/>
          </w:tcPr>
          <w:p w:rsidR="00402E60" w:rsidRPr="00873505" w:rsidRDefault="00402E60" w:rsidP="00402E60">
            <w:pPr>
              <w:jc w:val="center"/>
              <w:rPr>
                <w:rFonts w:ascii="Arial" w:eastAsia="Calibri" w:hAnsi="Arial" w:cs="Arial"/>
                <w:b/>
                <w:sz w:val="19"/>
                <w:szCs w:val="19"/>
              </w:rPr>
            </w:pPr>
            <w:r w:rsidRPr="00873505">
              <w:rPr>
                <w:rFonts w:ascii="Arial" w:eastAsia="Calibri" w:hAnsi="Arial" w:cs="Arial"/>
                <w:b/>
                <w:sz w:val="19"/>
                <w:szCs w:val="19"/>
              </w:rPr>
              <w:t>2014/15</w:t>
            </w:r>
          </w:p>
        </w:tc>
        <w:tc>
          <w:tcPr>
            <w:tcW w:w="1696" w:type="dxa"/>
            <w:shd w:val="clear" w:color="auto" w:fill="auto"/>
          </w:tcPr>
          <w:p w:rsidR="00402E60" w:rsidRPr="00873505" w:rsidRDefault="00402E60" w:rsidP="00402E60">
            <w:pPr>
              <w:jc w:val="center"/>
              <w:rPr>
                <w:rFonts w:ascii="Arial" w:eastAsia="Calibri" w:hAnsi="Arial" w:cs="Arial"/>
                <w:b/>
                <w:sz w:val="19"/>
                <w:szCs w:val="19"/>
              </w:rPr>
            </w:pPr>
            <w:r w:rsidRPr="00873505">
              <w:rPr>
                <w:rFonts w:ascii="Arial" w:eastAsia="Calibri" w:hAnsi="Arial" w:cs="Arial"/>
                <w:b/>
                <w:sz w:val="19"/>
                <w:szCs w:val="19"/>
              </w:rPr>
              <w:t>2013/14</w:t>
            </w:r>
          </w:p>
        </w:tc>
        <w:tc>
          <w:tcPr>
            <w:tcW w:w="1695" w:type="dxa"/>
            <w:shd w:val="clear" w:color="auto" w:fill="auto"/>
          </w:tcPr>
          <w:p w:rsidR="00402E60" w:rsidRPr="00873505" w:rsidRDefault="00402E60" w:rsidP="00402E60">
            <w:pPr>
              <w:jc w:val="center"/>
              <w:rPr>
                <w:rFonts w:ascii="Arial" w:eastAsia="Calibri" w:hAnsi="Arial" w:cs="Arial"/>
                <w:b/>
                <w:sz w:val="19"/>
                <w:szCs w:val="19"/>
              </w:rPr>
            </w:pPr>
            <w:r w:rsidRPr="00873505">
              <w:rPr>
                <w:rFonts w:ascii="Arial" w:eastAsia="Calibri" w:hAnsi="Arial" w:cs="Arial"/>
                <w:b/>
                <w:sz w:val="19"/>
                <w:szCs w:val="19"/>
              </w:rPr>
              <w:t>2012/13</w:t>
            </w:r>
          </w:p>
        </w:tc>
        <w:tc>
          <w:tcPr>
            <w:tcW w:w="1695" w:type="dxa"/>
            <w:shd w:val="clear" w:color="auto" w:fill="auto"/>
          </w:tcPr>
          <w:p w:rsidR="00402E60" w:rsidRPr="00873505" w:rsidRDefault="00402E60" w:rsidP="00402E60">
            <w:pPr>
              <w:jc w:val="center"/>
              <w:rPr>
                <w:rFonts w:ascii="Arial" w:eastAsia="Calibri" w:hAnsi="Arial" w:cs="Arial"/>
                <w:b/>
                <w:sz w:val="19"/>
                <w:szCs w:val="19"/>
              </w:rPr>
            </w:pPr>
            <w:r w:rsidRPr="00873505">
              <w:rPr>
                <w:rFonts w:ascii="Arial" w:eastAsia="Calibri" w:hAnsi="Arial" w:cs="Arial"/>
                <w:b/>
                <w:sz w:val="19"/>
                <w:szCs w:val="19"/>
              </w:rPr>
              <w:t>2011/12</w:t>
            </w:r>
          </w:p>
        </w:tc>
        <w:tc>
          <w:tcPr>
            <w:tcW w:w="1696" w:type="dxa"/>
            <w:shd w:val="clear" w:color="auto" w:fill="auto"/>
          </w:tcPr>
          <w:p w:rsidR="00402E60" w:rsidRPr="00873505" w:rsidRDefault="00402E60" w:rsidP="00402E60">
            <w:pPr>
              <w:jc w:val="center"/>
              <w:rPr>
                <w:rFonts w:ascii="Arial" w:eastAsia="Calibri" w:hAnsi="Arial" w:cs="Arial"/>
                <w:b/>
                <w:sz w:val="19"/>
                <w:szCs w:val="19"/>
              </w:rPr>
            </w:pPr>
            <w:r w:rsidRPr="00873505">
              <w:rPr>
                <w:rFonts w:ascii="Arial" w:eastAsia="Calibri" w:hAnsi="Arial" w:cs="Arial"/>
                <w:b/>
                <w:sz w:val="19"/>
                <w:szCs w:val="19"/>
              </w:rPr>
              <w:t>2010/11</w:t>
            </w:r>
          </w:p>
        </w:tc>
      </w:tr>
      <w:tr w:rsidR="00402E60" w:rsidRPr="00C46A29" w:rsidTr="00402E60">
        <w:tc>
          <w:tcPr>
            <w:tcW w:w="1719" w:type="dxa"/>
            <w:shd w:val="clear" w:color="auto" w:fill="auto"/>
          </w:tcPr>
          <w:p w:rsidR="00402E60" w:rsidRPr="00C46A29" w:rsidRDefault="00402E60" w:rsidP="00402E60">
            <w:pPr>
              <w:rPr>
                <w:rFonts w:ascii="Arial" w:eastAsia="Calibri" w:hAnsi="Arial" w:cs="Arial"/>
                <w:sz w:val="19"/>
                <w:szCs w:val="19"/>
                <w:highlight w:val="yellow"/>
              </w:rPr>
            </w:pPr>
            <w:r w:rsidRPr="00873505">
              <w:rPr>
                <w:rFonts w:ascii="Arial" w:eastAsia="Calibri" w:hAnsi="Arial" w:cs="Arial"/>
                <w:sz w:val="19"/>
                <w:szCs w:val="19"/>
              </w:rPr>
              <w:t>Surplus/(Deficit)</w:t>
            </w:r>
          </w:p>
        </w:tc>
        <w:tc>
          <w:tcPr>
            <w:tcW w:w="1694" w:type="dxa"/>
            <w:shd w:val="clear" w:color="auto" w:fill="auto"/>
          </w:tcPr>
          <w:p w:rsidR="00402E60" w:rsidRPr="00C46A29" w:rsidRDefault="00BC2CD5" w:rsidP="00402E60">
            <w:pPr>
              <w:jc w:val="center"/>
              <w:rPr>
                <w:rFonts w:ascii="Arial" w:eastAsia="Calibri" w:hAnsi="Arial" w:cs="Arial"/>
                <w:sz w:val="19"/>
                <w:szCs w:val="19"/>
                <w:highlight w:val="yellow"/>
              </w:rPr>
            </w:pPr>
            <w:r w:rsidRPr="00BC2CD5">
              <w:rPr>
                <w:rFonts w:ascii="Arial" w:eastAsia="Calibri" w:hAnsi="Arial" w:cs="Arial"/>
                <w:sz w:val="19"/>
                <w:szCs w:val="19"/>
              </w:rPr>
              <w:t>£1,712</w:t>
            </w:r>
            <w:r w:rsidR="00402E60" w:rsidRPr="00BC2CD5">
              <w:rPr>
                <w:rFonts w:ascii="Arial" w:eastAsia="Calibri" w:hAnsi="Arial" w:cs="Arial"/>
                <w:sz w:val="19"/>
                <w:szCs w:val="19"/>
              </w:rPr>
              <w:t>k</w:t>
            </w:r>
          </w:p>
        </w:tc>
        <w:tc>
          <w:tcPr>
            <w:tcW w:w="1696" w:type="dxa"/>
            <w:shd w:val="clear" w:color="auto" w:fill="auto"/>
          </w:tcPr>
          <w:p w:rsidR="00402E60" w:rsidRPr="00873505" w:rsidRDefault="00402E60" w:rsidP="00402E60">
            <w:pPr>
              <w:jc w:val="center"/>
              <w:rPr>
                <w:rFonts w:ascii="Arial" w:eastAsia="Calibri" w:hAnsi="Arial" w:cs="Arial"/>
                <w:sz w:val="19"/>
                <w:szCs w:val="19"/>
              </w:rPr>
            </w:pPr>
            <w:r w:rsidRPr="00873505">
              <w:rPr>
                <w:rFonts w:ascii="Arial" w:eastAsia="Calibri" w:hAnsi="Arial" w:cs="Arial"/>
                <w:sz w:val="19"/>
                <w:szCs w:val="19"/>
              </w:rPr>
              <w:t>£483k</w:t>
            </w:r>
          </w:p>
        </w:tc>
        <w:tc>
          <w:tcPr>
            <w:tcW w:w="1695" w:type="dxa"/>
            <w:shd w:val="clear" w:color="auto" w:fill="auto"/>
          </w:tcPr>
          <w:p w:rsidR="00402E60" w:rsidRPr="00873505" w:rsidRDefault="00402E60" w:rsidP="00402E60">
            <w:pPr>
              <w:jc w:val="center"/>
              <w:rPr>
                <w:rFonts w:ascii="Arial" w:eastAsia="Calibri" w:hAnsi="Arial" w:cs="Arial"/>
                <w:sz w:val="19"/>
                <w:szCs w:val="19"/>
              </w:rPr>
            </w:pPr>
            <w:r w:rsidRPr="00873505">
              <w:rPr>
                <w:rFonts w:ascii="Arial" w:eastAsia="Calibri" w:hAnsi="Arial" w:cs="Arial"/>
                <w:sz w:val="19"/>
                <w:szCs w:val="19"/>
              </w:rPr>
              <w:t>(£205k)*</w:t>
            </w:r>
          </w:p>
        </w:tc>
        <w:tc>
          <w:tcPr>
            <w:tcW w:w="1695" w:type="dxa"/>
            <w:shd w:val="clear" w:color="auto" w:fill="auto"/>
          </w:tcPr>
          <w:p w:rsidR="00402E60" w:rsidRPr="00873505" w:rsidRDefault="00402E60" w:rsidP="00402E60">
            <w:pPr>
              <w:jc w:val="center"/>
              <w:rPr>
                <w:rFonts w:ascii="Arial" w:eastAsia="Calibri" w:hAnsi="Arial" w:cs="Arial"/>
                <w:sz w:val="19"/>
                <w:szCs w:val="19"/>
              </w:rPr>
            </w:pPr>
            <w:r w:rsidRPr="00873505">
              <w:rPr>
                <w:rFonts w:ascii="Arial" w:eastAsia="Calibri" w:hAnsi="Arial" w:cs="Arial"/>
                <w:sz w:val="19"/>
                <w:szCs w:val="19"/>
              </w:rPr>
              <w:t>(£432k)</w:t>
            </w:r>
          </w:p>
        </w:tc>
        <w:tc>
          <w:tcPr>
            <w:tcW w:w="1696" w:type="dxa"/>
            <w:shd w:val="clear" w:color="auto" w:fill="auto"/>
          </w:tcPr>
          <w:p w:rsidR="00402E60" w:rsidRPr="00873505" w:rsidRDefault="00402E60" w:rsidP="00C717C4">
            <w:pPr>
              <w:jc w:val="center"/>
              <w:rPr>
                <w:rFonts w:ascii="Arial" w:eastAsia="Calibri" w:hAnsi="Arial" w:cs="Arial"/>
                <w:sz w:val="19"/>
                <w:szCs w:val="19"/>
              </w:rPr>
            </w:pPr>
            <w:r>
              <w:rPr>
                <w:rFonts w:ascii="Arial" w:eastAsia="Calibri" w:hAnsi="Arial" w:cs="Arial"/>
                <w:sz w:val="19"/>
                <w:szCs w:val="19"/>
              </w:rPr>
              <w:t>(£</w:t>
            </w:r>
            <w:r w:rsidR="00C717C4">
              <w:rPr>
                <w:rFonts w:ascii="Arial" w:eastAsia="Calibri" w:hAnsi="Arial" w:cs="Arial"/>
                <w:sz w:val="19"/>
                <w:szCs w:val="19"/>
              </w:rPr>
              <w:t>4</w:t>
            </w:r>
            <w:r w:rsidRPr="00873505">
              <w:rPr>
                <w:rFonts w:ascii="Arial" w:eastAsia="Calibri" w:hAnsi="Arial" w:cs="Arial"/>
                <w:sz w:val="19"/>
                <w:szCs w:val="19"/>
              </w:rPr>
              <w:t>2k)**</w:t>
            </w:r>
          </w:p>
        </w:tc>
      </w:tr>
    </w:tbl>
    <w:p w:rsidR="00402E60" w:rsidRPr="00C46A29" w:rsidRDefault="00402E60" w:rsidP="00402E60">
      <w:pPr>
        <w:rPr>
          <w:rFonts w:ascii="Arial" w:eastAsia="Calibri" w:hAnsi="Arial" w:cs="Arial"/>
          <w:sz w:val="19"/>
          <w:szCs w:val="19"/>
          <w:highlight w:val="yellow"/>
        </w:rPr>
      </w:pPr>
    </w:p>
    <w:p w:rsidR="00402E60" w:rsidRPr="00873505" w:rsidRDefault="00402E60" w:rsidP="00402E60">
      <w:pPr>
        <w:spacing w:after="0"/>
        <w:ind w:left="284" w:hanging="284"/>
        <w:rPr>
          <w:rFonts w:ascii="Arial" w:eastAsia="Calibri" w:hAnsi="Arial" w:cs="Arial"/>
          <w:sz w:val="19"/>
          <w:szCs w:val="19"/>
        </w:rPr>
      </w:pPr>
      <w:r w:rsidRPr="00873505">
        <w:rPr>
          <w:rFonts w:ascii="Arial" w:eastAsia="Calibri" w:hAnsi="Arial" w:cs="Arial"/>
          <w:sz w:val="19"/>
          <w:szCs w:val="19"/>
        </w:rPr>
        <w:t>*</w:t>
      </w:r>
      <w:r w:rsidRPr="00873505">
        <w:rPr>
          <w:rFonts w:ascii="Arial" w:eastAsia="Calibri" w:hAnsi="Arial" w:cs="Arial"/>
          <w:sz w:val="19"/>
          <w:szCs w:val="19"/>
        </w:rPr>
        <w:tab/>
        <w:t>The deficit reported in 2012/13 was £1,591k, however, this was after an exceptional charge of £1,386k related to a voluntary redundancy programme.  This has been adjusted for in the table above.</w:t>
      </w:r>
    </w:p>
    <w:p w:rsidR="00402E60" w:rsidRPr="00873505" w:rsidRDefault="00402E60" w:rsidP="00402E60">
      <w:pPr>
        <w:spacing w:after="0"/>
        <w:ind w:left="284" w:hanging="284"/>
        <w:rPr>
          <w:rFonts w:ascii="Arial" w:eastAsia="Calibri" w:hAnsi="Arial" w:cs="Arial"/>
          <w:sz w:val="19"/>
          <w:szCs w:val="19"/>
        </w:rPr>
      </w:pPr>
    </w:p>
    <w:p w:rsidR="00402E60" w:rsidRPr="00873505" w:rsidRDefault="00402E60" w:rsidP="00402E60">
      <w:pPr>
        <w:spacing w:after="0"/>
        <w:ind w:left="284" w:hanging="284"/>
        <w:rPr>
          <w:rFonts w:ascii="Arial" w:eastAsia="Calibri" w:hAnsi="Arial" w:cs="Arial"/>
          <w:sz w:val="19"/>
          <w:szCs w:val="19"/>
        </w:rPr>
      </w:pPr>
      <w:r w:rsidRPr="00873505">
        <w:rPr>
          <w:rFonts w:ascii="Arial" w:eastAsia="Calibri" w:hAnsi="Arial" w:cs="Arial"/>
          <w:sz w:val="19"/>
          <w:szCs w:val="19"/>
        </w:rPr>
        <w:t>**   The result reported in 2010/11 was a surplus of £3,228k, however, this was after an exceptional credit of £3,260k related to past pensions costs arising as a result of a government decision that increases in public sector pension schemes would be linked to the Consumer Price Index rather than the Retail Price Index.  This has also been adjusted for in the table above.</w:t>
      </w:r>
    </w:p>
    <w:p w:rsidR="00402E60" w:rsidRPr="00C46A29" w:rsidRDefault="00402E60" w:rsidP="00402E60">
      <w:pPr>
        <w:spacing w:after="0"/>
        <w:ind w:left="284" w:hanging="284"/>
        <w:rPr>
          <w:rFonts w:ascii="Arial" w:eastAsia="Calibri" w:hAnsi="Arial" w:cs="Arial"/>
          <w:sz w:val="19"/>
          <w:szCs w:val="19"/>
          <w:highlight w:val="yellow"/>
        </w:rPr>
      </w:pPr>
    </w:p>
    <w:p w:rsidR="00402E60" w:rsidRPr="00360D05" w:rsidRDefault="00402E60" w:rsidP="00402E60">
      <w:pPr>
        <w:rPr>
          <w:rFonts w:ascii="Arial" w:eastAsia="Calibri" w:hAnsi="Arial" w:cs="Arial"/>
          <w:sz w:val="19"/>
          <w:szCs w:val="19"/>
        </w:rPr>
      </w:pPr>
      <w:r w:rsidRPr="00360D05">
        <w:rPr>
          <w:rFonts w:ascii="Arial" w:eastAsia="Calibri" w:hAnsi="Arial" w:cs="Arial"/>
          <w:sz w:val="19"/>
          <w:szCs w:val="19"/>
        </w:rPr>
        <w:t>The key factors influencing this position have been:</w:t>
      </w:r>
    </w:p>
    <w:p w:rsidR="00402E60" w:rsidRPr="00360D05" w:rsidRDefault="00360D05" w:rsidP="00402E60">
      <w:pPr>
        <w:numPr>
          <w:ilvl w:val="0"/>
          <w:numId w:val="38"/>
        </w:numPr>
        <w:spacing w:after="0"/>
        <w:jc w:val="left"/>
        <w:rPr>
          <w:rFonts w:ascii="Arial" w:eastAsia="Calibri" w:hAnsi="Arial" w:cs="Arial"/>
          <w:sz w:val="19"/>
          <w:szCs w:val="19"/>
        </w:rPr>
      </w:pPr>
      <w:r>
        <w:rPr>
          <w:rFonts w:ascii="Arial" w:eastAsia="Calibri" w:hAnsi="Arial" w:cs="Arial"/>
          <w:sz w:val="19"/>
          <w:szCs w:val="19"/>
        </w:rPr>
        <w:t>Additional revenue generated through new business activities; and</w:t>
      </w:r>
    </w:p>
    <w:p w:rsidR="00402E60" w:rsidRPr="00360D05" w:rsidRDefault="00360D05" w:rsidP="00402E60">
      <w:pPr>
        <w:numPr>
          <w:ilvl w:val="0"/>
          <w:numId w:val="38"/>
        </w:numPr>
        <w:spacing w:after="0"/>
        <w:jc w:val="left"/>
        <w:rPr>
          <w:rFonts w:ascii="Arial" w:eastAsia="Calibri" w:hAnsi="Arial" w:cs="Arial"/>
          <w:sz w:val="19"/>
          <w:szCs w:val="19"/>
        </w:rPr>
      </w:pPr>
      <w:r>
        <w:rPr>
          <w:rFonts w:ascii="Arial" w:eastAsia="Calibri" w:hAnsi="Arial" w:cs="Arial"/>
          <w:sz w:val="19"/>
          <w:szCs w:val="19"/>
        </w:rPr>
        <w:t>Continued focus on cost reductions.</w:t>
      </w:r>
    </w:p>
    <w:p w:rsidR="00402E60" w:rsidRPr="00360D05" w:rsidRDefault="00402E60" w:rsidP="00402E60">
      <w:pPr>
        <w:spacing w:after="0"/>
        <w:ind w:left="720"/>
        <w:jc w:val="left"/>
        <w:rPr>
          <w:rFonts w:ascii="Arial" w:eastAsia="Calibri" w:hAnsi="Arial" w:cs="Arial"/>
          <w:sz w:val="19"/>
          <w:szCs w:val="19"/>
        </w:rPr>
      </w:pPr>
    </w:p>
    <w:p w:rsidR="00402E60" w:rsidRPr="00360D05" w:rsidRDefault="00402E60" w:rsidP="00402E60">
      <w:pPr>
        <w:rPr>
          <w:rFonts w:ascii="Arial" w:eastAsia="Calibri" w:hAnsi="Arial" w:cs="Arial"/>
          <w:sz w:val="19"/>
          <w:szCs w:val="19"/>
        </w:rPr>
      </w:pPr>
      <w:r w:rsidRPr="00360D05">
        <w:rPr>
          <w:rFonts w:ascii="Arial" w:eastAsia="Calibri" w:hAnsi="Arial" w:cs="Arial"/>
          <w:sz w:val="19"/>
          <w:szCs w:val="19"/>
        </w:rPr>
        <w:t>Despite this, there have been significant pressures on the financial position in the year:</w:t>
      </w:r>
    </w:p>
    <w:p w:rsidR="00402E60" w:rsidRPr="00360D05" w:rsidRDefault="00402E60" w:rsidP="00402E60">
      <w:pPr>
        <w:numPr>
          <w:ilvl w:val="0"/>
          <w:numId w:val="42"/>
        </w:numPr>
        <w:spacing w:after="0"/>
        <w:jc w:val="left"/>
        <w:rPr>
          <w:rFonts w:ascii="Arial" w:eastAsia="Calibri" w:hAnsi="Arial" w:cs="Arial"/>
          <w:sz w:val="19"/>
          <w:szCs w:val="19"/>
        </w:rPr>
      </w:pPr>
      <w:r w:rsidRPr="00360D05">
        <w:rPr>
          <w:rFonts w:ascii="Arial" w:eastAsia="Calibri" w:hAnsi="Arial" w:cs="Arial"/>
          <w:sz w:val="19"/>
          <w:szCs w:val="19"/>
        </w:rPr>
        <w:t>The impact of welfare reform, outlined above; and</w:t>
      </w:r>
    </w:p>
    <w:p w:rsidR="00402E60" w:rsidRPr="00360D05" w:rsidRDefault="00402E60" w:rsidP="00402E60">
      <w:pPr>
        <w:numPr>
          <w:ilvl w:val="0"/>
          <w:numId w:val="42"/>
        </w:numPr>
        <w:spacing w:after="0"/>
        <w:jc w:val="left"/>
        <w:rPr>
          <w:rFonts w:ascii="Arial" w:eastAsia="Calibri" w:hAnsi="Arial" w:cs="Arial"/>
          <w:sz w:val="19"/>
          <w:szCs w:val="19"/>
        </w:rPr>
      </w:pPr>
      <w:r w:rsidRPr="00360D05">
        <w:rPr>
          <w:rFonts w:ascii="Arial" w:eastAsia="Calibri" w:hAnsi="Arial" w:cs="Arial"/>
          <w:sz w:val="19"/>
          <w:szCs w:val="19"/>
        </w:rPr>
        <w:t>The cost of developing the business.</w:t>
      </w:r>
    </w:p>
    <w:p w:rsidR="00402E60" w:rsidRPr="00360D05" w:rsidRDefault="00402E60" w:rsidP="00402E60">
      <w:pPr>
        <w:spacing w:after="0"/>
        <w:jc w:val="left"/>
        <w:rPr>
          <w:rFonts w:ascii="Arial" w:eastAsia="Calibri" w:hAnsi="Arial" w:cs="Arial"/>
          <w:sz w:val="19"/>
          <w:szCs w:val="19"/>
        </w:rPr>
      </w:pPr>
    </w:p>
    <w:p w:rsidR="00360D05" w:rsidRPr="004F2030" w:rsidRDefault="00360D05" w:rsidP="00360D05">
      <w:pPr>
        <w:spacing w:after="0"/>
        <w:jc w:val="left"/>
        <w:rPr>
          <w:rFonts w:ascii="Arial" w:eastAsia="Calibri" w:hAnsi="Arial" w:cs="Arial"/>
          <w:b/>
          <w:sz w:val="19"/>
          <w:szCs w:val="19"/>
        </w:rPr>
      </w:pPr>
      <w:r w:rsidRPr="004F2030">
        <w:rPr>
          <w:rFonts w:ascii="Arial" w:eastAsia="Calibri" w:hAnsi="Arial" w:cs="Arial"/>
          <w:b/>
          <w:sz w:val="19"/>
          <w:szCs w:val="19"/>
        </w:rPr>
        <w:lastRenderedPageBreak/>
        <w:t>Strategic Report (continued)</w:t>
      </w:r>
    </w:p>
    <w:p w:rsidR="00360D05" w:rsidRPr="004F2030" w:rsidRDefault="00360D05" w:rsidP="00360D05">
      <w:pPr>
        <w:spacing w:after="0"/>
        <w:jc w:val="left"/>
        <w:rPr>
          <w:rFonts w:ascii="Arial" w:eastAsia="Calibri" w:hAnsi="Arial" w:cs="Arial"/>
          <w:b/>
          <w:sz w:val="19"/>
          <w:szCs w:val="19"/>
        </w:rPr>
      </w:pPr>
      <w:r w:rsidRPr="004F2030">
        <w:rPr>
          <w:rFonts w:ascii="Arial" w:eastAsia="Calibri" w:hAnsi="Arial" w:cs="Arial"/>
          <w:b/>
          <w:sz w:val="19"/>
          <w:szCs w:val="19"/>
        </w:rPr>
        <w:t xml:space="preserve">Review of the Business </w:t>
      </w:r>
      <w:r>
        <w:rPr>
          <w:rFonts w:ascii="Arial" w:eastAsia="Calibri" w:hAnsi="Arial" w:cs="Arial"/>
          <w:b/>
          <w:sz w:val="19"/>
          <w:szCs w:val="19"/>
        </w:rPr>
        <w:t>– Financial Results for the Year</w:t>
      </w:r>
      <w:r w:rsidRPr="004F2030">
        <w:rPr>
          <w:rFonts w:ascii="Arial" w:eastAsia="Calibri" w:hAnsi="Arial" w:cs="Arial"/>
          <w:b/>
          <w:sz w:val="19"/>
          <w:szCs w:val="19"/>
        </w:rPr>
        <w:t xml:space="preserve"> (continued)</w:t>
      </w:r>
    </w:p>
    <w:p w:rsidR="00360D05" w:rsidRDefault="00360D05" w:rsidP="00402E60">
      <w:pPr>
        <w:spacing w:after="0"/>
        <w:jc w:val="left"/>
        <w:rPr>
          <w:rFonts w:ascii="Arial" w:eastAsia="Calibri" w:hAnsi="Arial" w:cs="Arial"/>
          <w:sz w:val="19"/>
          <w:szCs w:val="19"/>
        </w:rPr>
      </w:pPr>
    </w:p>
    <w:p w:rsidR="00402E60" w:rsidRPr="00360D05" w:rsidRDefault="00402E60" w:rsidP="00402E60">
      <w:pPr>
        <w:spacing w:after="0"/>
        <w:jc w:val="left"/>
        <w:rPr>
          <w:rFonts w:ascii="Arial" w:eastAsia="Calibri" w:hAnsi="Arial" w:cs="Arial"/>
          <w:sz w:val="19"/>
          <w:szCs w:val="19"/>
        </w:rPr>
      </w:pPr>
      <w:r w:rsidRPr="00360D05">
        <w:rPr>
          <w:rFonts w:ascii="Arial" w:eastAsia="Calibri" w:hAnsi="Arial" w:cs="Arial"/>
          <w:sz w:val="19"/>
          <w:szCs w:val="19"/>
        </w:rPr>
        <w:t>We have successfully addressed these pressures and we have ensured that the costs associated with new business have been met from sources other than the management fee received from Northumberland County Council which represents rent-payers’ funding that cannot, legally, be spent on anything other than council housing.</w:t>
      </w:r>
    </w:p>
    <w:p w:rsidR="00402E60" w:rsidRPr="00360D05" w:rsidRDefault="00402E60" w:rsidP="00402E60">
      <w:pPr>
        <w:spacing w:after="0"/>
        <w:jc w:val="left"/>
        <w:rPr>
          <w:rFonts w:ascii="Arial" w:eastAsia="Calibri" w:hAnsi="Arial" w:cs="Arial"/>
          <w:sz w:val="19"/>
          <w:szCs w:val="19"/>
        </w:rPr>
      </w:pPr>
    </w:p>
    <w:p w:rsidR="00402E60" w:rsidRDefault="00402E60" w:rsidP="00402E60">
      <w:pPr>
        <w:spacing w:after="0"/>
        <w:jc w:val="left"/>
        <w:rPr>
          <w:rFonts w:ascii="Arial" w:eastAsia="Calibri" w:hAnsi="Arial" w:cs="Arial"/>
          <w:sz w:val="19"/>
          <w:szCs w:val="19"/>
        </w:rPr>
      </w:pPr>
      <w:r w:rsidRPr="00360D05">
        <w:rPr>
          <w:rFonts w:ascii="Arial" w:eastAsia="Calibri" w:hAnsi="Arial" w:cs="Arial"/>
          <w:sz w:val="19"/>
          <w:szCs w:val="19"/>
        </w:rPr>
        <w:t>Homes for Northumberland’s balance sheet</w:t>
      </w:r>
      <w:r w:rsidR="00360D05">
        <w:rPr>
          <w:rFonts w:ascii="Arial" w:eastAsia="Calibri" w:hAnsi="Arial" w:cs="Arial"/>
          <w:sz w:val="19"/>
          <w:szCs w:val="19"/>
        </w:rPr>
        <w:t xml:space="preserve"> indicated that the liquidity of the Company</w:t>
      </w:r>
      <w:r w:rsidRPr="00360D05">
        <w:rPr>
          <w:rFonts w:ascii="Arial" w:eastAsia="Calibri" w:hAnsi="Arial" w:cs="Arial"/>
          <w:sz w:val="19"/>
          <w:szCs w:val="19"/>
        </w:rPr>
        <w:t xml:space="preserve"> has improved</w:t>
      </w:r>
      <w:r w:rsidR="00360D05">
        <w:rPr>
          <w:rFonts w:ascii="Arial" w:eastAsia="Calibri" w:hAnsi="Arial" w:cs="Arial"/>
          <w:sz w:val="19"/>
          <w:szCs w:val="19"/>
        </w:rPr>
        <w:t xml:space="preserve">: </w:t>
      </w:r>
      <w:r w:rsidRPr="00360D05">
        <w:rPr>
          <w:rFonts w:ascii="Arial" w:eastAsia="Calibri" w:hAnsi="Arial" w:cs="Arial"/>
          <w:sz w:val="19"/>
          <w:szCs w:val="19"/>
        </w:rPr>
        <w:t xml:space="preserve">net </w:t>
      </w:r>
      <w:r w:rsidR="00360D05">
        <w:rPr>
          <w:rFonts w:ascii="Arial" w:eastAsia="Calibri" w:hAnsi="Arial" w:cs="Arial"/>
          <w:sz w:val="19"/>
          <w:szCs w:val="19"/>
        </w:rPr>
        <w:t>current assets increased from £0.3m to £1.5m between 31 March 2014 and 2015</w:t>
      </w:r>
      <w:r w:rsidRPr="00360D05">
        <w:rPr>
          <w:rFonts w:ascii="Arial" w:eastAsia="Calibri" w:hAnsi="Arial" w:cs="Arial"/>
          <w:sz w:val="19"/>
          <w:szCs w:val="19"/>
        </w:rPr>
        <w:t xml:space="preserve">. </w:t>
      </w:r>
      <w:r w:rsidR="00360D05">
        <w:rPr>
          <w:rFonts w:ascii="Arial" w:eastAsia="Calibri" w:hAnsi="Arial" w:cs="Arial"/>
          <w:sz w:val="19"/>
          <w:szCs w:val="19"/>
        </w:rPr>
        <w:t>This is mainly the result of an improved cash position (cash moved from nil to £1.7m between the two balance sheet dates).</w:t>
      </w:r>
    </w:p>
    <w:p w:rsidR="00360D05" w:rsidRDefault="00360D05" w:rsidP="00402E60">
      <w:pPr>
        <w:spacing w:after="0"/>
        <w:jc w:val="left"/>
        <w:rPr>
          <w:rFonts w:ascii="Arial" w:eastAsia="Calibri" w:hAnsi="Arial" w:cs="Arial"/>
          <w:sz w:val="19"/>
          <w:szCs w:val="19"/>
        </w:rPr>
      </w:pPr>
    </w:p>
    <w:p w:rsidR="00360D05" w:rsidRPr="00360D05" w:rsidRDefault="00360D05" w:rsidP="00402E60">
      <w:pPr>
        <w:spacing w:after="0"/>
        <w:jc w:val="left"/>
        <w:rPr>
          <w:rFonts w:ascii="Arial" w:eastAsia="Calibri" w:hAnsi="Arial" w:cs="Arial"/>
          <w:sz w:val="19"/>
          <w:szCs w:val="19"/>
        </w:rPr>
      </w:pPr>
      <w:r>
        <w:rPr>
          <w:rFonts w:ascii="Arial" w:eastAsia="Calibri" w:hAnsi="Arial" w:cs="Arial"/>
          <w:sz w:val="19"/>
          <w:szCs w:val="19"/>
        </w:rPr>
        <w:t>The other key movement in the balance sheet is an increase in the net pension liability which increased from £5.2m at the start of the year to £7.1m at the end. This is the net impact of an increase in defined benefit obligations (£5.9m) set against an increase in the value of assets (£4.0m).</w:t>
      </w:r>
    </w:p>
    <w:p w:rsidR="00402E60" w:rsidRDefault="00402E60" w:rsidP="00402E60">
      <w:pPr>
        <w:spacing w:after="0"/>
        <w:rPr>
          <w:rFonts w:ascii="Arial" w:eastAsia="Calibri" w:hAnsi="Arial" w:cs="Arial"/>
          <w:sz w:val="19"/>
          <w:szCs w:val="19"/>
        </w:rPr>
      </w:pPr>
    </w:p>
    <w:p w:rsidR="00360D05" w:rsidRPr="00070D17" w:rsidRDefault="00360D05" w:rsidP="00402E60">
      <w:pPr>
        <w:spacing w:after="0"/>
        <w:rPr>
          <w:rFonts w:ascii="Arial" w:eastAsia="Calibri" w:hAnsi="Arial" w:cs="Arial"/>
          <w:sz w:val="19"/>
          <w:szCs w:val="19"/>
        </w:rPr>
      </w:pPr>
    </w:p>
    <w:p w:rsidR="00402E60" w:rsidRPr="004212F6" w:rsidRDefault="00402E60" w:rsidP="00402E60">
      <w:pPr>
        <w:jc w:val="left"/>
        <w:rPr>
          <w:rFonts w:ascii="Arial" w:eastAsia="Calibri" w:hAnsi="Arial" w:cs="Arial"/>
          <w:b/>
          <w:szCs w:val="19"/>
        </w:rPr>
      </w:pPr>
      <w:r w:rsidRPr="004212F6">
        <w:rPr>
          <w:rFonts w:ascii="Arial" w:eastAsia="Calibri" w:hAnsi="Arial" w:cs="Arial"/>
          <w:b/>
          <w:szCs w:val="19"/>
        </w:rPr>
        <w:t>Future Developments</w:t>
      </w:r>
    </w:p>
    <w:p w:rsidR="00360D05" w:rsidRDefault="00FC3E6B" w:rsidP="00402E60">
      <w:pPr>
        <w:spacing w:after="0"/>
        <w:jc w:val="left"/>
        <w:rPr>
          <w:rFonts w:ascii="Arial" w:eastAsia="Calibri" w:hAnsi="Arial" w:cs="Arial"/>
          <w:sz w:val="19"/>
          <w:szCs w:val="19"/>
        </w:rPr>
      </w:pPr>
      <w:r w:rsidRPr="00360D05">
        <w:rPr>
          <w:rFonts w:ascii="Arial" w:eastAsia="Calibri" w:hAnsi="Arial" w:cs="Arial"/>
          <w:sz w:val="19"/>
          <w:szCs w:val="19"/>
        </w:rPr>
        <w:t>In the light of the Council’s decision to take direct contro</w:t>
      </w:r>
      <w:r w:rsidR="00360D05">
        <w:rPr>
          <w:rFonts w:ascii="Arial" w:eastAsia="Calibri" w:hAnsi="Arial" w:cs="Arial"/>
          <w:sz w:val="19"/>
          <w:szCs w:val="19"/>
        </w:rPr>
        <w:t>l of housing management, all of Homes for Northumberland Limited’s staff will transfer to the council under TUPE regulations. The core functions of the Company, housing management, repairs and maintenance, and capital improvements to the Council’s housing stock, together with the new strands of business that have been developed over the past two years, will be delivered by the Council.</w:t>
      </w:r>
    </w:p>
    <w:p w:rsidR="00360D05" w:rsidRDefault="00360D05" w:rsidP="00402E60">
      <w:pPr>
        <w:spacing w:after="0"/>
        <w:jc w:val="left"/>
        <w:rPr>
          <w:rFonts w:ascii="Arial" w:eastAsia="Calibri" w:hAnsi="Arial" w:cs="Arial"/>
          <w:sz w:val="19"/>
          <w:szCs w:val="19"/>
        </w:rPr>
      </w:pPr>
    </w:p>
    <w:p w:rsidR="00360D05" w:rsidRDefault="00360D05" w:rsidP="00402E60">
      <w:pPr>
        <w:spacing w:after="0"/>
        <w:jc w:val="left"/>
        <w:rPr>
          <w:rFonts w:ascii="Arial" w:eastAsia="Calibri" w:hAnsi="Arial" w:cs="Arial"/>
          <w:b/>
          <w:sz w:val="19"/>
          <w:szCs w:val="19"/>
        </w:rPr>
      </w:pPr>
      <w:r>
        <w:rPr>
          <w:rFonts w:ascii="Arial" w:eastAsia="Calibri" w:hAnsi="Arial" w:cs="Arial"/>
          <w:sz w:val="19"/>
          <w:szCs w:val="19"/>
        </w:rPr>
        <w:t>Homes for Northumberland Limited will continue as a corporate vehicle to hold the housing stock in Allendale and it will buy-in required services from the Council.</w:t>
      </w:r>
    </w:p>
    <w:p w:rsidR="00360D05" w:rsidRDefault="00360D05" w:rsidP="00402E60">
      <w:pPr>
        <w:spacing w:after="0"/>
        <w:jc w:val="left"/>
        <w:rPr>
          <w:rFonts w:ascii="Arial" w:eastAsia="Calibri" w:hAnsi="Arial" w:cs="Arial"/>
          <w:b/>
          <w:sz w:val="19"/>
          <w:szCs w:val="19"/>
        </w:rPr>
      </w:pPr>
    </w:p>
    <w:p w:rsidR="00402E60" w:rsidRDefault="00402E60" w:rsidP="00402E60">
      <w:pPr>
        <w:spacing w:after="0"/>
        <w:jc w:val="left"/>
        <w:rPr>
          <w:rFonts w:ascii="Arial" w:eastAsia="Calibri" w:hAnsi="Arial" w:cs="Arial"/>
          <w:b/>
          <w:sz w:val="19"/>
          <w:szCs w:val="19"/>
        </w:rPr>
      </w:pPr>
      <w:r w:rsidRPr="00360D05">
        <w:rPr>
          <w:rFonts w:ascii="Arial" w:eastAsia="Calibri" w:hAnsi="Arial" w:cs="Arial"/>
          <w:b/>
          <w:szCs w:val="19"/>
        </w:rPr>
        <w:t>Key Performance Indicators</w:t>
      </w:r>
    </w:p>
    <w:p w:rsidR="00402E60" w:rsidRPr="00070D17" w:rsidRDefault="00402E60" w:rsidP="00402E60">
      <w:pPr>
        <w:spacing w:after="0"/>
        <w:jc w:val="left"/>
        <w:rPr>
          <w:rFonts w:ascii="Arial" w:eastAsia="Calibri" w:hAnsi="Arial" w:cs="Arial"/>
          <w:b/>
          <w:sz w:val="19"/>
          <w:szCs w:val="19"/>
        </w:rPr>
      </w:pPr>
    </w:p>
    <w:p w:rsidR="00402E60" w:rsidRDefault="00402E60" w:rsidP="00402E60">
      <w:pPr>
        <w:spacing w:after="0"/>
        <w:jc w:val="left"/>
        <w:rPr>
          <w:rFonts w:ascii="Arial" w:eastAsia="Calibri" w:hAnsi="Arial" w:cs="Arial"/>
          <w:sz w:val="19"/>
          <w:szCs w:val="19"/>
        </w:rPr>
      </w:pPr>
      <w:r w:rsidRPr="00070D17">
        <w:rPr>
          <w:rFonts w:ascii="Arial" w:eastAsia="Calibri" w:hAnsi="Arial" w:cs="Arial"/>
          <w:sz w:val="19"/>
          <w:szCs w:val="19"/>
        </w:rPr>
        <w:t xml:space="preserve">The table below sets out the year-end position </w:t>
      </w:r>
      <w:r>
        <w:rPr>
          <w:rFonts w:ascii="Arial" w:eastAsia="Calibri" w:hAnsi="Arial" w:cs="Arial"/>
          <w:sz w:val="19"/>
          <w:szCs w:val="19"/>
        </w:rPr>
        <w:t>for</w:t>
      </w:r>
      <w:r w:rsidRPr="00070D17">
        <w:rPr>
          <w:rFonts w:ascii="Arial" w:eastAsia="Calibri" w:hAnsi="Arial" w:cs="Arial"/>
          <w:sz w:val="19"/>
          <w:szCs w:val="19"/>
        </w:rPr>
        <w:t xml:space="preserve"> those performance indicators that are used by management and the Strategic Board to monitor performance against objectives and overall strategy:</w:t>
      </w:r>
    </w:p>
    <w:p w:rsidR="00402E60" w:rsidRDefault="00402E60" w:rsidP="00402E60">
      <w:pPr>
        <w:spacing w:after="0"/>
        <w:jc w:val="left"/>
        <w:rPr>
          <w:rFonts w:ascii="Arial" w:eastAsia="Calibri" w:hAnsi="Arial" w:cs="Arial"/>
          <w:sz w:val="19"/>
          <w:szCs w:val="19"/>
        </w:rPr>
      </w:pP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21"/>
        <w:gridCol w:w="1316"/>
        <w:gridCol w:w="1316"/>
        <w:gridCol w:w="1041"/>
        <w:gridCol w:w="1218"/>
        <w:gridCol w:w="1296"/>
      </w:tblGrid>
      <w:tr w:rsidR="00402E60" w:rsidRPr="00070D17" w:rsidTr="00402E60">
        <w:trPr>
          <w:jc w:val="center"/>
        </w:trPr>
        <w:tc>
          <w:tcPr>
            <w:tcW w:w="2267" w:type="dxa"/>
            <w:shd w:val="clear" w:color="auto" w:fill="auto"/>
            <w:vAlign w:val="bottom"/>
          </w:tcPr>
          <w:p w:rsidR="00402E60" w:rsidRPr="00070D17" w:rsidRDefault="00402E60" w:rsidP="00402E60">
            <w:pPr>
              <w:jc w:val="center"/>
              <w:rPr>
                <w:rFonts w:ascii="Arial" w:eastAsia="Calibri" w:hAnsi="Arial" w:cs="Arial"/>
                <w:b/>
                <w:sz w:val="19"/>
                <w:szCs w:val="19"/>
              </w:rPr>
            </w:pPr>
            <w:r w:rsidRPr="00070D17">
              <w:rPr>
                <w:rFonts w:ascii="Arial" w:eastAsia="Calibri" w:hAnsi="Arial" w:cs="Arial"/>
                <w:b/>
                <w:sz w:val="19"/>
                <w:szCs w:val="19"/>
              </w:rPr>
              <w:t>Description</w:t>
            </w:r>
          </w:p>
        </w:tc>
        <w:tc>
          <w:tcPr>
            <w:tcW w:w="1221" w:type="dxa"/>
            <w:shd w:val="clear" w:color="auto" w:fill="auto"/>
            <w:vAlign w:val="bottom"/>
          </w:tcPr>
          <w:p w:rsidR="00402E60" w:rsidRPr="00070D17" w:rsidRDefault="00402E60" w:rsidP="00402E60">
            <w:pPr>
              <w:jc w:val="center"/>
              <w:rPr>
                <w:rFonts w:ascii="Arial" w:eastAsia="Calibri" w:hAnsi="Arial" w:cs="Arial"/>
                <w:b/>
                <w:sz w:val="19"/>
                <w:szCs w:val="19"/>
              </w:rPr>
            </w:pPr>
            <w:r w:rsidRPr="00070D17">
              <w:rPr>
                <w:rFonts w:ascii="Arial" w:eastAsia="Calibri" w:hAnsi="Arial" w:cs="Arial"/>
                <w:b/>
                <w:sz w:val="19"/>
                <w:szCs w:val="19"/>
              </w:rPr>
              <w:t>Is high or low better?</w:t>
            </w:r>
          </w:p>
        </w:tc>
        <w:tc>
          <w:tcPr>
            <w:tcW w:w="1316" w:type="dxa"/>
            <w:shd w:val="clear" w:color="auto" w:fill="auto"/>
            <w:vAlign w:val="bottom"/>
          </w:tcPr>
          <w:p w:rsidR="00402E60" w:rsidRPr="00070D17" w:rsidRDefault="00402E60" w:rsidP="00402E60">
            <w:pPr>
              <w:jc w:val="center"/>
              <w:rPr>
                <w:rFonts w:ascii="Arial" w:eastAsia="Calibri" w:hAnsi="Arial" w:cs="Arial"/>
                <w:b/>
                <w:sz w:val="19"/>
                <w:szCs w:val="19"/>
              </w:rPr>
            </w:pPr>
            <w:r>
              <w:rPr>
                <w:rFonts w:ascii="Arial" w:eastAsia="Calibri" w:hAnsi="Arial" w:cs="Arial"/>
                <w:b/>
                <w:sz w:val="19"/>
                <w:szCs w:val="19"/>
              </w:rPr>
              <w:t>Target 2014</w:t>
            </w:r>
            <w:r w:rsidRPr="00070D17">
              <w:rPr>
                <w:rFonts w:ascii="Arial" w:eastAsia="Calibri" w:hAnsi="Arial" w:cs="Arial"/>
                <w:b/>
                <w:sz w:val="19"/>
                <w:szCs w:val="19"/>
              </w:rPr>
              <w:t>/1</w:t>
            </w:r>
            <w:r>
              <w:rPr>
                <w:rFonts w:ascii="Arial" w:eastAsia="Calibri" w:hAnsi="Arial" w:cs="Arial"/>
                <w:b/>
                <w:sz w:val="19"/>
                <w:szCs w:val="19"/>
              </w:rPr>
              <w:t>5</w:t>
            </w:r>
          </w:p>
        </w:tc>
        <w:tc>
          <w:tcPr>
            <w:tcW w:w="1316" w:type="dxa"/>
            <w:shd w:val="clear" w:color="auto" w:fill="auto"/>
            <w:vAlign w:val="bottom"/>
          </w:tcPr>
          <w:p w:rsidR="00402E60" w:rsidRPr="00070D17" w:rsidRDefault="00402E60" w:rsidP="00402E60">
            <w:pPr>
              <w:jc w:val="center"/>
              <w:rPr>
                <w:rFonts w:ascii="Arial" w:eastAsia="Calibri" w:hAnsi="Arial" w:cs="Arial"/>
                <w:b/>
                <w:sz w:val="19"/>
                <w:szCs w:val="19"/>
              </w:rPr>
            </w:pPr>
            <w:r>
              <w:rPr>
                <w:rFonts w:ascii="Arial" w:eastAsia="Calibri" w:hAnsi="Arial" w:cs="Arial"/>
                <w:b/>
                <w:sz w:val="19"/>
                <w:szCs w:val="19"/>
              </w:rPr>
              <w:t>Outturn 2014</w:t>
            </w:r>
            <w:r w:rsidRPr="00070D17">
              <w:rPr>
                <w:rFonts w:ascii="Arial" w:eastAsia="Calibri" w:hAnsi="Arial" w:cs="Arial"/>
                <w:b/>
                <w:sz w:val="19"/>
                <w:szCs w:val="19"/>
              </w:rPr>
              <w:t>/1</w:t>
            </w:r>
            <w:r>
              <w:rPr>
                <w:rFonts w:ascii="Arial" w:eastAsia="Calibri" w:hAnsi="Arial" w:cs="Arial"/>
                <w:b/>
                <w:sz w:val="19"/>
                <w:szCs w:val="19"/>
              </w:rPr>
              <w:t>5</w:t>
            </w:r>
          </w:p>
        </w:tc>
        <w:tc>
          <w:tcPr>
            <w:tcW w:w="1041" w:type="dxa"/>
            <w:shd w:val="clear" w:color="auto" w:fill="auto"/>
            <w:vAlign w:val="bottom"/>
          </w:tcPr>
          <w:p w:rsidR="00402E60" w:rsidRPr="00070D17" w:rsidRDefault="00402E60" w:rsidP="00402E60">
            <w:pPr>
              <w:jc w:val="center"/>
              <w:rPr>
                <w:rFonts w:ascii="Arial" w:eastAsia="Calibri" w:hAnsi="Arial" w:cs="Arial"/>
                <w:b/>
                <w:sz w:val="19"/>
                <w:szCs w:val="19"/>
              </w:rPr>
            </w:pPr>
            <w:r w:rsidRPr="00070D17">
              <w:rPr>
                <w:rFonts w:ascii="Arial" w:eastAsia="Calibri" w:hAnsi="Arial" w:cs="Arial"/>
                <w:b/>
                <w:sz w:val="19"/>
                <w:szCs w:val="19"/>
              </w:rPr>
              <w:t>Target met?</w:t>
            </w:r>
          </w:p>
        </w:tc>
        <w:tc>
          <w:tcPr>
            <w:tcW w:w="1218" w:type="dxa"/>
            <w:shd w:val="clear" w:color="auto" w:fill="auto"/>
            <w:vAlign w:val="bottom"/>
          </w:tcPr>
          <w:p w:rsidR="00402E60" w:rsidRPr="00070D17" w:rsidRDefault="00402E60" w:rsidP="00402E60">
            <w:pPr>
              <w:jc w:val="center"/>
              <w:rPr>
                <w:rFonts w:ascii="Arial" w:eastAsia="Calibri" w:hAnsi="Arial" w:cs="Arial"/>
                <w:b/>
                <w:sz w:val="19"/>
                <w:szCs w:val="19"/>
              </w:rPr>
            </w:pPr>
            <w:r w:rsidRPr="00070D17">
              <w:rPr>
                <w:rFonts w:ascii="Arial" w:eastAsia="Calibri" w:hAnsi="Arial" w:cs="Arial"/>
                <w:b/>
                <w:sz w:val="19"/>
                <w:szCs w:val="19"/>
              </w:rPr>
              <w:t>Outturn 2013/14</w:t>
            </w:r>
          </w:p>
        </w:tc>
        <w:tc>
          <w:tcPr>
            <w:tcW w:w="1296" w:type="dxa"/>
            <w:shd w:val="clear" w:color="auto" w:fill="auto"/>
            <w:vAlign w:val="bottom"/>
          </w:tcPr>
          <w:p w:rsidR="00402E60" w:rsidRPr="00070D17" w:rsidRDefault="00402E60" w:rsidP="00402E60">
            <w:pPr>
              <w:jc w:val="center"/>
              <w:rPr>
                <w:rFonts w:ascii="Arial" w:eastAsia="Calibri" w:hAnsi="Arial" w:cs="Arial"/>
                <w:b/>
                <w:sz w:val="19"/>
                <w:szCs w:val="19"/>
              </w:rPr>
            </w:pPr>
            <w:r w:rsidRPr="00070D17">
              <w:rPr>
                <w:rFonts w:ascii="Arial" w:eastAsia="Calibri" w:hAnsi="Arial" w:cs="Arial"/>
                <w:b/>
                <w:sz w:val="19"/>
                <w:szCs w:val="19"/>
              </w:rPr>
              <w:t>Direction of travel between 2012/13 and 2013/14</w:t>
            </w:r>
          </w:p>
        </w:tc>
      </w:tr>
      <w:tr w:rsidR="00402E60" w:rsidRPr="00070D17" w:rsidTr="00402E60">
        <w:trPr>
          <w:jc w:val="center"/>
        </w:trPr>
        <w:tc>
          <w:tcPr>
            <w:tcW w:w="9675" w:type="dxa"/>
            <w:gridSpan w:val="7"/>
            <w:shd w:val="clear" w:color="auto" w:fill="auto"/>
          </w:tcPr>
          <w:p w:rsidR="00402E60" w:rsidRPr="00070D17" w:rsidRDefault="00402E60" w:rsidP="00402E60">
            <w:pPr>
              <w:rPr>
                <w:rFonts w:ascii="Arial" w:eastAsia="Calibri" w:hAnsi="Arial" w:cs="Arial"/>
                <w:b/>
                <w:sz w:val="19"/>
                <w:szCs w:val="19"/>
              </w:rPr>
            </w:pPr>
            <w:r w:rsidRPr="00070D17">
              <w:rPr>
                <w:rFonts w:ascii="Arial" w:eastAsia="Calibri" w:hAnsi="Arial" w:cs="Arial"/>
                <w:b/>
                <w:sz w:val="19"/>
                <w:szCs w:val="19"/>
              </w:rPr>
              <w:t>Corporate Services:</w:t>
            </w:r>
          </w:p>
        </w:tc>
      </w:tr>
      <w:tr w:rsidR="00402E60" w:rsidRPr="00070D17" w:rsidTr="00402E60">
        <w:trPr>
          <w:jc w:val="center"/>
        </w:trPr>
        <w:tc>
          <w:tcPr>
            <w:tcW w:w="2267" w:type="dxa"/>
            <w:shd w:val="clear" w:color="auto" w:fill="auto"/>
          </w:tcPr>
          <w:p w:rsidR="00402E60" w:rsidRPr="00070D17" w:rsidRDefault="00402E60" w:rsidP="00402E60">
            <w:pPr>
              <w:jc w:val="left"/>
              <w:rPr>
                <w:rFonts w:ascii="Arial" w:eastAsia="Calibri" w:hAnsi="Arial" w:cs="Arial"/>
                <w:sz w:val="19"/>
                <w:szCs w:val="19"/>
              </w:rPr>
            </w:pPr>
            <w:r w:rsidRPr="00070D17">
              <w:rPr>
                <w:rFonts w:ascii="Arial" w:eastAsia="Calibri" w:hAnsi="Arial" w:cs="Arial"/>
                <w:sz w:val="19"/>
                <w:szCs w:val="19"/>
              </w:rPr>
              <w:t>Average days lost to sickness</w:t>
            </w:r>
          </w:p>
        </w:tc>
        <w:tc>
          <w:tcPr>
            <w:tcW w:w="1221"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L</w:t>
            </w:r>
          </w:p>
        </w:tc>
        <w:tc>
          <w:tcPr>
            <w:tcW w:w="1316"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9.50</w:t>
            </w:r>
          </w:p>
        </w:tc>
        <w:tc>
          <w:tcPr>
            <w:tcW w:w="1316"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8.62</w:t>
            </w:r>
          </w:p>
        </w:tc>
        <w:tc>
          <w:tcPr>
            <w:tcW w:w="1041"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Y</w:t>
            </w:r>
          </w:p>
        </w:tc>
        <w:tc>
          <w:tcPr>
            <w:tcW w:w="1218"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10.62</w:t>
            </w:r>
          </w:p>
        </w:tc>
        <w:tc>
          <w:tcPr>
            <w:tcW w:w="1296"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noProof/>
                <w:sz w:val="19"/>
                <w:szCs w:val="19"/>
              </w:rPr>
              <mc:AlternateContent>
                <mc:Choice Requires="wps">
                  <w:drawing>
                    <wp:anchor distT="0" distB="0" distL="114300" distR="114300" simplePos="0" relativeHeight="251660302" behindDoc="0" locked="0" layoutInCell="1" allowOverlap="1" wp14:anchorId="128F693A" wp14:editId="128F693B">
                      <wp:simplePos x="0" y="0"/>
                      <wp:positionH relativeFrom="column">
                        <wp:posOffset>373380</wp:posOffset>
                      </wp:positionH>
                      <wp:positionV relativeFrom="paragraph">
                        <wp:posOffset>-1905</wp:posOffset>
                      </wp:positionV>
                      <wp:extent cx="635" cy="139065"/>
                      <wp:effectExtent l="60325" t="15240" r="53340" b="76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9.4pt;margin-top:-.15pt;width:.05pt;height:10.95pt;flip:y;z-index:251660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">
                      <v:stroke endarrow="block"/>
                    </v:shape>
                  </w:pict>
                </mc:Fallback>
              </mc:AlternateContent>
            </w:r>
          </w:p>
        </w:tc>
      </w:tr>
      <w:tr w:rsidR="00402E60" w:rsidRPr="00070D17" w:rsidTr="00402E60">
        <w:trPr>
          <w:jc w:val="center"/>
        </w:trPr>
        <w:tc>
          <w:tcPr>
            <w:tcW w:w="2267" w:type="dxa"/>
            <w:shd w:val="clear" w:color="auto" w:fill="auto"/>
          </w:tcPr>
          <w:p w:rsidR="00402E60" w:rsidRPr="00070D17" w:rsidRDefault="00402E60" w:rsidP="00402E60">
            <w:pPr>
              <w:jc w:val="left"/>
              <w:rPr>
                <w:rFonts w:ascii="Arial" w:eastAsia="Calibri" w:hAnsi="Arial" w:cs="Arial"/>
                <w:sz w:val="19"/>
                <w:szCs w:val="19"/>
              </w:rPr>
            </w:pPr>
            <w:r w:rsidRPr="00070D17">
              <w:rPr>
                <w:rFonts w:ascii="Arial" w:eastAsia="Calibri" w:hAnsi="Arial" w:cs="Arial"/>
                <w:sz w:val="19"/>
                <w:szCs w:val="19"/>
              </w:rPr>
              <w:t>Total number of complaints</w:t>
            </w:r>
          </w:p>
        </w:tc>
        <w:tc>
          <w:tcPr>
            <w:tcW w:w="1221" w:type="dxa"/>
            <w:shd w:val="clear" w:color="auto" w:fill="auto"/>
            <w:vAlign w:val="center"/>
          </w:tcPr>
          <w:p w:rsidR="00402E60" w:rsidRPr="00070D17" w:rsidRDefault="00402E60" w:rsidP="00402E60">
            <w:pPr>
              <w:jc w:val="center"/>
              <w:rPr>
                <w:rFonts w:ascii="Arial" w:hAnsi="Arial" w:cs="Arial"/>
                <w:color w:val="000000"/>
                <w:sz w:val="19"/>
                <w:szCs w:val="19"/>
              </w:rPr>
            </w:pPr>
            <w:r w:rsidRPr="00070D17">
              <w:rPr>
                <w:rFonts w:ascii="Arial" w:hAnsi="Arial" w:cs="Arial"/>
                <w:color w:val="000000"/>
                <w:sz w:val="19"/>
                <w:szCs w:val="19"/>
              </w:rPr>
              <w:t>H</w:t>
            </w:r>
            <w:r>
              <w:rPr>
                <w:rFonts w:ascii="Arial" w:hAnsi="Arial" w:cs="Arial"/>
                <w:color w:val="000000"/>
                <w:sz w:val="19"/>
                <w:szCs w:val="19"/>
              </w:rPr>
              <w:t>*</w:t>
            </w:r>
          </w:p>
        </w:tc>
        <w:tc>
          <w:tcPr>
            <w:tcW w:w="1316" w:type="dxa"/>
            <w:shd w:val="clear" w:color="auto" w:fill="auto"/>
            <w:vAlign w:val="center"/>
          </w:tcPr>
          <w:p w:rsidR="00402E60" w:rsidRPr="00070D17" w:rsidRDefault="00402E60" w:rsidP="00402E60">
            <w:pPr>
              <w:jc w:val="center"/>
              <w:rPr>
                <w:rFonts w:ascii="Arial" w:hAnsi="Arial" w:cs="Arial"/>
                <w:color w:val="000000"/>
                <w:sz w:val="19"/>
                <w:szCs w:val="19"/>
              </w:rPr>
            </w:pPr>
            <w:r>
              <w:rPr>
                <w:rFonts w:ascii="Arial" w:hAnsi="Arial" w:cs="Arial"/>
                <w:color w:val="000000"/>
                <w:sz w:val="19"/>
                <w:szCs w:val="19"/>
              </w:rPr>
              <w:t>360</w:t>
            </w:r>
          </w:p>
        </w:tc>
        <w:tc>
          <w:tcPr>
            <w:tcW w:w="1316" w:type="dxa"/>
            <w:shd w:val="clear" w:color="auto" w:fill="auto"/>
            <w:vAlign w:val="center"/>
          </w:tcPr>
          <w:p w:rsidR="00402E60" w:rsidRPr="00070D17" w:rsidRDefault="00402E60" w:rsidP="00402E60">
            <w:pPr>
              <w:jc w:val="center"/>
              <w:rPr>
                <w:rFonts w:ascii="Arial" w:hAnsi="Arial" w:cs="Arial"/>
                <w:color w:val="000000"/>
                <w:sz w:val="19"/>
                <w:szCs w:val="19"/>
              </w:rPr>
            </w:pPr>
            <w:r>
              <w:rPr>
                <w:rFonts w:ascii="Arial" w:hAnsi="Arial" w:cs="Arial"/>
                <w:color w:val="000000"/>
                <w:sz w:val="19"/>
                <w:szCs w:val="19"/>
              </w:rPr>
              <w:t>228</w:t>
            </w:r>
          </w:p>
        </w:tc>
        <w:tc>
          <w:tcPr>
            <w:tcW w:w="1041" w:type="dxa"/>
            <w:shd w:val="clear" w:color="auto" w:fill="auto"/>
            <w:vAlign w:val="center"/>
          </w:tcPr>
          <w:p w:rsidR="00402E60" w:rsidRPr="00070D17" w:rsidRDefault="00402E60" w:rsidP="00402E60">
            <w:pPr>
              <w:jc w:val="center"/>
              <w:rPr>
                <w:rFonts w:ascii="Arial" w:hAnsi="Arial" w:cs="Arial"/>
                <w:color w:val="000000"/>
                <w:sz w:val="19"/>
                <w:szCs w:val="19"/>
              </w:rPr>
            </w:pPr>
            <w:r>
              <w:rPr>
                <w:rFonts w:ascii="Arial" w:hAnsi="Arial" w:cs="Arial"/>
                <w:color w:val="000000"/>
                <w:sz w:val="19"/>
                <w:szCs w:val="19"/>
              </w:rPr>
              <w:t>N</w:t>
            </w:r>
          </w:p>
        </w:tc>
        <w:tc>
          <w:tcPr>
            <w:tcW w:w="1218" w:type="dxa"/>
            <w:shd w:val="clear" w:color="auto" w:fill="auto"/>
            <w:vAlign w:val="center"/>
          </w:tcPr>
          <w:p w:rsidR="00402E60" w:rsidRPr="00070D17" w:rsidRDefault="00402E60" w:rsidP="00402E60">
            <w:pPr>
              <w:jc w:val="center"/>
              <w:rPr>
                <w:rFonts w:ascii="Arial" w:hAnsi="Arial" w:cs="Arial"/>
                <w:color w:val="000000"/>
                <w:sz w:val="19"/>
                <w:szCs w:val="19"/>
              </w:rPr>
            </w:pPr>
            <w:r>
              <w:rPr>
                <w:rFonts w:ascii="Arial" w:hAnsi="Arial" w:cs="Arial"/>
                <w:color w:val="000000"/>
                <w:sz w:val="19"/>
                <w:szCs w:val="19"/>
              </w:rPr>
              <w:t>285</w:t>
            </w:r>
          </w:p>
        </w:tc>
        <w:tc>
          <w:tcPr>
            <w:tcW w:w="1296"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noProof/>
                <w:sz w:val="19"/>
                <w:szCs w:val="19"/>
              </w:rPr>
              <mc:AlternateContent>
                <mc:Choice Requires="wps">
                  <w:drawing>
                    <wp:anchor distT="0" distB="0" distL="114300" distR="114300" simplePos="0" relativeHeight="251668494" behindDoc="0" locked="0" layoutInCell="1" allowOverlap="1" wp14:anchorId="128F693C" wp14:editId="128F693D">
                      <wp:simplePos x="0" y="0"/>
                      <wp:positionH relativeFrom="column">
                        <wp:posOffset>374650</wp:posOffset>
                      </wp:positionH>
                      <wp:positionV relativeFrom="paragraph">
                        <wp:posOffset>5080</wp:posOffset>
                      </wp:positionV>
                      <wp:extent cx="635" cy="175895"/>
                      <wp:effectExtent l="76200" t="0" r="75565" b="5270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9.5pt;margin-top:.4pt;width:.05pt;height:13.85pt;z-index:251668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">
                      <v:stroke endarrow="block"/>
                    </v:shape>
                  </w:pict>
                </mc:Fallback>
              </mc:AlternateContent>
            </w:r>
          </w:p>
        </w:tc>
      </w:tr>
      <w:tr w:rsidR="00402E60" w:rsidRPr="00070D17" w:rsidTr="00402E60">
        <w:trPr>
          <w:jc w:val="center"/>
        </w:trPr>
        <w:tc>
          <w:tcPr>
            <w:tcW w:w="9675" w:type="dxa"/>
            <w:gridSpan w:val="7"/>
            <w:shd w:val="clear" w:color="auto" w:fill="auto"/>
            <w:vAlign w:val="center"/>
          </w:tcPr>
          <w:p w:rsidR="00402E60" w:rsidRPr="00070D17" w:rsidRDefault="00402E60" w:rsidP="00402E60">
            <w:pPr>
              <w:jc w:val="left"/>
              <w:rPr>
                <w:rFonts w:ascii="Arial" w:eastAsia="Calibri" w:hAnsi="Arial" w:cs="Arial"/>
                <w:sz w:val="19"/>
                <w:szCs w:val="19"/>
              </w:rPr>
            </w:pPr>
            <w:r w:rsidRPr="00070D17">
              <w:rPr>
                <w:rFonts w:ascii="Arial" w:eastAsia="Calibri" w:hAnsi="Arial" w:cs="Arial"/>
                <w:b/>
                <w:sz w:val="19"/>
                <w:szCs w:val="19"/>
              </w:rPr>
              <w:t>Neighbourhood Services:</w:t>
            </w:r>
          </w:p>
        </w:tc>
      </w:tr>
      <w:tr w:rsidR="00402E60" w:rsidRPr="00070D17" w:rsidTr="00402E60">
        <w:trPr>
          <w:jc w:val="center"/>
        </w:trPr>
        <w:tc>
          <w:tcPr>
            <w:tcW w:w="2267" w:type="dxa"/>
            <w:shd w:val="clear" w:color="auto" w:fill="auto"/>
          </w:tcPr>
          <w:p w:rsidR="00402E60" w:rsidRPr="00070D17" w:rsidRDefault="00402E60" w:rsidP="00402E60">
            <w:pPr>
              <w:jc w:val="left"/>
              <w:rPr>
                <w:rFonts w:ascii="Arial" w:eastAsia="Calibri" w:hAnsi="Arial" w:cs="Arial"/>
                <w:sz w:val="19"/>
                <w:szCs w:val="19"/>
              </w:rPr>
            </w:pPr>
            <w:r w:rsidRPr="00070D17">
              <w:rPr>
                <w:rFonts w:ascii="Arial" w:eastAsia="Calibri" w:hAnsi="Arial" w:cs="Arial"/>
                <w:sz w:val="19"/>
                <w:szCs w:val="19"/>
              </w:rPr>
              <w:t>Percentage of Customer Service Centre Calls abandoned</w:t>
            </w:r>
          </w:p>
        </w:tc>
        <w:tc>
          <w:tcPr>
            <w:tcW w:w="1221"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L</w:t>
            </w:r>
          </w:p>
        </w:tc>
        <w:tc>
          <w:tcPr>
            <w:tcW w:w="1316"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4.00</w:t>
            </w:r>
          </w:p>
        </w:tc>
        <w:tc>
          <w:tcPr>
            <w:tcW w:w="1316"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1.50</w:t>
            </w:r>
          </w:p>
        </w:tc>
        <w:tc>
          <w:tcPr>
            <w:tcW w:w="1041"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Y</w:t>
            </w:r>
          </w:p>
        </w:tc>
        <w:tc>
          <w:tcPr>
            <w:tcW w:w="1218"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2.59</w:t>
            </w:r>
          </w:p>
        </w:tc>
        <w:tc>
          <w:tcPr>
            <w:tcW w:w="1296"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noProof/>
                <w:sz w:val="19"/>
                <w:szCs w:val="19"/>
              </w:rPr>
              <mc:AlternateContent>
                <mc:Choice Requires="wps">
                  <w:drawing>
                    <wp:anchor distT="0" distB="0" distL="114300" distR="114300" simplePos="0" relativeHeight="251663374" behindDoc="0" locked="0" layoutInCell="1" allowOverlap="1" wp14:anchorId="128F693E" wp14:editId="128F693F">
                      <wp:simplePos x="0" y="0"/>
                      <wp:positionH relativeFrom="column">
                        <wp:posOffset>373380</wp:posOffset>
                      </wp:positionH>
                      <wp:positionV relativeFrom="paragraph">
                        <wp:posOffset>-1905</wp:posOffset>
                      </wp:positionV>
                      <wp:extent cx="635" cy="139065"/>
                      <wp:effectExtent l="60325" t="20955" r="53340"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9.4pt;margin-top:-.15pt;width:.05pt;height:10.95pt;flip:y;z-index:251663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">
                      <v:stroke endarrow="block"/>
                    </v:shape>
                  </w:pict>
                </mc:Fallback>
              </mc:AlternateContent>
            </w:r>
          </w:p>
        </w:tc>
      </w:tr>
      <w:tr w:rsidR="00402E60" w:rsidRPr="00070D17" w:rsidTr="00402E60">
        <w:trPr>
          <w:jc w:val="center"/>
        </w:trPr>
        <w:tc>
          <w:tcPr>
            <w:tcW w:w="2267" w:type="dxa"/>
            <w:shd w:val="clear" w:color="auto" w:fill="auto"/>
          </w:tcPr>
          <w:p w:rsidR="00402E60" w:rsidRPr="00070D17" w:rsidRDefault="00402E60" w:rsidP="00402E60">
            <w:pPr>
              <w:jc w:val="left"/>
              <w:rPr>
                <w:rFonts w:ascii="Arial" w:eastAsia="Calibri" w:hAnsi="Arial" w:cs="Arial"/>
                <w:sz w:val="19"/>
                <w:szCs w:val="19"/>
              </w:rPr>
            </w:pPr>
            <w:r w:rsidRPr="00070D17">
              <w:rPr>
                <w:rFonts w:ascii="Arial" w:eastAsia="Calibri" w:hAnsi="Arial" w:cs="Arial"/>
                <w:sz w:val="19"/>
                <w:szCs w:val="19"/>
              </w:rPr>
              <w:t>Percentage of enquiries dealt with at the first point of contact</w:t>
            </w:r>
          </w:p>
        </w:tc>
        <w:tc>
          <w:tcPr>
            <w:tcW w:w="1221"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H</w:t>
            </w:r>
          </w:p>
        </w:tc>
        <w:tc>
          <w:tcPr>
            <w:tcW w:w="1316"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95</w:t>
            </w:r>
          </w:p>
        </w:tc>
        <w:tc>
          <w:tcPr>
            <w:tcW w:w="1316"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97.66</w:t>
            </w:r>
          </w:p>
        </w:tc>
        <w:tc>
          <w:tcPr>
            <w:tcW w:w="1041"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Y</w:t>
            </w:r>
          </w:p>
        </w:tc>
        <w:tc>
          <w:tcPr>
            <w:tcW w:w="1218"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90.18</w:t>
            </w:r>
          </w:p>
        </w:tc>
        <w:tc>
          <w:tcPr>
            <w:tcW w:w="1296"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noProof/>
                <w:sz w:val="19"/>
                <w:szCs w:val="19"/>
              </w:rPr>
              <mc:AlternateContent>
                <mc:Choice Requires="wps">
                  <w:drawing>
                    <wp:anchor distT="0" distB="0" distL="114300" distR="114300" simplePos="0" relativeHeight="251664398" behindDoc="0" locked="0" layoutInCell="1" allowOverlap="1" wp14:anchorId="128F6940" wp14:editId="128F6941">
                      <wp:simplePos x="0" y="0"/>
                      <wp:positionH relativeFrom="column">
                        <wp:posOffset>373380</wp:posOffset>
                      </wp:positionH>
                      <wp:positionV relativeFrom="paragraph">
                        <wp:posOffset>-1905</wp:posOffset>
                      </wp:positionV>
                      <wp:extent cx="635" cy="139065"/>
                      <wp:effectExtent l="60325" t="23495" r="53340" b="88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9.4pt;margin-top:-.15pt;width:.05pt;height:10.95pt;flip:y;z-index:251664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">
                      <v:stroke endarrow="block"/>
                    </v:shape>
                  </w:pict>
                </mc:Fallback>
              </mc:AlternateContent>
            </w:r>
          </w:p>
        </w:tc>
      </w:tr>
      <w:tr w:rsidR="00402E60" w:rsidRPr="00070D17" w:rsidTr="00402E60">
        <w:trPr>
          <w:jc w:val="center"/>
        </w:trPr>
        <w:tc>
          <w:tcPr>
            <w:tcW w:w="2267" w:type="dxa"/>
            <w:shd w:val="clear" w:color="auto" w:fill="auto"/>
          </w:tcPr>
          <w:p w:rsidR="00402E60" w:rsidRPr="00070D17" w:rsidRDefault="00402E60" w:rsidP="00402E60">
            <w:pPr>
              <w:jc w:val="left"/>
              <w:rPr>
                <w:rFonts w:ascii="Arial" w:eastAsia="Calibri" w:hAnsi="Arial" w:cs="Arial"/>
                <w:sz w:val="19"/>
                <w:szCs w:val="19"/>
              </w:rPr>
            </w:pPr>
            <w:r w:rsidRPr="00070D17">
              <w:rPr>
                <w:rFonts w:ascii="Arial" w:eastAsia="Calibri" w:hAnsi="Arial" w:cs="Arial"/>
                <w:sz w:val="19"/>
                <w:szCs w:val="19"/>
              </w:rPr>
              <w:t>Percentage of calls answered in target time</w:t>
            </w:r>
          </w:p>
        </w:tc>
        <w:tc>
          <w:tcPr>
            <w:tcW w:w="1221"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H</w:t>
            </w:r>
          </w:p>
        </w:tc>
        <w:tc>
          <w:tcPr>
            <w:tcW w:w="1316"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80</w:t>
            </w:r>
          </w:p>
        </w:tc>
        <w:tc>
          <w:tcPr>
            <w:tcW w:w="1316"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88.89</w:t>
            </w:r>
          </w:p>
        </w:tc>
        <w:tc>
          <w:tcPr>
            <w:tcW w:w="1041"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Y</w:t>
            </w:r>
          </w:p>
        </w:tc>
        <w:tc>
          <w:tcPr>
            <w:tcW w:w="1218"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83.90</w:t>
            </w:r>
          </w:p>
        </w:tc>
        <w:tc>
          <w:tcPr>
            <w:tcW w:w="1296"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noProof/>
                <w:sz w:val="19"/>
                <w:szCs w:val="19"/>
              </w:rPr>
              <mc:AlternateContent>
                <mc:Choice Requires="wps">
                  <w:drawing>
                    <wp:anchor distT="0" distB="0" distL="114300" distR="114300" simplePos="0" relativeHeight="251669518" behindDoc="0" locked="0" layoutInCell="1" allowOverlap="1" wp14:anchorId="128F6942" wp14:editId="128F6943">
                      <wp:simplePos x="0" y="0"/>
                      <wp:positionH relativeFrom="column">
                        <wp:posOffset>368935</wp:posOffset>
                      </wp:positionH>
                      <wp:positionV relativeFrom="paragraph">
                        <wp:posOffset>13970</wp:posOffset>
                      </wp:positionV>
                      <wp:extent cx="635" cy="139065"/>
                      <wp:effectExtent l="76200" t="38100" r="75565"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9.05pt;margin-top:1.1pt;width:.05pt;height:10.95pt;flip:y;z-index:251669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">
                      <v:stroke endarrow="block"/>
                    </v:shape>
                  </w:pict>
                </mc:Fallback>
              </mc:AlternateContent>
            </w:r>
          </w:p>
        </w:tc>
      </w:tr>
      <w:tr w:rsidR="00402E60" w:rsidRPr="00070D17" w:rsidTr="00402E60">
        <w:trPr>
          <w:jc w:val="center"/>
        </w:trPr>
        <w:tc>
          <w:tcPr>
            <w:tcW w:w="2267" w:type="dxa"/>
            <w:shd w:val="clear" w:color="auto" w:fill="auto"/>
          </w:tcPr>
          <w:p w:rsidR="00402E60" w:rsidRPr="00070D17" w:rsidRDefault="00402E60" w:rsidP="00402E60">
            <w:pPr>
              <w:jc w:val="left"/>
              <w:rPr>
                <w:rFonts w:ascii="Arial" w:eastAsia="Calibri" w:hAnsi="Arial" w:cs="Arial"/>
                <w:sz w:val="19"/>
                <w:szCs w:val="19"/>
              </w:rPr>
            </w:pPr>
            <w:r w:rsidRPr="00070D17">
              <w:rPr>
                <w:rFonts w:ascii="Arial" w:eastAsia="Calibri" w:hAnsi="Arial" w:cs="Arial"/>
                <w:sz w:val="19"/>
                <w:szCs w:val="19"/>
              </w:rPr>
              <w:t>Current tenant rent arrears outstanding</w:t>
            </w:r>
          </w:p>
        </w:tc>
        <w:tc>
          <w:tcPr>
            <w:tcW w:w="1221"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L</w:t>
            </w:r>
          </w:p>
        </w:tc>
        <w:tc>
          <w:tcPr>
            <w:tcW w:w="1316"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£450,019</w:t>
            </w:r>
          </w:p>
        </w:tc>
        <w:tc>
          <w:tcPr>
            <w:tcW w:w="1316"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£575,580</w:t>
            </w:r>
          </w:p>
        </w:tc>
        <w:tc>
          <w:tcPr>
            <w:tcW w:w="1041"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N</w:t>
            </w:r>
          </w:p>
        </w:tc>
        <w:tc>
          <w:tcPr>
            <w:tcW w:w="1218"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£539,542</w:t>
            </w:r>
          </w:p>
        </w:tc>
        <w:tc>
          <w:tcPr>
            <w:tcW w:w="1296"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noProof/>
                <w:sz w:val="19"/>
                <w:szCs w:val="19"/>
              </w:rPr>
              <mc:AlternateContent>
                <mc:Choice Requires="wps">
                  <w:drawing>
                    <wp:anchor distT="0" distB="0" distL="114300" distR="114300" simplePos="0" relativeHeight="251661326" behindDoc="0" locked="0" layoutInCell="1" allowOverlap="1" wp14:anchorId="128F6944" wp14:editId="128F6945">
                      <wp:simplePos x="0" y="0"/>
                      <wp:positionH relativeFrom="column">
                        <wp:posOffset>374015</wp:posOffset>
                      </wp:positionH>
                      <wp:positionV relativeFrom="paragraph">
                        <wp:posOffset>12065</wp:posOffset>
                      </wp:positionV>
                      <wp:extent cx="635" cy="175895"/>
                      <wp:effectExtent l="60960" t="6985" r="52705" b="1714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9.45pt;margin-top:.95pt;width:.05pt;height:13.85pt;z-index:251661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SgOwIAAG8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">
                      <v:stroke endarrow="block"/>
                    </v:shape>
                  </w:pict>
                </mc:Fallback>
              </mc:AlternateContent>
            </w:r>
          </w:p>
        </w:tc>
      </w:tr>
      <w:tr w:rsidR="00402E60" w:rsidRPr="00070D17" w:rsidTr="00402E60">
        <w:trPr>
          <w:jc w:val="center"/>
        </w:trPr>
        <w:tc>
          <w:tcPr>
            <w:tcW w:w="2267" w:type="dxa"/>
            <w:shd w:val="clear" w:color="auto" w:fill="auto"/>
          </w:tcPr>
          <w:p w:rsidR="00402E60" w:rsidRPr="00070D17" w:rsidRDefault="00402E60" w:rsidP="00402E60">
            <w:pPr>
              <w:jc w:val="left"/>
              <w:rPr>
                <w:rFonts w:ascii="Arial" w:eastAsia="Calibri" w:hAnsi="Arial" w:cs="Arial"/>
                <w:sz w:val="19"/>
                <w:szCs w:val="19"/>
              </w:rPr>
            </w:pPr>
            <w:r>
              <w:rPr>
                <w:rFonts w:ascii="Arial" w:eastAsia="Calibri" w:hAnsi="Arial" w:cs="Arial"/>
                <w:sz w:val="19"/>
                <w:szCs w:val="19"/>
              </w:rPr>
              <w:t>Former</w:t>
            </w:r>
            <w:r w:rsidRPr="00070D17">
              <w:rPr>
                <w:rFonts w:ascii="Arial" w:eastAsia="Calibri" w:hAnsi="Arial" w:cs="Arial"/>
                <w:sz w:val="19"/>
                <w:szCs w:val="19"/>
              </w:rPr>
              <w:t xml:space="preserve"> tenant rent arrears outstanding</w:t>
            </w:r>
          </w:p>
        </w:tc>
        <w:tc>
          <w:tcPr>
            <w:tcW w:w="1221"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L</w:t>
            </w:r>
          </w:p>
        </w:tc>
        <w:tc>
          <w:tcPr>
            <w:tcW w:w="1316"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£303,580</w:t>
            </w:r>
          </w:p>
        </w:tc>
        <w:tc>
          <w:tcPr>
            <w:tcW w:w="1316"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£499,153</w:t>
            </w:r>
          </w:p>
        </w:tc>
        <w:tc>
          <w:tcPr>
            <w:tcW w:w="1041"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N</w:t>
            </w:r>
          </w:p>
        </w:tc>
        <w:tc>
          <w:tcPr>
            <w:tcW w:w="1218"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£339,773</w:t>
            </w:r>
          </w:p>
        </w:tc>
        <w:tc>
          <w:tcPr>
            <w:tcW w:w="1296"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noProof/>
                <w:sz w:val="19"/>
                <w:szCs w:val="19"/>
              </w:rPr>
              <mc:AlternateContent>
                <mc:Choice Requires="wps">
                  <w:drawing>
                    <wp:anchor distT="0" distB="0" distL="114300" distR="114300" simplePos="0" relativeHeight="251670542" behindDoc="0" locked="0" layoutInCell="1" allowOverlap="1" wp14:anchorId="128F6946" wp14:editId="128F6947">
                      <wp:simplePos x="0" y="0"/>
                      <wp:positionH relativeFrom="column">
                        <wp:posOffset>374015</wp:posOffset>
                      </wp:positionH>
                      <wp:positionV relativeFrom="paragraph">
                        <wp:posOffset>12065</wp:posOffset>
                      </wp:positionV>
                      <wp:extent cx="635" cy="175895"/>
                      <wp:effectExtent l="60960" t="6985" r="52705" b="1714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9.45pt;margin-top:.95pt;width:.05pt;height:13.85pt;z-index:251670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TVPAIAAG8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">
                      <v:stroke endarrow="block"/>
                    </v:shape>
                  </w:pict>
                </mc:Fallback>
              </mc:AlternateContent>
            </w:r>
          </w:p>
        </w:tc>
      </w:tr>
      <w:tr w:rsidR="00402E60" w:rsidRPr="00070D17" w:rsidTr="00402E60">
        <w:trPr>
          <w:jc w:val="center"/>
        </w:trPr>
        <w:tc>
          <w:tcPr>
            <w:tcW w:w="2267" w:type="dxa"/>
            <w:shd w:val="clear" w:color="auto" w:fill="auto"/>
          </w:tcPr>
          <w:p w:rsidR="00402E60" w:rsidRDefault="00402E60" w:rsidP="00402E60">
            <w:pPr>
              <w:jc w:val="left"/>
              <w:rPr>
                <w:rFonts w:ascii="Arial" w:eastAsia="Calibri" w:hAnsi="Arial" w:cs="Arial"/>
                <w:sz w:val="19"/>
                <w:szCs w:val="19"/>
              </w:rPr>
            </w:pPr>
            <w:r w:rsidRPr="00070D17">
              <w:rPr>
                <w:rFonts w:ascii="Arial" w:eastAsia="Calibri" w:hAnsi="Arial" w:cs="Arial"/>
                <w:sz w:val="19"/>
                <w:szCs w:val="19"/>
              </w:rPr>
              <w:t>Percentage of rent collected (excluding arrears brought forward)</w:t>
            </w:r>
          </w:p>
          <w:p w:rsidR="00666968" w:rsidRPr="00070D17" w:rsidRDefault="00666968" w:rsidP="00402E60">
            <w:pPr>
              <w:jc w:val="left"/>
              <w:rPr>
                <w:rFonts w:ascii="Arial" w:eastAsia="Calibri" w:hAnsi="Arial" w:cs="Arial"/>
                <w:sz w:val="19"/>
                <w:szCs w:val="19"/>
              </w:rPr>
            </w:pPr>
          </w:p>
        </w:tc>
        <w:tc>
          <w:tcPr>
            <w:tcW w:w="1221"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H</w:t>
            </w:r>
          </w:p>
        </w:tc>
        <w:tc>
          <w:tcPr>
            <w:tcW w:w="1316"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99.50</w:t>
            </w:r>
          </w:p>
        </w:tc>
        <w:tc>
          <w:tcPr>
            <w:tcW w:w="1316"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99.41</w:t>
            </w:r>
          </w:p>
        </w:tc>
        <w:tc>
          <w:tcPr>
            <w:tcW w:w="1041" w:type="dxa"/>
            <w:shd w:val="clear" w:color="auto" w:fill="auto"/>
            <w:vAlign w:val="center"/>
          </w:tcPr>
          <w:p w:rsidR="00402E60" w:rsidRPr="00070D17" w:rsidRDefault="00402E60" w:rsidP="00402E60">
            <w:pPr>
              <w:jc w:val="center"/>
              <w:rPr>
                <w:rFonts w:ascii="Arial" w:eastAsia="Calibri" w:hAnsi="Arial" w:cs="Arial"/>
                <w:sz w:val="19"/>
                <w:szCs w:val="19"/>
              </w:rPr>
            </w:pPr>
            <w:r>
              <w:rPr>
                <w:rFonts w:ascii="Arial" w:eastAsia="Calibri" w:hAnsi="Arial" w:cs="Arial"/>
                <w:sz w:val="19"/>
                <w:szCs w:val="19"/>
              </w:rPr>
              <w:t>N</w:t>
            </w:r>
          </w:p>
        </w:tc>
        <w:tc>
          <w:tcPr>
            <w:tcW w:w="1218"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sz w:val="19"/>
                <w:szCs w:val="19"/>
              </w:rPr>
              <w:t>99.61</w:t>
            </w:r>
          </w:p>
        </w:tc>
        <w:tc>
          <w:tcPr>
            <w:tcW w:w="1296" w:type="dxa"/>
            <w:shd w:val="clear" w:color="auto" w:fill="auto"/>
            <w:vAlign w:val="center"/>
          </w:tcPr>
          <w:p w:rsidR="00402E60" w:rsidRPr="00070D17" w:rsidRDefault="00402E60" w:rsidP="00402E60">
            <w:pPr>
              <w:jc w:val="center"/>
              <w:rPr>
                <w:rFonts w:ascii="Arial" w:eastAsia="Calibri" w:hAnsi="Arial" w:cs="Arial"/>
                <w:sz w:val="19"/>
                <w:szCs w:val="19"/>
              </w:rPr>
            </w:pPr>
            <w:r w:rsidRPr="00070D17">
              <w:rPr>
                <w:rFonts w:ascii="Arial" w:eastAsia="Calibri" w:hAnsi="Arial" w:cs="Arial"/>
                <w:noProof/>
                <w:sz w:val="19"/>
                <w:szCs w:val="19"/>
              </w:rPr>
              <mc:AlternateContent>
                <mc:Choice Requires="wps">
                  <w:drawing>
                    <wp:anchor distT="0" distB="0" distL="114300" distR="114300" simplePos="0" relativeHeight="251662350" behindDoc="0" locked="0" layoutInCell="1" allowOverlap="1" wp14:anchorId="128F6948" wp14:editId="128F6949">
                      <wp:simplePos x="0" y="0"/>
                      <wp:positionH relativeFrom="column">
                        <wp:posOffset>374015</wp:posOffset>
                      </wp:positionH>
                      <wp:positionV relativeFrom="paragraph">
                        <wp:posOffset>12065</wp:posOffset>
                      </wp:positionV>
                      <wp:extent cx="635" cy="175895"/>
                      <wp:effectExtent l="60960" t="10795" r="52705" b="228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9.45pt;margin-top:.95pt;width:.05pt;height:13.85pt;z-index:251662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v5PAIAAG8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">
                      <v:stroke endarrow="block"/>
                    </v:shape>
                  </w:pict>
                </mc:Fallback>
              </mc:AlternateContent>
            </w:r>
          </w:p>
        </w:tc>
      </w:tr>
    </w:tbl>
    <w:p w:rsidR="00666968" w:rsidRPr="004F2030" w:rsidRDefault="00666968" w:rsidP="00666968">
      <w:pPr>
        <w:spacing w:after="0"/>
        <w:jc w:val="left"/>
        <w:rPr>
          <w:rFonts w:ascii="Arial" w:eastAsia="Calibri" w:hAnsi="Arial" w:cs="Arial"/>
          <w:b/>
          <w:sz w:val="19"/>
          <w:szCs w:val="19"/>
        </w:rPr>
      </w:pPr>
      <w:r w:rsidRPr="004F2030">
        <w:rPr>
          <w:rFonts w:ascii="Arial" w:eastAsia="Calibri" w:hAnsi="Arial" w:cs="Arial"/>
          <w:b/>
          <w:sz w:val="19"/>
          <w:szCs w:val="19"/>
        </w:rPr>
        <w:lastRenderedPageBreak/>
        <w:t>Strategic Report (continued)</w:t>
      </w:r>
    </w:p>
    <w:p w:rsidR="00666968" w:rsidRPr="004F2030" w:rsidRDefault="00666968" w:rsidP="00666968">
      <w:pPr>
        <w:spacing w:after="0"/>
        <w:jc w:val="left"/>
        <w:rPr>
          <w:rFonts w:ascii="Arial" w:eastAsia="Calibri" w:hAnsi="Arial" w:cs="Arial"/>
          <w:b/>
          <w:sz w:val="19"/>
          <w:szCs w:val="19"/>
        </w:rPr>
      </w:pPr>
      <w:r>
        <w:rPr>
          <w:rFonts w:ascii="Arial" w:eastAsia="Calibri" w:hAnsi="Arial" w:cs="Arial"/>
          <w:b/>
          <w:sz w:val="19"/>
          <w:szCs w:val="19"/>
        </w:rPr>
        <w:t>Key Performance Indicators</w:t>
      </w:r>
      <w:r w:rsidRPr="004F2030">
        <w:rPr>
          <w:rFonts w:ascii="Arial" w:eastAsia="Calibri" w:hAnsi="Arial" w:cs="Arial"/>
          <w:b/>
          <w:sz w:val="19"/>
          <w:szCs w:val="19"/>
        </w:rPr>
        <w:t xml:space="preserve"> (continued)</w:t>
      </w:r>
    </w:p>
    <w:p w:rsidR="00402E60" w:rsidRDefault="00402E60" w:rsidP="00402E60">
      <w:pPr>
        <w:spacing w:after="0"/>
        <w:jc w:val="left"/>
        <w:rPr>
          <w:rFonts w:ascii="Arial" w:eastAsia="Calibri" w:hAnsi="Arial" w:cs="Arial"/>
          <w:sz w:val="19"/>
          <w:szCs w:val="19"/>
        </w:rPr>
      </w:pP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21"/>
        <w:gridCol w:w="1316"/>
        <w:gridCol w:w="1316"/>
        <w:gridCol w:w="1041"/>
        <w:gridCol w:w="1218"/>
        <w:gridCol w:w="1296"/>
      </w:tblGrid>
      <w:tr w:rsidR="00666968" w:rsidRPr="00070D17" w:rsidTr="00ED441A">
        <w:trPr>
          <w:jc w:val="center"/>
        </w:trPr>
        <w:tc>
          <w:tcPr>
            <w:tcW w:w="2267" w:type="dxa"/>
            <w:shd w:val="clear" w:color="auto" w:fill="auto"/>
          </w:tcPr>
          <w:p w:rsidR="00666968" w:rsidRPr="00070D17" w:rsidRDefault="00666968" w:rsidP="00ED441A">
            <w:pPr>
              <w:jc w:val="left"/>
              <w:rPr>
                <w:rFonts w:ascii="Arial" w:eastAsia="Calibri" w:hAnsi="Arial" w:cs="Arial"/>
                <w:sz w:val="19"/>
                <w:szCs w:val="19"/>
              </w:rPr>
            </w:pPr>
            <w:r>
              <w:rPr>
                <w:rFonts w:ascii="Arial" w:eastAsia="Calibri" w:hAnsi="Arial" w:cs="Arial"/>
                <w:sz w:val="19"/>
                <w:szCs w:val="19"/>
              </w:rPr>
              <w:t>% rent lost through vacant dwellings</w:t>
            </w:r>
          </w:p>
        </w:tc>
        <w:tc>
          <w:tcPr>
            <w:tcW w:w="1221" w:type="dxa"/>
            <w:shd w:val="clear" w:color="auto" w:fill="auto"/>
            <w:vAlign w:val="center"/>
          </w:tcPr>
          <w:p w:rsidR="00666968" w:rsidRPr="00070D17" w:rsidRDefault="00666968" w:rsidP="00ED441A">
            <w:pPr>
              <w:jc w:val="center"/>
              <w:rPr>
                <w:rFonts w:ascii="Arial" w:eastAsia="Calibri" w:hAnsi="Arial" w:cs="Arial"/>
                <w:sz w:val="19"/>
                <w:szCs w:val="19"/>
              </w:rPr>
            </w:pPr>
            <w:r>
              <w:rPr>
                <w:rFonts w:ascii="Arial" w:eastAsia="Calibri" w:hAnsi="Arial" w:cs="Arial"/>
                <w:sz w:val="19"/>
                <w:szCs w:val="19"/>
              </w:rPr>
              <w:t>L</w:t>
            </w:r>
          </w:p>
        </w:tc>
        <w:tc>
          <w:tcPr>
            <w:tcW w:w="1316" w:type="dxa"/>
            <w:shd w:val="clear" w:color="auto" w:fill="auto"/>
            <w:vAlign w:val="center"/>
          </w:tcPr>
          <w:p w:rsidR="00666968" w:rsidRDefault="00666968" w:rsidP="00ED441A">
            <w:pPr>
              <w:jc w:val="center"/>
              <w:rPr>
                <w:rFonts w:ascii="Arial" w:eastAsia="Calibri" w:hAnsi="Arial" w:cs="Arial"/>
                <w:sz w:val="19"/>
                <w:szCs w:val="19"/>
              </w:rPr>
            </w:pPr>
            <w:r>
              <w:rPr>
                <w:rFonts w:ascii="Arial" w:eastAsia="Calibri" w:hAnsi="Arial" w:cs="Arial"/>
                <w:sz w:val="19"/>
                <w:szCs w:val="19"/>
              </w:rPr>
              <w:t>1.00</w:t>
            </w:r>
          </w:p>
        </w:tc>
        <w:tc>
          <w:tcPr>
            <w:tcW w:w="1316" w:type="dxa"/>
            <w:shd w:val="clear" w:color="auto" w:fill="auto"/>
            <w:vAlign w:val="center"/>
          </w:tcPr>
          <w:p w:rsidR="00666968" w:rsidRDefault="00666968" w:rsidP="00ED441A">
            <w:pPr>
              <w:jc w:val="center"/>
              <w:rPr>
                <w:rFonts w:ascii="Arial" w:eastAsia="Calibri" w:hAnsi="Arial" w:cs="Arial"/>
                <w:sz w:val="19"/>
                <w:szCs w:val="19"/>
              </w:rPr>
            </w:pPr>
            <w:r>
              <w:rPr>
                <w:rFonts w:ascii="Arial" w:eastAsia="Calibri" w:hAnsi="Arial" w:cs="Arial"/>
                <w:sz w:val="19"/>
                <w:szCs w:val="19"/>
              </w:rPr>
              <w:t>1.25</w:t>
            </w:r>
          </w:p>
        </w:tc>
        <w:tc>
          <w:tcPr>
            <w:tcW w:w="1041" w:type="dxa"/>
            <w:shd w:val="clear" w:color="auto" w:fill="auto"/>
            <w:vAlign w:val="center"/>
          </w:tcPr>
          <w:p w:rsidR="00666968" w:rsidRPr="00070D17" w:rsidRDefault="00666968" w:rsidP="00ED441A">
            <w:pPr>
              <w:jc w:val="center"/>
              <w:rPr>
                <w:rFonts w:ascii="Arial" w:eastAsia="Calibri" w:hAnsi="Arial" w:cs="Arial"/>
                <w:sz w:val="19"/>
                <w:szCs w:val="19"/>
              </w:rPr>
            </w:pPr>
            <w:r>
              <w:rPr>
                <w:rFonts w:ascii="Arial" w:eastAsia="Calibri" w:hAnsi="Arial" w:cs="Arial"/>
                <w:sz w:val="19"/>
                <w:szCs w:val="19"/>
              </w:rPr>
              <w:t>N</w:t>
            </w:r>
          </w:p>
        </w:tc>
        <w:tc>
          <w:tcPr>
            <w:tcW w:w="1218" w:type="dxa"/>
            <w:shd w:val="clear" w:color="auto" w:fill="auto"/>
            <w:vAlign w:val="center"/>
          </w:tcPr>
          <w:p w:rsidR="00666968" w:rsidRPr="00070D17" w:rsidRDefault="00666968" w:rsidP="00ED441A">
            <w:pPr>
              <w:jc w:val="center"/>
              <w:rPr>
                <w:rFonts w:ascii="Arial" w:eastAsia="Calibri" w:hAnsi="Arial" w:cs="Arial"/>
                <w:sz w:val="19"/>
                <w:szCs w:val="19"/>
              </w:rPr>
            </w:pPr>
            <w:r>
              <w:rPr>
                <w:rFonts w:ascii="Arial" w:eastAsia="Calibri" w:hAnsi="Arial" w:cs="Arial"/>
                <w:sz w:val="19"/>
                <w:szCs w:val="19"/>
              </w:rPr>
              <w:t>1.22</w:t>
            </w:r>
          </w:p>
        </w:tc>
        <w:tc>
          <w:tcPr>
            <w:tcW w:w="1296" w:type="dxa"/>
            <w:shd w:val="clear" w:color="auto" w:fill="auto"/>
            <w:vAlign w:val="center"/>
          </w:tcPr>
          <w:p w:rsidR="00666968" w:rsidRPr="00070D17" w:rsidRDefault="00666968" w:rsidP="00ED441A">
            <w:pPr>
              <w:jc w:val="center"/>
              <w:rPr>
                <w:rFonts w:ascii="Arial" w:eastAsia="Calibri" w:hAnsi="Arial" w:cs="Arial"/>
                <w:noProof/>
                <w:sz w:val="19"/>
                <w:szCs w:val="19"/>
              </w:rPr>
            </w:pPr>
            <w:r w:rsidRPr="00070D17">
              <w:rPr>
                <w:rFonts w:ascii="Arial" w:eastAsia="Calibri" w:hAnsi="Arial" w:cs="Arial"/>
                <w:noProof/>
                <w:sz w:val="19"/>
                <w:szCs w:val="19"/>
              </w:rPr>
              <mc:AlternateContent>
                <mc:Choice Requires="wps">
                  <w:drawing>
                    <wp:anchor distT="0" distB="0" distL="114300" distR="114300" simplePos="0" relativeHeight="251672590" behindDoc="0" locked="0" layoutInCell="1" allowOverlap="1" wp14:anchorId="3EE7309D" wp14:editId="4640C51C">
                      <wp:simplePos x="0" y="0"/>
                      <wp:positionH relativeFrom="column">
                        <wp:posOffset>368300</wp:posOffset>
                      </wp:positionH>
                      <wp:positionV relativeFrom="paragraph">
                        <wp:posOffset>12700</wp:posOffset>
                      </wp:positionV>
                      <wp:extent cx="635" cy="175895"/>
                      <wp:effectExtent l="76200" t="0" r="75565" b="527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9pt;margin-top:1pt;width:.05pt;height:13.85pt;z-index:251672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">
                      <v:stroke endarrow="block"/>
                    </v:shape>
                  </w:pict>
                </mc:Fallback>
              </mc:AlternateContent>
            </w:r>
          </w:p>
        </w:tc>
      </w:tr>
      <w:tr w:rsidR="00666968" w:rsidRPr="00070D17" w:rsidTr="00ED441A">
        <w:trPr>
          <w:jc w:val="center"/>
        </w:trPr>
        <w:tc>
          <w:tcPr>
            <w:tcW w:w="9675" w:type="dxa"/>
            <w:gridSpan w:val="7"/>
            <w:shd w:val="clear" w:color="auto" w:fill="auto"/>
          </w:tcPr>
          <w:p w:rsidR="00666968" w:rsidRPr="00070D17" w:rsidRDefault="00666968" w:rsidP="00ED441A">
            <w:pPr>
              <w:rPr>
                <w:rFonts w:ascii="Arial" w:eastAsia="Calibri" w:hAnsi="Arial" w:cs="Arial"/>
                <w:sz w:val="19"/>
                <w:szCs w:val="19"/>
              </w:rPr>
            </w:pPr>
            <w:r w:rsidRPr="00070D17">
              <w:rPr>
                <w:rFonts w:ascii="Arial" w:eastAsia="Calibri" w:hAnsi="Arial" w:cs="Arial"/>
                <w:b/>
                <w:sz w:val="19"/>
                <w:szCs w:val="19"/>
              </w:rPr>
              <w:t>Property Services:</w:t>
            </w:r>
          </w:p>
        </w:tc>
      </w:tr>
      <w:tr w:rsidR="00666968" w:rsidRPr="00070D17" w:rsidTr="00ED441A">
        <w:trPr>
          <w:jc w:val="center"/>
        </w:trPr>
        <w:tc>
          <w:tcPr>
            <w:tcW w:w="2267" w:type="dxa"/>
            <w:shd w:val="clear" w:color="auto" w:fill="auto"/>
          </w:tcPr>
          <w:p w:rsidR="00666968" w:rsidRPr="00070D17" w:rsidRDefault="00666968" w:rsidP="00ED441A">
            <w:pPr>
              <w:jc w:val="left"/>
              <w:rPr>
                <w:rFonts w:ascii="Arial" w:eastAsia="Calibri" w:hAnsi="Arial" w:cs="Arial"/>
                <w:sz w:val="19"/>
                <w:szCs w:val="19"/>
              </w:rPr>
            </w:pPr>
            <w:r w:rsidRPr="00070D17">
              <w:rPr>
                <w:rFonts w:ascii="Arial" w:eastAsia="Calibri" w:hAnsi="Arial" w:cs="Arial"/>
                <w:sz w:val="19"/>
                <w:szCs w:val="19"/>
              </w:rPr>
              <w:t>Percentage of gas servicing certificates completed</w:t>
            </w:r>
          </w:p>
        </w:tc>
        <w:tc>
          <w:tcPr>
            <w:tcW w:w="1221"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H</w:t>
            </w:r>
          </w:p>
        </w:tc>
        <w:tc>
          <w:tcPr>
            <w:tcW w:w="1316" w:type="dxa"/>
            <w:shd w:val="clear" w:color="auto" w:fill="auto"/>
            <w:vAlign w:val="center"/>
          </w:tcPr>
          <w:p w:rsidR="00666968" w:rsidRPr="00070D17" w:rsidRDefault="00666968" w:rsidP="00ED441A">
            <w:pPr>
              <w:jc w:val="center"/>
              <w:rPr>
                <w:rFonts w:ascii="Arial" w:eastAsia="Calibri" w:hAnsi="Arial" w:cs="Arial"/>
                <w:sz w:val="19"/>
                <w:szCs w:val="19"/>
              </w:rPr>
            </w:pPr>
            <w:r>
              <w:rPr>
                <w:rFonts w:ascii="Arial" w:eastAsia="Calibri" w:hAnsi="Arial" w:cs="Arial"/>
                <w:sz w:val="19"/>
                <w:szCs w:val="19"/>
              </w:rPr>
              <w:t>100.00</w:t>
            </w:r>
          </w:p>
        </w:tc>
        <w:tc>
          <w:tcPr>
            <w:tcW w:w="1316" w:type="dxa"/>
            <w:shd w:val="clear" w:color="auto" w:fill="auto"/>
            <w:vAlign w:val="center"/>
          </w:tcPr>
          <w:p w:rsidR="00666968" w:rsidRPr="00070D17" w:rsidRDefault="00666968" w:rsidP="00ED441A">
            <w:pPr>
              <w:jc w:val="center"/>
              <w:rPr>
                <w:rFonts w:ascii="Arial" w:eastAsia="Calibri" w:hAnsi="Arial" w:cs="Arial"/>
                <w:sz w:val="19"/>
                <w:szCs w:val="19"/>
              </w:rPr>
            </w:pPr>
            <w:r>
              <w:rPr>
                <w:rFonts w:ascii="Arial" w:eastAsia="Calibri" w:hAnsi="Arial" w:cs="Arial"/>
                <w:sz w:val="19"/>
                <w:szCs w:val="19"/>
              </w:rPr>
              <w:t>100.00</w:t>
            </w:r>
          </w:p>
        </w:tc>
        <w:tc>
          <w:tcPr>
            <w:tcW w:w="1041"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Y</w:t>
            </w:r>
          </w:p>
        </w:tc>
        <w:tc>
          <w:tcPr>
            <w:tcW w:w="1218"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100.00</w:t>
            </w:r>
          </w:p>
        </w:tc>
        <w:tc>
          <w:tcPr>
            <w:tcW w:w="1296"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noProof/>
                <w:sz w:val="19"/>
                <w:szCs w:val="19"/>
              </w:rPr>
              <mc:AlternateContent>
                <mc:Choice Requires="wps">
                  <w:drawing>
                    <wp:anchor distT="0" distB="0" distL="114300" distR="114300" simplePos="0" relativeHeight="251673614" behindDoc="0" locked="0" layoutInCell="1" allowOverlap="1" wp14:anchorId="3DD6A75A" wp14:editId="6EDEFBEA">
                      <wp:simplePos x="0" y="0"/>
                      <wp:positionH relativeFrom="column">
                        <wp:posOffset>302260</wp:posOffset>
                      </wp:positionH>
                      <wp:positionV relativeFrom="paragraph">
                        <wp:posOffset>54610</wp:posOffset>
                      </wp:positionV>
                      <wp:extent cx="129540" cy="0"/>
                      <wp:effectExtent l="8255" t="60960" r="14605" b="533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3.8pt;margin-top:4.3pt;width:10.2pt;height:0;z-index:251673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">
                      <v:stroke endarrow="block"/>
                    </v:shape>
                  </w:pict>
                </mc:Fallback>
              </mc:AlternateContent>
            </w:r>
          </w:p>
        </w:tc>
      </w:tr>
      <w:tr w:rsidR="00666968" w:rsidRPr="00070D17" w:rsidTr="00ED441A">
        <w:trPr>
          <w:jc w:val="center"/>
        </w:trPr>
        <w:tc>
          <w:tcPr>
            <w:tcW w:w="2267" w:type="dxa"/>
            <w:shd w:val="clear" w:color="auto" w:fill="auto"/>
          </w:tcPr>
          <w:p w:rsidR="00666968" w:rsidRPr="00070D17" w:rsidRDefault="00666968" w:rsidP="00ED441A">
            <w:pPr>
              <w:jc w:val="left"/>
              <w:rPr>
                <w:rFonts w:ascii="Arial" w:eastAsia="Calibri" w:hAnsi="Arial" w:cs="Arial"/>
                <w:sz w:val="19"/>
                <w:szCs w:val="19"/>
              </w:rPr>
            </w:pPr>
            <w:r>
              <w:rPr>
                <w:rFonts w:ascii="Arial" w:eastAsia="Calibri" w:hAnsi="Arial" w:cs="Arial"/>
                <w:sz w:val="19"/>
                <w:szCs w:val="19"/>
              </w:rPr>
              <w:t>Percentage of solid fuel servicing</w:t>
            </w:r>
            <w:r w:rsidRPr="00070D17">
              <w:rPr>
                <w:rFonts w:ascii="Arial" w:eastAsia="Calibri" w:hAnsi="Arial" w:cs="Arial"/>
                <w:sz w:val="19"/>
                <w:szCs w:val="19"/>
              </w:rPr>
              <w:t xml:space="preserve"> certificates completed</w:t>
            </w:r>
          </w:p>
        </w:tc>
        <w:tc>
          <w:tcPr>
            <w:tcW w:w="1221"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H</w:t>
            </w:r>
          </w:p>
        </w:tc>
        <w:tc>
          <w:tcPr>
            <w:tcW w:w="1316" w:type="dxa"/>
            <w:shd w:val="clear" w:color="auto" w:fill="auto"/>
            <w:vAlign w:val="center"/>
          </w:tcPr>
          <w:p w:rsidR="00666968" w:rsidRPr="00070D17" w:rsidRDefault="00666968" w:rsidP="00ED441A">
            <w:pPr>
              <w:jc w:val="center"/>
              <w:rPr>
                <w:rFonts w:ascii="Arial" w:eastAsia="Calibri" w:hAnsi="Arial" w:cs="Arial"/>
                <w:sz w:val="19"/>
                <w:szCs w:val="19"/>
              </w:rPr>
            </w:pPr>
            <w:r>
              <w:rPr>
                <w:rFonts w:ascii="Arial" w:eastAsia="Calibri" w:hAnsi="Arial" w:cs="Arial"/>
                <w:sz w:val="19"/>
                <w:szCs w:val="19"/>
              </w:rPr>
              <w:t>100.00</w:t>
            </w:r>
          </w:p>
        </w:tc>
        <w:tc>
          <w:tcPr>
            <w:tcW w:w="1316" w:type="dxa"/>
            <w:shd w:val="clear" w:color="auto" w:fill="auto"/>
            <w:vAlign w:val="center"/>
          </w:tcPr>
          <w:p w:rsidR="00666968" w:rsidRPr="00070D17" w:rsidRDefault="00666968" w:rsidP="00ED441A">
            <w:pPr>
              <w:jc w:val="center"/>
              <w:rPr>
                <w:rFonts w:ascii="Arial" w:eastAsia="Calibri" w:hAnsi="Arial" w:cs="Arial"/>
                <w:sz w:val="19"/>
                <w:szCs w:val="19"/>
              </w:rPr>
            </w:pPr>
            <w:r>
              <w:rPr>
                <w:rFonts w:ascii="Arial" w:eastAsia="Calibri" w:hAnsi="Arial" w:cs="Arial"/>
                <w:sz w:val="19"/>
                <w:szCs w:val="19"/>
              </w:rPr>
              <w:t>100.00</w:t>
            </w:r>
          </w:p>
        </w:tc>
        <w:tc>
          <w:tcPr>
            <w:tcW w:w="1041"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Y</w:t>
            </w:r>
          </w:p>
        </w:tc>
        <w:tc>
          <w:tcPr>
            <w:tcW w:w="1218"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100.00</w:t>
            </w:r>
          </w:p>
        </w:tc>
        <w:tc>
          <w:tcPr>
            <w:tcW w:w="1296"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noProof/>
                <w:sz w:val="19"/>
                <w:szCs w:val="19"/>
              </w:rPr>
              <mc:AlternateContent>
                <mc:Choice Requires="wps">
                  <w:drawing>
                    <wp:anchor distT="0" distB="0" distL="114300" distR="114300" simplePos="0" relativeHeight="251674638" behindDoc="0" locked="0" layoutInCell="1" allowOverlap="1" wp14:anchorId="7B732023" wp14:editId="0AA4E0B8">
                      <wp:simplePos x="0" y="0"/>
                      <wp:positionH relativeFrom="column">
                        <wp:posOffset>302260</wp:posOffset>
                      </wp:positionH>
                      <wp:positionV relativeFrom="paragraph">
                        <wp:posOffset>54610</wp:posOffset>
                      </wp:positionV>
                      <wp:extent cx="129540" cy="0"/>
                      <wp:effectExtent l="8255" t="60960" r="14605" b="533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3.8pt;margin-top:4.3pt;width:10.2pt;height:0;z-index:251674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">
                      <v:stroke endarrow="block"/>
                    </v:shape>
                  </w:pict>
                </mc:Fallback>
              </mc:AlternateContent>
            </w:r>
          </w:p>
        </w:tc>
      </w:tr>
      <w:tr w:rsidR="00666968" w:rsidRPr="00070D17" w:rsidTr="00ED441A">
        <w:trPr>
          <w:jc w:val="center"/>
        </w:trPr>
        <w:tc>
          <w:tcPr>
            <w:tcW w:w="2267" w:type="dxa"/>
            <w:shd w:val="clear" w:color="auto" w:fill="auto"/>
          </w:tcPr>
          <w:p w:rsidR="00666968" w:rsidRPr="00070D17" w:rsidRDefault="00666968" w:rsidP="00ED441A">
            <w:pPr>
              <w:jc w:val="left"/>
              <w:rPr>
                <w:rFonts w:ascii="Arial" w:eastAsia="Calibri" w:hAnsi="Arial" w:cs="Arial"/>
                <w:sz w:val="19"/>
                <w:szCs w:val="19"/>
              </w:rPr>
            </w:pPr>
            <w:r w:rsidRPr="00070D17">
              <w:rPr>
                <w:rFonts w:ascii="Arial" w:eastAsia="Calibri" w:hAnsi="Arial" w:cs="Arial"/>
                <w:sz w:val="19"/>
                <w:szCs w:val="19"/>
              </w:rPr>
              <w:t>Percentage of repairs fixed first time</w:t>
            </w:r>
          </w:p>
        </w:tc>
        <w:tc>
          <w:tcPr>
            <w:tcW w:w="1221"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H</w:t>
            </w:r>
          </w:p>
        </w:tc>
        <w:tc>
          <w:tcPr>
            <w:tcW w:w="1316" w:type="dxa"/>
            <w:shd w:val="clear" w:color="auto" w:fill="auto"/>
            <w:vAlign w:val="center"/>
          </w:tcPr>
          <w:p w:rsidR="00666968" w:rsidRPr="00070D17" w:rsidRDefault="00666968" w:rsidP="00ED441A">
            <w:pPr>
              <w:jc w:val="center"/>
              <w:rPr>
                <w:rFonts w:ascii="Arial" w:eastAsia="Calibri" w:hAnsi="Arial" w:cs="Arial"/>
                <w:sz w:val="19"/>
                <w:szCs w:val="19"/>
              </w:rPr>
            </w:pPr>
            <w:r>
              <w:rPr>
                <w:rFonts w:ascii="Arial" w:eastAsia="Calibri" w:hAnsi="Arial" w:cs="Arial"/>
                <w:sz w:val="19"/>
                <w:szCs w:val="19"/>
              </w:rPr>
              <w:t>97.00</w:t>
            </w:r>
          </w:p>
        </w:tc>
        <w:tc>
          <w:tcPr>
            <w:tcW w:w="1316" w:type="dxa"/>
            <w:shd w:val="clear" w:color="auto" w:fill="auto"/>
            <w:vAlign w:val="center"/>
          </w:tcPr>
          <w:p w:rsidR="00666968" w:rsidRPr="00070D17" w:rsidRDefault="00666968" w:rsidP="00ED441A">
            <w:pPr>
              <w:jc w:val="center"/>
              <w:rPr>
                <w:rFonts w:ascii="Arial" w:eastAsia="Calibri" w:hAnsi="Arial" w:cs="Arial"/>
                <w:sz w:val="19"/>
                <w:szCs w:val="19"/>
              </w:rPr>
            </w:pPr>
            <w:r>
              <w:rPr>
                <w:rFonts w:ascii="Arial" w:eastAsia="Calibri" w:hAnsi="Arial" w:cs="Arial"/>
                <w:sz w:val="19"/>
                <w:szCs w:val="19"/>
              </w:rPr>
              <w:t>97.50</w:t>
            </w:r>
          </w:p>
        </w:tc>
        <w:tc>
          <w:tcPr>
            <w:tcW w:w="1041"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Y</w:t>
            </w:r>
          </w:p>
        </w:tc>
        <w:tc>
          <w:tcPr>
            <w:tcW w:w="1218"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97.27</w:t>
            </w:r>
          </w:p>
        </w:tc>
        <w:tc>
          <w:tcPr>
            <w:tcW w:w="1296"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noProof/>
                <w:sz w:val="19"/>
                <w:szCs w:val="19"/>
              </w:rPr>
              <mc:AlternateContent>
                <mc:Choice Requires="wps">
                  <w:drawing>
                    <wp:anchor distT="0" distB="0" distL="114300" distR="114300" simplePos="0" relativeHeight="251675662" behindDoc="0" locked="0" layoutInCell="1" allowOverlap="1" wp14:anchorId="724DAC03" wp14:editId="28CCDFA2">
                      <wp:simplePos x="0" y="0"/>
                      <wp:positionH relativeFrom="column">
                        <wp:posOffset>373380</wp:posOffset>
                      </wp:positionH>
                      <wp:positionV relativeFrom="paragraph">
                        <wp:posOffset>-1905</wp:posOffset>
                      </wp:positionV>
                      <wp:extent cx="635" cy="139065"/>
                      <wp:effectExtent l="60325" t="17780" r="53340" b="50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9.4pt;margin-top:-.15pt;width:.05pt;height:10.95pt;flip:y;z-index:2516756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">
                      <v:stroke endarrow="block"/>
                    </v:shape>
                  </w:pict>
                </mc:Fallback>
              </mc:AlternateContent>
            </w:r>
          </w:p>
        </w:tc>
      </w:tr>
      <w:tr w:rsidR="00666968" w:rsidRPr="00070D17" w:rsidTr="00ED441A">
        <w:trPr>
          <w:jc w:val="center"/>
        </w:trPr>
        <w:tc>
          <w:tcPr>
            <w:tcW w:w="2267" w:type="dxa"/>
            <w:shd w:val="clear" w:color="auto" w:fill="auto"/>
          </w:tcPr>
          <w:p w:rsidR="00666968" w:rsidRPr="00070D17" w:rsidRDefault="00666968" w:rsidP="00ED441A">
            <w:pPr>
              <w:jc w:val="left"/>
              <w:rPr>
                <w:rFonts w:ascii="Arial" w:eastAsia="Calibri" w:hAnsi="Arial" w:cs="Arial"/>
                <w:sz w:val="19"/>
                <w:szCs w:val="19"/>
              </w:rPr>
            </w:pPr>
            <w:r w:rsidRPr="00070D17">
              <w:rPr>
                <w:rFonts w:ascii="Arial" w:eastAsia="Calibri" w:hAnsi="Arial" w:cs="Arial"/>
                <w:sz w:val="19"/>
                <w:szCs w:val="19"/>
              </w:rPr>
              <w:t>Percentage of appointments kept against appointments made</w:t>
            </w:r>
          </w:p>
        </w:tc>
        <w:tc>
          <w:tcPr>
            <w:tcW w:w="1221"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H</w:t>
            </w:r>
          </w:p>
        </w:tc>
        <w:tc>
          <w:tcPr>
            <w:tcW w:w="1316" w:type="dxa"/>
            <w:shd w:val="clear" w:color="auto" w:fill="auto"/>
            <w:vAlign w:val="center"/>
          </w:tcPr>
          <w:p w:rsidR="00666968" w:rsidRPr="00070D17" w:rsidRDefault="00666968" w:rsidP="00ED441A">
            <w:pPr>
              <w:jc w:val="center"/>
              <w:rPr>
                <w:rFonts w:ascii="Arial" w:eastAsia="Calibri" w:hAnsi="Arial" w:cs="Arial"/>
                <w:sz w:val="19"/>
                <w:szCs w:val="19"/>
              </w:rPr>
            </w:pPr>
            <w:r>
              <w:rPr>
                <w:rFonts w:ascii="Arial" w:eastAsia="Calibri" w:hAnsi="Arial" w:cs="Arial"/>
                <w:sz w:val="19"/>
                <w:szCs w:val="19"/>
              </w:rPr>
              <w:t>99.25</w:t>
            </w:r>
          </w:p>
        </w:tc>
        <w:tc>
          <w:tcPr>
            <w:tcW w:w="1316" w:type="dxa"/>
            <w:shd w:val="clear" w:color="auto" w:fill="auto"/>
            <w:vAlign w:val="center"/>
          </w:tcPr>
          <w:p w:rsidR="00666968" w:rsidRPr="00070D17" w:rsidRDefault="00666968" w:rsidP="00ED441A">
            <w:pPr>
              <w:jc w:val="center"/>
              <w:rPr>
                <w:rFonts w:ascii="Arial" w:eastAsia="Calibri" w:hAnsi="Arial" w:cs="Arial"/>
                <w:sz w:val="19"/>
                <w:szCs w:val="19"/>
              </w:rPr>
            </w:pPr>
            <w:r>
              <w:rPr>
                <w:rFonts w:ascii="Arial" w:eastAsia="Calibri" w:hAnsi="Arial" w:cs="Arial"/>
                <w:sz w:val="19"/>
                <w:szCs w:val="19"/>
              </w:rPr>
              <w:t>99.11</w:t>
            </w:r>
          </w:p>
        </w:tc>
        <w:tc>
          <w:tcPr>
            <w:tcW w:w="1041"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N</w:t>
            </w:r>
          </w:p>
        </w:tc>
        <w:tc>
          <w:tcPr>
            <w:tcW w:w="1218"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97.25</w:t>
            </w:r>
          </w:p>
        </w:tc>
        <w:tc>
          <w:tcPr>
            <w:tcW w:w="1296"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noProof/>
                <w:sz w:val="19"/>
                <w:szCs w:val="19"/>
              </w:rPr>
              <mc:AlternateContent>
                <mc:Choice Requires="wps">
                  <w:drawing>
                    <wp:anchor distT="0" distB="0" distL="114300" distR="114300" simplePos="0" relativeHeight="251676686" behindDoc="0" locked="0" layoutInCell="1" allowOverlap="1" wp14:anchorId="56AC1D19" wp14:editId="23E51A5B">
                      <wp:simplePos x="0" y="0"/>
                      <wp:positionH relativeFrom="column">
                        <wp:posOffset>356870</wp:posOffset>
                      </wp:positionH>
                      <wp:positionV relativeFrom="paragraph">
                        <wp:posOffset>0</wp:posOffset>
                      </wp:positionV>
                      <wp:extent cx="635" cy="139065"/>
                      <wp:effectExtent l="76200" t="38100" r="755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8.1pt;margin-top:0;width:.05pt;height:10.95pt;flip:y;z-index:2516766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">
                      <v:stroke endarrow="block"/>
                    </v:shape>
                  </w:pict>
                </mc:Fallback>
              </mc:AlternateContent>
            </w:r>
          </w:p>
        </w:tc>
      </w:tr>
      <w:tr w:rsidR="00666968" w:rsidRPr="00070D17" w:rsidTr="00ED441A">
        <w:trPr>
          <w:jc w:val="center"/>
        </w:trPr>
        <w:tc>
          <w:tcPr>
            <w:tcW w:w="2267" w:type="dxa"/>
            <w:shd w:val="clear" w:color="auto" w:fill="auto"/>
          </w:tcPr>
          <w:p w:rsidR="00666968" w:rsidRPr="00070D17" w:rsidRDefault="00666968" w:rsidP="00ED441A">
            <w:pPr>
              <w:jc w:val="left"/>
              <w:rPr>
                <w:rFonts w:ascii="Arial" w:eastAsia="Calibri" w:hAnsi="Arial" w:cs="Arial"/>
                <w:sz w:val="19"/>
                <w:szCs w:val="19"/>
              </w:rPr>
            </w:pPr>
            <w:r w:rsidRPr="00070D17">
              <w:rPr>
                <w:rFonts w:ascii="Arial" w:eastAsia="Calibri" w:hAnsi="Arial" w:cs="Arial"/>
                <w:sz w:val="19"/>
                <w:szCs w:val="19"/>
              </w:rPr>
              <w:t>Average number of days to re-let housing</w:t>
            </w:r>
          </w:p>
        </w:tc>
        <w:tc>
          <w:tcPr>
            <w:tcW w:w="1221"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L</w:t>
            </w:r>
          </w:p>
        </w:tc>
        <w:tc>
          <w:tcPr>
            <w:tcW w:w="1316" w:type="dxa"/>
            <w:shd w:val="clear" w:color="auto" w:fill="auto"/>
            <w:vAlign w:val="center"/>
          </w:tcPr>
          <w:p w:rsidR="00666968" w:rsidRPr="00070D17" w:rsidRDefault="00666968" w:rsidP="00ED441A">
            <w:pPr>
              <w:jc w:val="center"/>
              <w:rPr>
                <w:rFonts w:ascii="Arial" w:eastAsia="Calibri" w:hAnsi="Arial" w:cs="Arial"/>
                <w:sz w:val="19"/>
                <w:szCs w:val="19"/>
              </w:rPr>
            </w:pPr>
            <w:r>
              <w:rPr>
                <w:rFonts w:ascii="Arial" w:eastAsia="Calibri" w:hAnsi="Arial" w:cs="Arial"/>
                <w:sz w:val="19"/>
                <w:szCs w:val="19"/>
              </w:rPr>
              <w:t>30</w:t>
            </w:r>
          </w:p>
        </w:tc>
        <w:tc>
          <w:tcPr>
            <w:tcW w:w="1316" w:type="dxa"/>
            <w:shd w:val="clear" w:color="auto" w:fill="auto"/>
            <w:vAlign w:val="center"/>
          </w:tcPr>
          <w:p w:rsidR="00666968" w:rsidRPr="00070D17" w:rsidRDefault="00666968" w:rsidP="00ED441A">
            <w:pPr>
              <w:jc w:val="center"/>
              <w:rPr>
                <w:rFonts w:ascii="Arial" w:eastAsia="Calibri" w:hAnsi="Arial" w:cs="Arial"/>
                <w:sz w:val="19"/>
                <w:szCs w:val="19"/>
              </w:rPr>
            </w:pPr>
            <w:r>
              <w:rPr>
                <w:rFonts w:ascii="Arial" w:eastAsia="Calibri" w:hAnsi="Arial" w:cs="Arial"/>
                <w:sz w:val="19"/>
                <w:szCs w:val="19"/>
              </w:rPr>
              <w:t>33.03</w:t>
            </w:r>
          </w:p>
        </w:tc>
        <w:tc>
          <w:tcPr>
            <w:tcW w:w="1041"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N</w:t>
            </w:r>
          </w:p>
        </w:tc>
        <w:tc>
          <w:tcPr>
            <w:tcW w:w="1218"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sz w:val="19"/>
                <w:szCs w:val="19"/>
              </w:rPr>
              <w:t>3</w:t>
            </w:r>
            <w:r>
              <w:rPr>
                <w:rFonts w:ascii="Arial" w:eastAsia="Calibri" w:hAnsi="Arial" w:cs="Arial"/>
                <w:sz w:val="19"/>
                <w:szCs w:val="19"/>
              </w:rPr>
              <w:t>6.08</w:t>
            </w:r>
          </w:p>
        </w:tc>
        <w:tc>
          <w:tcPr>
            <w:tcW w:w="1296" w:type="dxa"/>
            <w:shd w:val="clear" w:color="auto" w:fill="auto"/>
            <w:vAlign w:val="center"/>
          </w:tcPr>
          <w:p w:rsidR="00666968" w:rsidRPr="00070D17" w:rsidRDefault="00666968" w:rsidP="00ED441A">
            <w:pPr>
              <w:jc w:val="center"/>
              <w:rPr>
                <w:rFonts w:ascii="Arial" w:eastAsia="Calibri" w:hAnsi="Arial" w:cs="Arial"/>
                <w:sz w:val="19"/>
                <w:szCs w:val="19"/>
              </w:rPr>
            </w:pPr>
            <w:r w:rsidRPr="00070D17">
              <w:rPr>
                <w:rFonts w:ascii="Arial" w:eastAsia="Calibri" w:hAnsi="Arial" w:cs="Arial"/>
                <w:noProof/>
                <w:sz w:val="19"/>
                <w:szCs w:val="19"/>
              </w:rPr>
              <mc:AlternateContent>
                <mc:Choice Requires="wps">
                  <w:drawing>
                    <wp:anchor distT="0" distB="0" distL="114300" distR="114300" simplePos="0" relativeHeight="251677710" behindDoc="0" locked="0" layoutInCell="1" allowOverlap="1" wp14:anchorId="2730D978" wp14:editId="1813A437">
                      <wp:simplePos x="0" y="0"/>
                      <wp:positionH relativeFrom="column">
                        <wp:posOffset>357505</wp:posOffset>
                      </wp:positionH>
                      <wp:positionV relativeFrom="paragraph">
                        <wp:posOffset>21590</wp:posOffset>
                      </wp:positionV>
                      <wp:extent cx="635" cy="139065"/>
                      <wp:effectExtent l="76200" t="38100" r="75565" b="1333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8.15pt;margin-top:1.7pt;width:.05pt;height:10.95pt;flip:y;z-index:251677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">
                      <v:stroke endarrow="block"/>
                    </v:shape>
                  </w:pict>
                </mc:Fallback>
              </mc:AlternateContent>
            </w:r>
          </w:p>
        </w:tc>
      </w:tr>
    </w:tbl>
    <w:p w:rsidR="00666968" w:rsidRDefault="00666968" w:rsidP="00402E60">
      <w:pPr>
        <w:spacing w:after="0"/>
        <w:jc w:val="left"/>
        <w:rPr>
          <w:rFonts w:ascii="Arial" w:eastAsia="Calibri" w:hAnsi="Arial" w:cs="Arial"/>
          <w:sz w:val="19"/>
          <w:szCs w:val="19"/>
        </w:rPr>
      </w:pPr>
    </w:p>
    <w:p w:rsidR="00666968" w:rsidRPr="00070D17" w:rsidRDefault="00666968" w:rsidP="00402E60">
      <w:pPr>
        <w:spacing w:after="0"/>
        <w:jc w:val="left"/>
        <w:rPr>
          <w:rFonts w:ascii="Arial" w:eastAsia="Calibri" w:hAnsi="Arial" w:cs="Arial"/>
          <w:sz w:val="19"/>
          <w:szCs w:val="19"/>
        </w:rPr>
      </w:pPr>
    </w:p>
    <w:p w:rsidR="00402E60" w:rsidRPr="00666968" w:rsidRDefault="00402E60" w:rsidP="00666968">
      <w:pPr>
        <w:jc w:val="left"/>
        <w:rPr>
          <w:rFonts w:ascii="Arial" w:eastAsia="Calibri" w:hAnsi="Arial" w:cs="Arial"/>
          <w:szCs w:val="19"/>
        </w:rPr>
      </w:pPr>
      <w:r w:rsidRPr="00EC62B7">
        <w:rPr>
          <w:rFonts w:ascii="Arial" w:eastAsia="Calibri" w:hAnsi="Arial" w:cs="Arial"/>
          <w:szCs w:val="19"/>
        </w:rPr>
        <w:t>*</w:t>
      </w:r>
      <w:r>
        <w:rPr>
          <w:rFonts w:ascii="Arial" w:eastAsia="Calibri" w:hAnsi="Arial" w:cs="Arial"/>
          <w:szCs w:val="19"/>
        </w:rPr>
        <w:t xml:space="preserve"> </w:t>
      </w:r>
      <w:r w:rsidRPr="00EC62B7">
        <w:rPr>
          <w:rFonts w:ascii="Arial" w:eastAsia="Calibri" w:hAnsi="Arial" w:cs="Arial"/>
          <w:szCs w:val="19"/>
        </w:rPr>
        <w:t>Homes for Northumberland</w:t>
      </w:r>
      <w:r w:rsidR="00666968">
        <w:rPr>
          <w:rFonts w:ascii="Arial" w:eastAsia="Calibri" w:hAnsi="Arial" w:cs="Arial"/>
          <w:szCs w:val="19"/>
        </w:rPr>
        <w:t xml:space="preserve"> Limited</w:t>
      </w:r>
      <w:r w:rsidRPr="00EC62B7">
        <w:rPr>
          <w:rFonts w:ascii="Arial" w:eastAsia="Calibri" w:hAnsi="Arial" w:cs="Arial"/>
          <w:szCs w:val="19"/>
        </w:rPr>
        <w:t xml:space="preserve"> </w:t>
      </w:r>
      <w:r w:rsidR="00666968">
        <w:rPr>
          <w:rFonts w:ascii="Arial" w:eastAsia="Calibri" w:hAnsi="Arial" w:cs="Arial"/>
          <w:szCs w:val="19"/>
        </w:rPr>
        <w:t>promotes</w:t>
      </w:r>
      <w:r>
        <w:rPr>
          <w:rFonts w:ascii="Arial" w:eastAsia="Calibri" w:hAnsi="Arial" w:cs="Arial"/>
          <w:szCs w:val="19"/>
        </w:rPr>
        <w:t xml:space="preserve"> its Complaints process to customers with a view to increasing the number of complaints as a driver of service improvement, therefore an increased number of complaints is a positive result.</w:t>
      </w:r>
    </w:p>
    <w:p w:rsidR="00402E60" w:rsidRPr="004212F6" w:rsidRDefault="00402E60" w:rsidP="00402E60">
      <w:pPr>
        <w:rPr>
          <w:rFonts w:ascii="Arial" w:eastAsia="Calibri" w:hAnsi="Arial" w:cs="Arial"/>
          <w:b/>
          <w:szCs w:val="19"/>
        </w:rPr>
      </w:pPr>
      <w:r>
        <w:rPr>
          <w:rFonts w:ascii="Arial" w:eastAsia="Calibri" w:hAnsi="Arial" w:cs="Arial"/>
          <w:b/>
          <w:szCs w:val="19"/>
        </w:rPr>
        <w:t>Risk</w:t>
      </w:r>
      <w:r w:rsidR="00666968">
        <w:rPr>
          <w:rFonts w:ascii="Arial" w:eastAsia="Calibri" w:hAnsi="Arial" w:cs="Arial"/>
          <w:b/>
          <w:szCs w:val="19"/>
        </w:rPr>
        <w:t>s</w:t>
      </w:r>
      <w:r>
        <w:rPr>
          <w:rFonts w:ascii="Arial" w:eastAsia="Calibri" w:hAnsi="Arial" w:cs="Arial"/>
          <w:b/>
          <w:szCs w:val="19"/>
        </w:rPr>
        <w:t xml:space="preserve"> and U</w:t>
      </w:r>
      <w:r w:rsidR="00666968">
        <w:rPr>
          <w:rFonts w:ascii="Arial" w:eastAsia="Calibri" w:hAnsi="Arial" w:cs="Arial"/>
          <w:b/>
          <w:szCs w:val="19"/>
        </w:rPr>
        <w:t>ncertainties</w:t>
      </w:r>
    </w:p>
    <w:p w:rsidR="00402E60" w:rsidRDefault="00402E60" w:rsidP="00402E60">
      <w:pPr>
        <w:spacing w:after="0"/>
        <w:rPr>
          <w:rFonts w:ascii="Arial" w:eastAsia="Calibri" w:hAnsi="Arial" w:cs="Arial"/>
          <w:sz w:val="19"/>
          <w:szCs w:val="19"/>
        </w:rPr>
      </w:pPr>
      <w:r w:rsidRPr="00070D17">
        <w:rPr>
          <w:rFonts w:ascii="Arial" w:eastAsia="Calibri" w:hAnsi="Arial" w:cs="Arial"/>
          <w:sz w:val="19"/>
          <w:szCs w:val="19"/>
        </w:rPr>
        <w:t>The table below sets out the key risks faced by Homes for Northumberland</w:t>
      </w:r>
      <w:r w:rsidR="00666968">
        <w:rPr>
          <w:rFonts w:ascii="Arial" w:eastAsia="Calibri" w:hAnsi="Arial" w:cs="Arial"/>
          <w:sz w:val="19"/>
          <w:szCs w:val="19"/>
        </w:rPr>
        <w:t xml:space="preserve"> Limited</w:t>
      </w:r>
      <w:r w:rsidRPr="00070D17">
        <w:rPr>
          <w:rFonts w:ascii="Arial" w:eastAsia="Calibri" w:hAnsi="Arial" w:cs="Arial"/>
          <w:sz w:val="19"/>
          <w:szCs w:val="19"/>
        </w:rPr>
        <w:t>:</w:t>
      </w:r>
    </w:p>
    <w:p w:rsidR="00402E60" w:rsidRPr="00070D17" w:rsidRDefault="00402E60" w:rsidP="00402E60">
      <w:pPr>
        <w:spacing w:after="0"/>
        <w:rPr>
          <w:rFonts w:ascii="Arial" w:eastAsia="Calibri"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331"/>
        <w:gridCol w:w="2363"/>
        <w:gridCol w:w="2462"/>
      </w:tblGrid>
      <w:tr w:rsidR="00402E60" w:rsidRPr="00070D17" w:rsidTr="00402E60">
        <w:tc>
          <w:tcPr>
            <w:tcW w:w="2416" w:type="dxa"/>
            <w:shd w:val="clear" w:color="auto" w:fill="auto"/>
            <w:vAlign w:val="bottom"/>
          </w:tcPr>
          <w:p w:rsidR="00402E60" w:rsidRPr="00070D17" w:rsidRDefault="00402E60" w:rsidP="00402E60">
            <w:pPr>
              <w:jc w:val="center"/>
              <w:rPr>
                <w:rFonts w:ascii="Arial" w:eastAsia="Calibri" w:hAnsi="Arial" w:cs="Arial"/>
                <w:b/>
                <w:sz w:val="19"/>
                <w:szCs w:val="19"/>
              </w:rPr>
            </w:pPr>
            <w:r w:rsidRPr="00070D17">
              <w:rPr>
                <w:rFonts w:ascii="Arial" w:eastAsia="Calibri" w:hAnsi="Arial" w:cs="Arial"/>
                <w:b/>
                <w:sz w:val="19"/>
                <w:szCs w:val="19"/>
              </w:rPr>
              <w:t>Risk</w:t>
            </w:r>
          </w:p>
        </w:tc>
        <w:tc>
          <w:tcPr>
            <w:tcW w:w="2331" w:type="dxa"/>
            <w:shd w:val="clear" w:color="auto" w:fill="auto"/>
            <w:vAlign w:val="bottom"/>
          </w:tcPr>
          <w:p w:rsidR="00402E60" w:rsidRPr="00070D17" w:rsidRDefault="00402E60" w:rsidP="00402E60">
            <w:pPr>
              <w:jc w:val="center"/>
              <w:rPr>
                <w:rFonts w:ascii="Arial" w:eastAsia="Calibri" w:hAnsi="Arial" w:cs="Arial"/>
                <w:b/>
                <w:sz w:val="19"/>
                <w:szCs w:val="19"/>
              </w:rPr>
            </w:pPr>
            <w:r w:rsidRPr="00070D17">
              <w:rPr>
                <w:rFonts w:ascii="Arial" w:eastAsia="Calibri" w:hAnsi="Arial" w:cs="Arial"/>
                <w:b/>
                <w:sz w:val="19"/>
                <w:szCs w:val="19"/>
              </w:rPr>
              <w:t>Impact</w:t>
            </w:r>
          </w:p>
        </w:tc>
        <w:tc>
          <w:tcPr>
            <w:tcW w:w="2363" w:type="dxa"/>
            <w:shd w:val="clear" w:color="auto" w:fill="auto"/>
            <w:vAlign w:val="bottom"/>
          </w:tcPr>
          <w:p w:rsidR="00402E60" w:rsidRPr="00070D17" w:rsidRDefault="00402E60" w:rsidP="00402E60">
            <w:pPr>
              <w:jc w:val="center"/>
              <w:rPr>
                <w:rFonts w:ascii="Arial" w:eastAsia="Calibri" w:hAnsi="Arial" w:cs="Arial"/>
                <w:b/>
                <w:sz w:val="19"/>
                <w:szCs w:val="19"/>
              </w:rPr>
            </w:pPr>
            <w:r w:rsidRPr="00070D17">
              <w:rPr>
                <w:rFonts w:ascii="Arial" w:eastAsia="Calibri" w:hAnsi="Arial" w:cs="Arial"/>
                <w:b/>
                <w:sz w:val="19"/>
                <w:szCs w:val="19"/>
              </w:rPr>
              <w:t>Assess</w:t>
            </w:r>
            <w:r w:rsidR="00666968">
              <w:rPr>
                <w:rFonts w:ascii="Arial" w:eastAsia="Calibri" w:hAnsi="Arial" w:cs="Arial"/>
                <w:b/>
                <w:sz w:val="19"/>
                <w:szCs w:val="19"/>
              </w:rPr>
              <w:t>ment of change in risk from 2013/14</w:t>
            </w:r>
          </w:p>
        </w:tc>
        <w:tc>
          <w:tcPr>
            <w:tcW w:w="2462" w:type="dxa"/>
            <w:shd w:val="clear" w:color="auto" w:fill="auto"/>
            <w:vAlign w:val="bottom"/>
          </w:tcPr>
          <w:p w:rsidR="00402E60" w:rsidRPr="00070D17" w:rsidRDefault="00402E60" w:rsidP="00402E60">
            <w:pPr>
              <w:jc w:val="center"/>
              <w:rPr>
                <w:rFonts w:ascii="Arial" w:eastAsia="Calibri" w:hAnsi="Arial" w:cs="Arial"/>
                <w:b/>
                <w:sz w:val="19"/>
                <w:szCs w:val="19"/>
              </w:rPr>
            </w:pPr>
            <w:r w:rsidRPr="00070D17">
              <w:rPr>
                <w:rFonts w:ascii="Arial" w:eastAsia="Calibri" w:hAnsi="Arial" w:cs="Arial"/>
                <w:b/>
                <w:sz w:val="19"/>
                <w:szCs w:val="19"/>
              </w:rPr>
              <w:t>Mitigation of risk</w:t>
            </w:r>
          </w:p>
        </w:tc>
      </w:tr>
      <w:tr w:rsidR="00402E60" w:rsidRPr="00070D17" w:rsidTr="00402E60">
        <w:tc>
          <w:tcPr>
            <w:tcW w:w="2416" w:type="dxa"/>
            <w:shd w:val="clear" w:color="auto" w:fill="auto"/>
          </w:tcPr>
          <w:p w:rsidR="00402E60" w:rsidRPr="00070D17" w:rsidRDefault="00402E60" w:rsidP="00402E60">
            <w:pPr>
              <w:jc w:val="left"/>
              <w:rPr>
                <w:rFonts w:ascii="Arial" w:eastAsia="Calibri" w:hAnsi="Arial" w:cs="Arial"/>
                <w:sz w:val="19"/>
                <w:szCs w:val="19"/>
              </w:rPr>
            </w:pPr>
            <w:r w:rsidRPr="00070D17">
              <w:rPr>
                <w:rFonts w:ascii="Arial" w:hAnsi="Arial" w:cs="Arial"/>
                <w:sz w:val="19"/>
                <w:szCs w:val="19"/>
              </w:rPr>
              <w:t>Activities in Neighbourhood Services are not in line with documented procedures.</w:t>
            </w:r>
          </w:p>
        </w:tc>
        <w:tc>
          <w:tcPr>
            <w:tcW w:w="2331" w:type="dxa"/>
            <w:shd w:val="clear" w:color="auto" w:fill="auto"/>
          </w:tcPr>
          <w:p w:rsidR="00402E60" w:rsidRPr="00070D17" w:rsidRDefault="00402E60" w:rsidP="00402E60">
            <w:pPr>
              <w:numPr>
                <w:ilvl w:val="0"/>
                <w:numId w:val="44"/>
              </w:numPr>
              <w:spacing w:after="0"/>
              <w:ind w:left="242" w:hanging="242"/>
              <w:jc w:val="left"/>
              <w:rPr>
                <w:rFonts w:ascii="Arial" w:eastAsia="Calibri" w:hAnsi="Arial" w:cs="Arial"/>
                <w:sz w:val="19"/>
                <w:szCs w:val="19"/>
              </w:rPr>
            </w:pPr>
            <w:r w:rsidRPr="00070D17">
              <w:rPr>
                <w:rFonts w:ascii="Arial" w:eastAsia="Calibri" w:hAnsi="Arial" w:cs="Arial"/>
                <w:sz w:val="19"/>
                <w:szCs w:val="19"/>
              </w:rPr>
              <w:t>Breaches of the law</w:t>
            </w:r>
          </w:p>
          <w:p w:rsidR="00402E60" w:rsidRPr="00070D17" w:rsidRDefault="00402E60" w:rsidP="00402E60">
            <w:pPr>
              <w:numPr>
                <w:ilvl w:val="0"/>
                <w:numId w:val="44"/>
              </w:numPr>
              <w:spacing w:after="0"/>
              <w:ind w:left="242" w:hanging="242"/>
              <w:jc w:val="left"/>
              <w:rPr>
                <w:rFonts w:ascii="Arial" w:eastAsia="Calibri" w:hAnsi="Arial" w:cs="Arial"/>
                <w:sz w:val="19"/>
                <w:szCs w:val="19"/>
              </w:rPr>
            </w:pPr>
            <w:r w:rsidRPr="00070D17">
              <w:rPr>
                <w:rFonts w:ascii="Arial" w:eastAsia="Calibri" w:hAnsi="Arial" w:cs="Arial"/>
                <w:sz w:val="19"/>
                <w:szCs w:val="19"/>
              </w:rPr>
              <w:t>Detriment to Homes for Northumberland</w:t>
            </w:r>
            <w:r w:rsidR="00666968">
              <w:rPr>
                <w:rFonts w:ascii="Arial" w:eastAsia="Calibri" w:hAnsi="Arial" w:cs="Arial"/>
                <w:sz w:val="19"/>
                <w:szCs w:val="19"/>
              </w:rPr>
              <w:t xml:space="preserve"> Limited</w:t>
            </w:r>
            <w:r w:rsidRPr="00070D17">
              <w:rPr>
                <w:rFonts w:ascii="Arial" w:eastAsia="Calibri" w:hAnsi="Arial" w:cs="Arial"/>
                <w:sz w:val="19"/>
                <w:szCs w:val="19"/>
              </w:rPr>
              <w:t>’s customers</w:t>
            </w:r>
          </w:p>
          <w:p w:rsidR="00402E60" w:rsidRPr="00070D17" w:rsidRDefault="00402E60" w:rsidP="00402E60">
            <w:pPr>
              <w:numPr>
                <w:ilvl w:val="0"/>
                <w:numId w:val="44"/>
              </w:numPr>
              <w:spacing w:after="0"/>
              <w:ind w:left="242" w:hanging="242"/>
              <w:jc w:val="left"/>
              <w:rPr>
                <w:rFonts w:ascii="Arial" w:eastAsia="Calibri" w:hAnsi="Arial" w:cs="Arial"/>
                <w:sz w:val="19"/>
                <w:szCs w:val="19"/>
              </w:rPr>
            </w:pPr>
            <w:r w:rsidRPr="00070D17">
              <w:rPr>
                <w:rFonts w:ascii="Arial" w:eastAsia="Calibri" w:hAnsi="Arial" w:cs="Arial"/>
                <w:sz w:val="19"/>
                <w:szCs w:val="19"/>
              </w:rPr>
              <w:t>Loss of Northumberland County Council confidence in Homes for Northumberland</w:t>
            </w:r>
            <w:r w:rsidR="00666968">
              <w:rPr>
                <w:rFonts w:ascii="Arial" w:eastAsia="Calibri" w:hAnsi="Arial" w:cs="Arial"/>
                <w:sz w:val="19"/>
                <w:szCs w:val="19"/>
              </w:rPr>
              <w:t xml:space="preserve"> Limited</w:t>
            </w:r>
          </w:p>
        </w:tc>
        <w:tc>
          <w:tcPr>
            <w:tcW w:w="2363" w:type="dxa"/>
            <w:shd w:val="clear" w:color="auto" w:fill="auto"/>
          </w:tcPr>
          <w:p w:rsidR="00402E60" w:rsidRDefault="00666968" w:rsidP="00402E60">
            <w:pPr>
              <w:jc w:val="left"/>
              <w:rPr>
                <w:rFonts w:ascii="Arial" w:eastAsia="Calibri" w:hAnsi="Arial" w:cs="Arial"/>
                <w:sz w:val="19"/>
                <w:szCs w:val="19"/>
              </w:rPr>
            </w:pPr>
            <w:r>
              <w:rPr>
                <w:rFonts w:ascii="Arial" w:eastAsia="Calibri" w:hAnsi="Arial" w:cs="Arial"/>
                <w:sz w:val="19"/>
                <w:szCs w:val="19"/>
              </w:rPr>
              <w:t>The mitigation measures put in place have successfully mitigated the risk.</w:t>
            </w:r>
          </w:p>
          <w:p w:rsidR="00666968" w:rsidRPr="00070D17" w:rsidRDefault="00666968" w:rsidP="00402E60">
            <w:pPr>
              <w:jc w:val="left"/>
              <w:rPr>
                <w:rFonts w:ascii="Arial" w:eastAsia="Calibri" w:hAnsi="Arial" w:cs="Arial"/>
                <w:sz w:val="19"/>
                <w:szCs w:val="19"/>
              </w:rPr>
            </w:pPr>
            <w:r>
              <w:rPr>
                <w:rFonts w:ascii="Arial" w:eastAsia="Calibri" w:hAnsi="Arial" w:cs="Arial"/>
                <w:sz w:val="19"/>
                <w:szCs w:val="19"/>
              </w:rPr>
              <w:t>This is supported by a recent audit review on procedures in Neighbourhood Services.</w:t>
            </w:r>
          </w:p>
        </w:tc>
        <w:tc>
          <w:tcPr>
            <w:tcW w:w="2462" w:type="dxa"/>
            <w:shd w:val="clear" w:color="auto" w:fill="auto"/>
          </w:tcPr>
          <w:p w:rsidR="00402E60" w:rsidRPr="00070D17" w:rsidRDefault="00402E60" w:rsidP="00402E60">
            <w:pPr>
              <w:numPr>
                <w:ilvl w:val="0"/>
                <w:numId w:val="44"/>
              </w:numPr>
              <w:spacing w:after="0"/>
              <w:ind w:left="242" w:hanging="242"/>
              <w:jc w:val="left"/>
              <w:rPr>
                <w:rFonts w:ascii="Arial" w:eastAsia="Calibri" w:hAnsi="Arial" w:cs="Arial"/>
                <w:sz w:val="19"/>
                <w:szCs w:val="19"/>
              </w:rPr>
            </w:pPr>
            <w:r w:rsidRPr="00070D17">
              <w:rPr>
                <w:rFonts w:ascii="Arial" w:eastAsia="Calibri" w:hAnsi="Arial" w:cs="Arial"/>
                <w:sz w:val="19"/>
                <w:szCs w:val="19"/>
              </w:rPr>
              <w:t>Provision of external legal training for all Neighbourhood Services staff.</w:t>
            </w:r>
          </w:p>
          <w:p w:rsidR="00402E60" w:rsidRPr="00070D17" w:rsidRDefault="00402E60" w:rsidP="00402E60">
            <w:pPr>
              <w:numPr>
                <w:ilvl w:val="0"/>
                <w:numId w:val="44"/>
              </w:numPr>
              <w:spacing w:after="0"/>
              <w:ind w:left="242" w:hanging="242"/>
              <w:jc w:val="left"/>
              <w:rPr>
                <w:rFonts w:ascii="Arial" w:eastAsia="Calibri" w:hAnsi="Arial" w:cs="Arial"/>
                <w:sz w:val="19"/>
                <w:szCs w:val="19"/>
              </w:rPr>
            </w:pPr>
            <w:r w:rsidRPr="00070D17">
              <w:rPr>
                <w:rFonts w:ascii="Arial" w:eastAsia="Calibri" w:hAnsi="Arial" w:cs="Arial"/>
                <w:sz w:val="19"/>
                <w:szCs w:val="19"/>
              </w:rPr>
              <w:t>Commissioned a review of all of the policies and procedures in Neighbourhood Services.</w:t>
            </w:r>
          </w:p>
          <w:p w:rsidR="00402E60" w:rsidRPr="00070D17" w:rsidRDefault="00402E60" w:rsidP="00402E60">
            <w:pPr>
              <w:numPr>
                <w:ilvl w:val="0"/>
                <w:numId w:val="44"/>
              </w:numPr>
              <w:spacing w:after="0"/>
              <w:ind w:left="242" w:hanging="242"/>
              <w:jc w:val="left"/>
              <w:rPr>
                <w:rFonts w:ascii="Arial" w:eastAsia="Calibri" w:hAnsi="Arial" w:cs="Arial"/>
                <w:sz w:val="19"/>
                <w:szCs w:val="19"/>
              </w:rPr>
            </w:pPr>
            <w:r w:rsidRPr="00070D17">
              <w:rPr>
                <w:rFonts w:ascii="Arial" w:eastAsia="Calibri" w:hAnsi="Arial" w:cs="Arial"/>
                <w:sz w:val="19"/>
                <w:szCs w:val="19"/>
              </w:rPr>
              <w:t>Increased resources in the team through the introduction of agency staff.</w:t>
            </w:r>
          </w:p>
        </w:tc>
      </w:tr>
      <w:tr w:rsidR="00402E60" w:rsidRPr="00070D17" w:rsidTr="00402E60">
        <w:tc>
          <w:tcPr>
            <w:tcW w:w="2416" w:type="dxa"/>
            <w:shd w:val="clear" w:color="auto" w:fill="auto"/>
          </w:tcPr>
          <w:p w:rsidR="00402E60" w:rsidRPr="00070D17" w:rsidRDefault="00402E60" w:rsidP="00402E60">
            <w:pPr>
              <w:jc w:val="left"/>
              <w:rPr>
                <w:rFonts w:ascii="Arial" w:eastAsia="Calibri" w:hAnsi="Arial" w:cs="Arial"/>
                <w:sz w:val="19"/>
                <w:szCs w:val="19"/>
              </w:rPr>
            </w:pPr>
            <w:r w:rsidRPr="00070D17">
              <w:rPr>
                <w:rFonts w:ascii="Arial" w:hAnsi="Arial" w:cs="Arial"/>
                <w:sz w:val="19"/>
                <w:szCs w:val="19"/>
              </w:rPr>
              <w:t>Focus on new business leads to impairment in those services that represent Homes for Northumberland</w:t>
            </w:r>
            <w:r w:rsidR="00666968">
              <w:rPr>
                <w:rFonts w:ascii="Arial" w:hAnsi="Arial" w:cs="Arial"/>
                <w:sz w:val="19"/>
                <w:szCs w:val="19"/>
              </w:rPr>
              <w:t xml:space="preserve"> Limited</w:t>
            </w:r>
            <w:r w:rsidRPr="00070D17">
              <w:rPr>
                <w:rFonts w:ascii="Arial" w:hAnsi="Arial" w:cs="Arial"/>
                <w:sz w:val="19"/>
                <w:szCs w:val="19"/>
              </w:rPr>
              <w:t>’s core activities.</w:t>
            </w:r>
          </w:p>
        </w:tc>
        <w:tc>
          <w:tcPr>
            <w:tcW w:w="2331" w:type="dxa"/>
            <w:shd w:val="clear" w:color="auto" w:fill="auto"/>
          </w:tcPr>
          <w:p w:rsidR="00402E60" w:rsidRPr="00070D17" w:rsidRDefault="00402E60" w:rsidP="00402E60">
            <w:pPr>
              <w:numPr>
                <w:ilvl w:val="0"/>
                <w:numId w:val="44"/>
              </w:numPr>
              <w:spacing w:after="0"/>
              <w:ind w:left="242" w:hanging="242"/>
              <w:jc w:val="left"/>
              <w:rPr>
                <w:rFonts w:ascii="Arial" w:eastAsia="Calibri" w:hAnsi="Arial" w:cs="Arial"/>
                <w:sz w:val="19"/>
                <w:szCs w:val="19"/>
              </w:rPr>
            </w:pPr>
            <w:r w:rsidRPr="00070D17">
              <w:rPr>
                <w:rFonts w:ascii="Arial" w:eastAsia="Calibri" w:hAnsi="Arial" w:cs="Arial"/>
                <w:sz w:val="19"/>
                <w:szCs w:val="19"/>
              </w:rPr>
              <w:t>Delivery of core services decline</w:t>
            </w:r>
          </w:p>
          <w:p w:rsidR="00402E60" w:rsidRPr="00070D17" w:rsidRDefault="00402E60" w:rsidP="00402E60">
            <w:pPr>
              <w:numPr>
                <w:ilvl w:val="0"/>
                <w:numId w:val="44"/>
              </w:numPr>
              <w:spacing w:after="0"/>
              <w:ind w:left="242" w:hanging="242"/>
              <w:jc w:val="left"/>
              <w:rPr>
                <w:rFonts w:ascii="Arial" w:eastAsia="Calibri" w:hAnsi="Arial" w:cs="Arial"/>
                <w:sz w:val="19"/>
                <w:szCs w:val="19"/>
              </w:rPr>
            </w:pPr>
            <w:r w:rsidRPr="00070D17">
              <w:rPr>
                <w:rFonts w:ascii="Arial" w:eastAsia="Calibri" w:hAnsi="Arial" w:cs="Arial"/>
                <w:sz w:val="19"/>
                <w:szCs w:val="19"/>
              </w:rPr>
              <w:t>Detriment to Homes for Northumberland</w:t>
            </w:r>
            <w:r w:rsidR="00666968">
              <w:rPr>
                <w:rFonts w:ascii="Arial" w:eastAsia="Calibri" w:hAnsi="Arial" w:cs="Arial"/>
                <w:sz w:val="19"/>
                <w:szCs w:val="19"/>
              </w:rPr>
              <w:t xml:space="preserve"> Limited</w:t>
            </w:r>
            <w:r w:rsidRPr="00070D17">
              <w:rPr>
                <w:rFonts w:ascii="Arial" w:eastAsia="Calibri" w:hAnsi="Arial" w:cs="Arial"/>
                <w:sz w:val="19"/>
                <w:szCs w:val="19"/>
              </w:rPr>
              <w:t>’s customers</w:t>
            </w:r>
          </w:p>
          <w:p w:rsidR="00402E60" w:rsidRPr="00070D17" w:rsidRDefault="00402E60" w:rsidP="00402E60">
            <w:pPr>
              <w:numPr>
                <w:ilvl w:val="0"/>
                <w:numId w:val="44"/>
              </w:numPr>
              <w:spacing w:after="0"/>
              <w:ind w:left="242" w:hanging="242"/>
              <w:jc w:val="left"/>
              <w:rPr>
                <w:rFonts w:ascii="Arial" w:eastAsia="Calibri" w:hAnsi="Arial" w:cs="Arial"/>
                <w:sz w:val="19"/>
                <w:szCs w:val="19"/>
              </w:rPr>
            </w:pPr>
            <w:r w:rsidRPr="00070D17">
              <w:rPr>
                <w:rFonts w:ascii="Arial" w:eastAsia="Calibri" w:hAnsi="Arial" w:cs="Arial"/>
                <w:sz w:val="19"/>
                <w:szCs w:val="19"/>
              </w:rPr>
              <w:t>Loss of Northumberland County Council confidence in Homes for Northumberland</w:t>
            </w:r>
            <w:r w:rsidR="00666968">
              <w:rPr>
                <w:rFonts w:ascii="Arial" w:eastAsia="Calibri" w:hAnsi="Arial" w:cs="Arial"/>
                <w:sz w:val="19"/>
                <w:szCs w:val="19"/>
              </w:rPr>
              <w:t xml:space="preserve"> Limited</w:t>
            </w:r>
          </w:p>
        </w:tc>
        <w:tc>
          <w:tcPr>
            <w:tcW w:w="2363" w:type="dxa"/>
            <w:shd w:val="clear" w:color="auto" w:fill="auto"/>
          </w:tcPr>
          <w:p w:rsidR="00402E60" w:rsidRPr="00070D17" w:rsidRDefault="00402E60" w:rsidP="00402E60">
            <w:pPr>
              <w:jc w:val="left"/>
              <w:rPr>
                <w:rFonts w:ascii="Arial" w:eastAsia="Calibri" w:hAnsi="Arial" w:cs="Arial"/>
                <w:sz w:val="19"/>
                <w:szCs w:val="19"/>
              </w:rPr>
            </w:pPr>
            <w:r w:rsidRPr="00070D17">
              <w:rPr>
                <w:rFonts w:ascii="Arial" w:eastAsia="Calibri" w:hAnsi="Arial" w:cs="Arial"/>
                <w:sz w:val="19"/>
                <w:szCs w:val="19"/>
              </w:rPr>
              <w:t>Performance monitoring (as presented above) indicates that, overall, performance metrics related to Homes for Northumberland’s core acti</w:t>
            </w:r>
            <w:r w:rsidR="00666968">
              <w:rPr>
                <w:rFonts w:ascii="Arial" w:eastAsia="Calibri" w:hAnsi="Arial" w:cs="Arial"/>
                <w:sz w:val="19"/>
                <w:szCs w:val="19"/>
              </w:rPr>
              <w:t>vities have improved during 2014/15</w:t>
            </w:r>
            <w:r w:rsidRPr="00070D17">
              <w:rPr>
                <w:rFonts w:ascii="Arial" w:eastAsia="Calibri" w:hAnsi="Arial" w:cs="Arial"/>
                <w:sz w:val="19"/>
                <w:szCs w:val="19"/>
              </w:rPr>
              <w:t>.  This suggests that the risk has diminished during the year.</w:t>
            </w:r>
          </w:p>
          <w:p w:rsidR="00402E60" w:rsidRPr="00070D17" w:rsidRDefault="00402E60" w:rsidP="00402E60">
            <w:pPr>
              <w:jc w:val="left"/>
              <w:rPr>
                <w:rFonts w:ascii="Arial" w:eastAsia="Calibri" w:hAnsi="Arial" w:cs="Arial"/>
                <w:sz w:val="19"/>
                <w:szCs w:val="19"/>
              </w:rPr>
            </w:pPr>
          </w:p>
        </w:tc>
        <w:tc>
          <w:tcPr>
            <w:tcW w:w="2462" w:type="dxa"/>
            <w:shd w:val="clear" w:color="auto" w:fill="auto"/>
          </w:tcPr>
          <w:p w:rsidR="00402E60" w:rsidRPr="00070D17" w:rsidRDefault="00402E60" w:rsidP="00402E60">
            <w:pPr>
              <w:numPr>
                <w:ilvl w:val="0"/>
                <w:numId w:val="44"/>
              </w:numPr>
              <w:spacing w:after="0"/>
              <w:ind w:left="242" w:hanging="242"/>
              <w:jc w:val="left"/>
              <w:rPr>
                <w:rFonts w:ascii="Arial" w:eastAsia="Calibri" w:hAnsi="Arial" w:cs="Arial"/>
                <w:sz w:val="19"/>
                <w:szCs w:val="19"/>
              </w:rPr>
            </w:pPr>
            <w:r w:rsidRPr="00070D17">
              <w:rPr>
                <w:rFonts w:ascii="Arial" w:eastAsia="Calibri" w:hAnsi="Arial" w:cs="Arial"/>
                <w:sz w:val="19"/>
                <w:szCs w:val="19"/>
              </w:rPr>
              <w:t>Recruited additional staff to deliver new business to ensure that there are adequate resources to maintain core activities.</w:t>
            </w:r>
          </w:p>
          <w:p w:rsidR="00402E60" w:rsidRPr="00070D17" w:rsidRDefault="00402E60" w:rsidP="00402E60">
            <w:pPr>
              <w:numPr>
                <w:ilvl w:val="0"/>
                <w:numId w:val="44"/>
              </w:numPr>
              <w:spacing w:after="0"/>
              <w:ind w:left="242" w:hanging="242"/>
              <w:jc w:val="left"/>
              <w:rPr>
                <w:rFonts w:ascii="Arial" w:eastAsia="Calibri" w:hAnsi="Arial" w:cs="Arial"/>
                <w:sz w:val="19"/>
                <w:szCs w:val="19"/>
              </w:rPr>
            </w:pPr>
            <w:r w:rsidRPr="00070D17">
              <w:rPr>
                <w:rFonts w:ascii="Arial" w:eastAsia="Calibri" w:hAnsi="Arial" w:cs="Arial"/>
                <w:sz w:val="19"/>
                <w:szCs w:val="19"/>
              </w:rPr>
              <w:t>Reviewed strategic performance information requirements and reporting regime for 2014/15 to ensure that adequate focus is on core activities.</w:t>
            </w:r>
          </w:p>
        </w:tc>
      </w:tr>
    </w:tbl>
    <w:p w:rsidR="00666968" w:rsidRPr="004F2030" w:rsidRDefault="00666968" w:rsidP="00666968">
      <w:pPr>
        <w:spacing w:after="0"/>
        <w:jc w:val="left"/>
        <w:rPr>
          <w:rFonts w:ascii="Arial" w:eastAsia="Calibri" w:hAnsi="Arial" w:cs="Arial"/>
          <w:b/>
          <w:sz w:val="19"/>
          <w:szCs w:val="19"/>
        </w:rPr>
      </w:pPr>
      <w:r w:rsidRPr="004F2030">
        <w:rPr>
          <w:rFonts w:ascii="Arial" w:eastAsia="Calibri" w:hAnsi="Arial" w:cs="Arial"/>
          <w:b/>
          <w:sz w:val="19"/>
          <w:szCs w:val="19"/>
        </w:rPr>
        <w:lastRenderedPageBreak/>
        <w:t>Strategic Report (continued)</w:t>
      </w:r>
    </w:p>
    <w:p w:rsidR="00666968" w:rsidRPr="004F2030" w:rsidRDefault="00666968" w:rsidP="00666968">
      <w:pPr>
        <w:spacing w:after="0"/>
        <w:jc w:val="left"/>
        <w:rPr>
          <w:rFonts w:ascii="Arial" w:eastAsia="Calibri" w:hAnsi="Arial" w:cs="Arial"/>
          <w:b/>
          <w:sz w:val="19"/>
          <w:szCs w:val="19"/>
        </w:rPr>
      </w:pPr>
      <w:r>
        <w:rPr>
          <w:rFonts w:ascii="Arial" w:eastAsia="Calibri" w:hAnsi="Arial" w:cs="Arial"/>
          <w:b/>
          <w:sz w:val="19"/>
          <w:szCs w:val="19"/>
        </w:rPr>
        <w:t>Risks and Uncertainties</w:t>
      </w:r>
      <w:r w:rsidRPr="004F2030">
        <w:rPr>
          <w:rFonts w:ascii="Arial" w:eastAsia="Calibri" w:hAnsi="Arial" w:cs="Arial"/>
          <w:b/>
          <w:sz w:val="19"/>
          <w:szCs w:val="19"/>
        </w:rPr>
        <w:t xml:space="preserve"> (continued)</w:t>
      </w:r>
    </w:p>
    <w:p w:rsidR="00402E60" w:rsidRPr="00070D17" w:rsidRDefault="00402E60" w:rsidP="00402E60">
      <w:pPr>
        <w:rPr>
          <w:rFonts w:ascii="Arial" w:eastAsia="Calibri" w:hAnsi="Arial" w:cs="Arial"/>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331"/>
        <w:gridCol w:w="2024"/>
        <w:gridCol w:w="2801"/>
      </w:tblGrid>
      <w:tr w:rsidR="00666968" w:rsidRPr="00070D17" w:rsidTr="000667A6">
        <w:tc>
          <w:tcPr>
            <w:tcW w:w="2416" w:type="dxa"/>
            <w:shd w:val="clear" w:color="auto" w:fill="auto"/>
            <w:vAlign w:val="bottom"/>
          </w:tcPr>
          <w:p w:rsidR="00666968" w:rsidRPr="00070D17" w:rsidRDefault="00666968" w:rsidP="00ED441A">
            <w:pPr>
              <w:jc w:val="center"/>
              <w:rPr>
                <w:rFonts w:ascii="Arial" w:eastAsia="Calibri" w:hAnsi="Arial" w:cs="Arial"/>
                <w:b/>
                <w:sz w:val="19"/>
                <w:szCs w:val="19"/>
              </w:rPr>
            </w:pPr>
            <w:r w:rsidRPr="00070D17">
              <w:rPr>
                <w:rFonts w:ascii="Arial" w:eastAsia="Calibri" w:hAnsi="Arial" w:cs="Arial"/>
                <w:b/>
                <w:sz w:val="19"/>
                <w:szCs w:val="19"/>
              </w:rPr>
              <w:t>Risk</w:t>
            </w:r>
          </w:p>
        </w:tc>
        <w:tc>
          <w:tcPr>
            <w:tcW w:w="2331" w:type="dxa"/>
            <w:shd w:val="clear" w:color="auto" w:fill="auto"/>
            <w:vAlign w:val="bottom"/>
          </w:tcPr>
          <w:p w:rsidR="00666968" w:rsidRPr="00070D17" w:rsidRDefault="00666968" w:rsidP="00ED441A">
            <w:pPr>
              <w:jc w:val="center"/>
              <w:rPr>
                <w:rFonts w:ascii="Arial" w:eastAsia="Calibri" w:hAnsi="Arial" w:cs="Arial"/>
                <w:b/>
                <w:sz w:val="19"/>
                <w:szCs w:val="19"/>
              </w:rPr>
            </w:pPr>
            <w:r w:rsidRPr="00070D17">
              <w:rPr>
                <w:rFonts w:ascii="Arial" w:eastAsia="Calibri" w:hAnsi="Arial" w:cs="Arial"/>
                <w:b/>
                <w:sz w:val="19"/>
                <w:szCs w:val="19"/>
              </w:rPr>
              <w:t>Impact</w:t>
            </w:r>
          </w:p>
        </w:tc>
        <w:tc>
          <w:tcPr>
            <w:tcW w:w="2024" w:type="dxa"/>
            <w:shd w:val="clear" w:color="auto" w:fill="auto"/>
            <w:vAlign w:val="bottom"/>
          </w:tcPr>
          <w:p w:rsidR="00666968" w:rsidRPr="00070D17" w:rsidRDefault="00666968" w:rsidP="00ED441A">
            <w:pPr>
              <w:jc w:val="center"/>
              <w:rPr>
                <w:rFonts w:ascii="Arial" w:eastAsia="Calibri" w:hAnsi="Arial" w:cs="Arial"/>
                <w:b/>
                <w:sz w:val="19"/>
                <w:szCs w:val="19"/>
              </w:rPr>
            </w:pPr>
            <w:r w:rsidRPr="00070D17">
              <w:rPr>
                <w:rFonts w:ascii="Arial" w:eastAsia="Calibri" w:hAnsi="Arial" w:cs="Arial"/>
                <w:b/>
                <w:sz w:val="19"/>
                <w:szCs w:val="19"/>
              </w:rPr>
              <w:t>Assess</w:t>
            </w:r>
            <w:r>
              <w:rPr>
                <w:rFonts w:ascii="Arial" w:eastAsia="Calibri" w:hAnsi="Arial" w:cs="Arial"/>
                <w:b/>
                <w:sz w:val="19"/>
                <w:szCs w:val="19"/>
              </w:rPr>
              <w:t>ment of change in risk from 2013/14</w:t>
            </w:r>
          </w:p>
        </w:tc>
        <w:tc>
          <w:tcPr>
            <w:tcW w:w="2801" w:type="dxa"/>
            <w:shd w:val="clear" w:color="auto" w:fill="auto"/>
            <w:vAlign w:val="bottom"/>
          </w:tcPr>
          <w:p w:rsidR="00666968" w:rsidRPr="00070D17" w:rsidRDefault="00666968" w:rsidP="00ED441A">
            <w:pPr>
              <w:jc w:val="center"/>
              <w:rPr>
                <w:rFonts w:ascii="Arial" w:eastAsia="Calibri" w:hAnsi="Arial" w:cs="Arial"/>
                <w:b/>
                <w:sz w:val="19"/>
                <w:szCs w:val="19"/>
              </w:rPr>
            </w:pPr>
            <w:r w:rsidRPr="00070D17">
              <w:rPr>
                <w:rFonts w:ascii="Arial" w:eastAsia="Calibri" w:hAnsi="Arial" w:cs="Arial"/>
                <w:b/>
                <w:sz w:val="19"/>
                <w:szCs w:val="19"/>
              </w:rPr>
              <w:t>Mitigation of risk</w:t>
            </w:r>
          </w:p>
        </w:tc>
      </w:tr>
      <w:tr w:rsidR="00666968" w:rsidRPr="00070D17" w:rsidTr="000667A6">
        <w:tc>
          <w:tcPr>
            <w:tcW w:w="2416" w:type="dxa"/>
            <w:shd w:val="clear" w:color="auto" w:fill="auto"/>
          </w:tcPr>
          <w:p w:rsidR="00666968" w:rsidRPr="00070D17" w:rsidRDefault="00666968" w:rsidP="00ED441A">
            <w:pPr>
              <w:jc w:val="left"/>
              <w:rPr>
                <w:rFonts w:ascii="Arial" w:eastAsia="Calibri" w:hAnsi="Arial" w:cs="Arial"/>
                <w:sz w:val="19"/>
                <w:szCs w:val="19"/>
              </w:rPr>
            </w:pPr>
            <w:r>
              <w:rPr>
                <w:rFonts w:ascii="Arial" w:hAnsi="Arial" w:cs="Arial"/>
                <w:sz w:val="19"/>
                <w:szCs w:val="19"/>
              </w:rPr>
              <w:t>The uncertainty associated with the transfer of housing management to Northumberland County Council has the potential to adversely impact on the morale of staff. This may put pressure on the remaining staff involved in supporting the business prior to transfer.</w:t>
            </w:r>
          </w:p>
        </w:tc>
        <w:tc>
          <w:tcPr>
            <w:tcW w:w="2331" w:type="dxa"/>
            <w:shd w:val="clear" w:color="auto" w:fill="auto"/>
          </w:tcPr>
          <w:p w:rsidR="00666968" w:rsidRDefault="00666968" w:rsidP="00ED441A">
            <w:pPr>
              <w:numPr>
                <w:ilvl w:val="0"/>
                <w:numId w:val="44"/>
              </w:numPr>
              <w:spacing w:after="0"/>
              <w:ind w:left="242" w:hanging="242"/>
              <w:jc w:val="left"/>
              <w:rPr>
                <w:rFonts w:ascii="Arial" w:eastAsia="Calibri" w:hAnsi="Arial" w:cs="Arial"/>
                <w:sz w:val="19"/>
                <w:szCs w:val="19"/>
              </w:rPr>
            </w:pPr>
            <w:r>
              <w:rPr>
                <w:rFonts w:ascii="Arial" w:eastAsia="Calibri" w:hAnsi="Arial" w:cs="Arial"/>
                <w:sz w:val="19"/>
                <w:szCs w:val="19"/>
              </w:rPr>
              <w:t>Delivery of core services decline</w:t>
            </w:r>
          </w:p>
          <w:p w:rsidR="00666968" w:rsidRPr="00070D17" w:rsidRDefault="00666968" w:rsidP="00ED441A">
            <w:pPr>
              <w:numPr>
                <w:ilvl w:val="0"/>
                <w:numId w:val="44"/>
              </w:numPr>
              <w:spacing w:after="0"/>
              <w:ind w:left="242" w:hanging="242"/>
              <w:jc w:val="left"/>
              <w:rPr>
                <w:rFonts w:ascii="Arial" w:eastAsia="Calibri" w:hAnsi="Arial" w:cs="Arial"/>
                <w:sz w:val="19"/>
                <w:szCs w:val="19"/>
              </w:rPr>
            </w:pPr>
            <w:r>
              <w:rPr>
                <w:rFonts w:ascii="Arial" w:eastAsia="Calibri" w:hAnsi="Arial" w:cs="Arial"/>
                <w:sz w:val="19"/>
                <w:szCs w:val="19"/>
              </w:rPr>
              <w:t>Detriment to Homes for Northumberland Limited’s customers</w:t>
            </w:r>
          </w:p>
        </w:tc>
        <w:tc>
          <w:tcPr>
            <w:tcW w:w="2024" w:type="dxa"/>
            <w:shd w:val="clear" w:color="auto" w:fill="auto"/>
          </w:tcPr>
          <w:p w:rsidR="00666968" w:rsidRPr="00070D17" w:rsidRDefault="00666968" w:rsidP="00ED441A">
            <w:pPr>
              <w:jc w:val="left"/>
              <w:rPr>
                <w:rFonts w:ascii="Arial" w:eastAsia="Calibri" w:hAnsi="Arial" w:cs="Arial"/>
                <w:sz w:val="19"/>
                <w:szCs w:val="19"/>
              </w:rPr>
            </w:pPr>
            <w:r>
              <w:rPr>
                <w:rFonts w:ascii="Arial" w:eastAsia="Calibri" w:hAnsi="Arial" w:cs="Arial"/>
                <w:sz w:val="19"/>
                <w:szCs w:val="19"/>
              </w:rPr>
              <w:t>This is a new risk identified in 2014/15.</w:t>
            </w:r>
          </w:p>
        </w:tc>
        <w:tc>
          <w:tcPr>
            <w:tcW w:w="2801" w:type="dxa"/>
            <w:shd w:val="clear" w:color="auto" w:fill="auto"/>
          </w:tcPr>
          <w:p w:rsidR="00666968" w:rsidRDefault="00666968" w:rsidP="00ED441A">
            <w:pPr>
              <w:numPr>
                <w:ilvl w:val="0"/>
                <w:numId w:val="44"/>
              </w:numPr>
              <w:spacing w:after="0"/>
              <w:ind w:left="242" w:hanging="242"/>
              <w:jc w:val="left"/>
              <w:rPr>
                <w:rFonts w:ascii="Arial" w:eastAsia="Calibri" w:hAnsi="Arial" w:cs="Arial"/>
                <w:sz w:val="19"/>
                <w:szCs w:val="19"/>
              </w:rPr>
            </w:pPr>
            <w:r>
              <w:rPr>
                <w:rFonts w:ascii="Arial" w:eastAsia="Calibri" w:hAnsi="Arial" w:cs="Arial"/>
                <w:sz w:val="19"/>
                <w:szCs w:val="19"/>
              </w:rPr>
              <w:t>Establish open communications with staff to maintain morale through the transition.</w:t>
            </w:r>
          </w:p>
          <w:p w:rsidR="00666968" w:rsidRPr="00070D17" w:rsidRDefault="00666968" w:rsidP="00ED441A">
            <w:pPr>
              <w:numPr>
                <w:ilvl w:val="0"/>
                <w:numId w:val="44"/>
              </w:numPr>
              <w:spacing w:after="0"/>
              <w:ind w:left="242" w:hanging="242"/>
              <w:jc w:val="left"/>
              <w:rPr>
                <w:rFonts w:ascii="Arial" w:eastAsia="Calibri" w:hAnsi="Arial" w:cs="Arial"/>
                <w:sz w:val="19"/>
                <w:szCs w:val="19"/>
              </w:rPr>
            </w:pPr>
            <w:r>
              <w:rPr>
                <w:rFonts w:ascii="Arial" w:eastAsia="Calibri" w:hAnsi="Arial" w:cs="Arial"/>
                <w:sz w:val="19"/>
                <w:szCs w:val="19"/>
              </w:rPr>
              <w:t>Northumberland County Council has committed to transferring all Homes for Northumberland Limited’s staff to the Council under TUPE terms to maintain continuity of service provision.</w:t>
            </w:r>
          </w:p>
        </w:tc>
      </w:tr>
      <w:tr w:rsidR="00666968" w:rsidRPr="00070D17" w:rsidTr="000667A6">
        <w:tc>
          <w:tcPr>
            <w:tcW w:w="2416" w:type="dxa"/>
            <w:shd w:val="clear" w:color="auto" w:fill="auto"/>
          </w:tcPr>
          <w:p w:rsidR="00666968" w:rsidRDefault="00666968" w:rsidP="00ED441A">
            <w:pPr>
              <w:jc w:val="left"/>
              <w:rPr>
                <w:rFonts w:ascii="Arial" w:hAnsi="Arial" w:cs="Arial"/>
                <w:sz w:val="19"/>
                <w:szCs w:val="19"/>
              </w:rPr>
            </w:pPr>
            <w:r>
              <w:rPr>
                <w:rFonts w:ascii="Arial" w:hAnsi="Arial" w:cs="Arial"/>
                <w:sz w:val="19"/>
                <w:szCs w:val="19"/>
              </w:rPr>
              <w:t>The HCA’s regulatory framework for social housing requires providers to give tenants a wide range of opportunities to influence and be involved in the formulation of housing-related priorities and strategies and the delivery of housing services.</w:t>
            </w:r>
          </w:p>
          <w:p w:rsidR="00666968" w:rsidRDefault="00666968" w:rsidP="00ED441A">
            <w:pPr>
              <w:jc w:val="left"/>
              <w:rPr>
                <w:rFonts w:ascii="Arial" w:hAnsi="Arial" w:cs="Arial"/>
                <w:sz w:val="19"/>
                <w:szCs w:val="19"/>
              </w:rPr>
            </w:pPr>
          </w:p>
          <w:p w:rsidR="00666968" w:rsidRPr="00070D17" w:rsidRDefault="00666968" w:rsidP="00ED441A">
            <w:pPr>
              <w:jc w:val="left"/>
              <w:rPr>
                <w:rFonts w:ascii="Arial" w:eastAsia="Calibri" w:hAnsi="Arial" w:cs="Arial"/>
                <w:sz w:val="19"/>
                <w:szCs w:val="19"/>
              </w:rPr>
            </w:pPr>
            <w:r>
              <w:rPr>
                <w:rFonts w:ascii="Arial" w:hAnsi="Arial" w:cs="Arial"/>
                <w:sz w:val="19"/>
                <w:szCs w:val="19"/>
              </w:rPr>
              <w:t>During 2014/15, Homes for Northumberland Limited suspended some key aspects of the involvement framework</w:t>
            </w:r>
            <w:r w:rsidR="000667A6">
              <w:rPr>
                <w:rFonts w:ascii="Arial" w:hAnsi="Arial" w:cs="Arial"/>
                <w:sz w:val="19"/>
                <w:szCs w:val="19"/>
              </w:rPr>
              <w:t xml:space="preserve"> including a Forum of engaged tenants, Area Boards in Blyth and Alnwick and some service panels. These were suspended with a view to rebuilding a more empowered base of improved tenants. However, this is still a work in progress.</w:t>
            </w:r>
          </w:p>
        </w:tc>
        <w:tc>
          <w:tcPr>
            <w:tcW w:w="2331" w:type="dxa"/>
            <w:shd w:val="clear" w:color="auto" w:fill="auto"/>
          </w:tcPr>
          <w:p w:rsidR="00666968" w:rsidRDefault="000667A6" w:rsidP="00ED441A">
            <w:pPr>
              <w:numPr>
                <w:ilvl w:val="0"/>
                <w:numId w:val="44"/>
              </w:numPr>
              <w:spacing w:after="0"/>
              <w:ind w:left="242" w:hanging="242"/>
              <w:jc w:val="left"/>
              <w:rPr>
                <w:rFonts w:ascii="Arial" w:eastAsia="Calibri" w:hAnsi="Arial" w:cs="Arial"/>
                <w:sz w:val="19"/>
                <w:szCs w:val="19"/>
              </w:rPr>
            </w:pPr>
            <w:r>
              <w:rPr>
                <w:rFonts w:ascii="Arial" w:eastAsia="Calibri" w:hAnsi="Arial" w:cs="Arial"/>
                <w:sz w:val="19"/>
                <w:szCs w:val="19"/>
              </w:rPr>
              <w:t>Unable to shape services in line with customers’ requirements</w:t>
            </w:r>
          </w:p>
          <w:p w:rsidR="000667A6" w:rsidRPr="00070D17" w:rsidRDefault="000667A6" w:rsidP="00ED441A">
            <w:pPr>
              <w:numPr>
                <w:ilvl w:val="0"/>
                <w:numId w:val="44"/>
              </w:numPr>
              <w:spacing w:after="0"/>
              <w:ind w:left="242" w:hanging="242"/>
              <w:jc w:val="left"/>
              <w:rPr>
                <w:rFonts w:ascii="Arial" w:eastAsia="Calibri" w:hAnsi="Arial" w:cs="Arial"/>
                <w:sz w:val="19"/>
                <w:szCs w:val="19"/>
              </w:rPr>
            </w:pPr>
            <w:r>
              <w:rPr>
                <w:rFonts w:ascii="Arial" w:eastAsia="Calibri" w:hAnsi="Arial" w:cs="Arial"/>
                <w:sz w:val="19"/>
                <w:szCs w:val="19"/>
              </w:rPr>
              <w:t>Loss of customer confidence in Homes for Northumberland Limited.</w:t>
            </w:r>
          </w:p>
        </w:tc>
        <w:tc>
          <w:tcPr>
            <w:tcW w:w="2024" w:type="dxa"/>
            <w:shd w:val="clear" w:color="auto" w:fill="auto"/>
          </w:tcPr>
          <w:p w:rsidR="00666968" w:rsidRPr="00070D17" w:rsidRDefault="000667A6" w:rsidP="00ED441A">
            <w:pPr>
              <w:jc w:val="left"/>
              <w:rPr>
                <w:rFonts w:ascii="Arial" w:eastAsia="Calibri" w:hAnsi="Arial" w:cs="Arial"/>
                <w:sz w:val="19"/>
                <w:szCs w:val="19"/>
              </w:rPr>
            </w:pPr>
            <w:r>
              <w:rPr>
                <w:rFonts w:ascii="Arial" w:eastAsia="Calibri" w:hAnsi="Arial" w:cs="Arial"/>
                <w:sz w:val="19"/>
                <w:szCs w:val="19"/>
              </w:rPr>
              <w:t>This is a new risk identified in 2014/15.</w:t>
            </w:r>
          </w:p>
          <w:p w:rsidR="00666968" w:rsidRPr="00070D17" w:rsidRDefault="00666968" w:rsidP="00ED441A">
            <w:pPr>
              <w:jc w:val="left"/>
              <w:rPr>
                <w:rFonts w:ascii="Arial" w:eastAsia="Calibri" w:hAnsi="Arial" w:cs="Arial"/>
                <w:sz w:val="19"/>
                <w:szCs w:val="19"/>
              </w:rPr>
            </w:pPr>
          </w:p>
        </w:tc>
        <w:tc>
          <w:tcPr>
            <w:tcW w:w="2801" w:type="dxa"/>
            <w:shd w:val="clear" w:color="auto" w:fill="auto"/>
          </w:tcPr>
          <w:p w:rsidR="00666968" w:rsidRDefault="000667A6" w:rsidP="00ED441A">
            <w:pPr>
              <w:numPr>
                <w:ilvl w:val="0"/>
                <w:numId w:val="44"/>
              </w:numPr>
              <w:spacing w:after="0"/>
              <w:ind w:left="242" w:hanging="242"/>
              <w:jc w:val="left"/>
              <w:rPr>
                <w:rFonts w:ascii="Arial" w:eastAsia="Calibri" w:hAnsi="Arial" w:cs="Arial"/>
                <w:sz w:val="19"/>
                <w:szCs w:val="19"/>
              </w:rPr>
            </w:pPr>
            <w:r>
              <w:rPr>
                <w:rFonts w:ascii="Arial" w:eastAsia="Calibri" w:hAnsi="Arial" w:cs="Arial"/>
                <w:sz w:val="19"/>
                <w:szCs w:val="19"/>
              </w:rPr>
              <w:t>A Tenant Steering Group was established, supported by an Independent Tenant Advisor (ITA), to represent the tenant voice in relation to the Northumberland County Council review of housing management.</w:t>
            </w:r>
          </w:p>
          <w:p w:rsidR="000667A6" w:rsidRDefault="000667A6" w:rsidP="00ED441A">
            <w:pPr>
              <w:numPr>
                <w:ilvl w:val="0"/>
                <w:numId w:val="44"/>
              </w:numPr>
              <w:spacing w:after="0"/>
              <w:ind w:left="242" w:hanging="242"/>
              <w:jc w:val="left"/>
              <w:rPr>
                <w:rFonts w:ascii="Arial" w:eastAsia="Calibri" w:hAnsi="Arial" w:cs="Arial"/>
                <w:sz w:val="19"/>
                <w:szCs w:val="19"/>
              </w:rPr>
            </w:pPr>
            <w:r>
              <w:rPr>
                <w:rFonts w:ascii="Arial" w:eastAsia="Calibri" w:hAnsi="Arial" w:cs="Arial"/>
                <w:sz w:val="19"/>
                <w:szCs w:val="19"/>
              </w:rPr>
              <w:t>The Steering Group, together with a range of other tenants who have expressed a wish to become involved, will be guided to re-establish the engagement framework – including the development of a new Forum that will have it’s membership populated through a vote by all tenants. The Forum will act as the hub for tenant engagement activities.</w:t>
            </w:r>
          </w:p>
          <w:p w:rsidR="000667A6" w:rsidRDefault="000667A6" w:rsidP="00ED441A">
            <w:pPr>
              <w:numPr>
                <w:ilvl w:val="0"/>
                <w:numId w:val="44"/>
              </w:numPr>
              <w:spacing w:after="0"/>
              <w:ind w:left="242" w:hanging="242"/>
              <w:jc w:val="left"/>
              <w:rPr>
                <w:rFonts w:ascii="Arial" w:eastAsia="Calibri" w:hAnsi="Arial" w:cs="Arial"/>
                <w:sz w:val="19"/>
                <w:szCs w:val="19"/>
              </w:rPr>
            </w:pPr>
            <w:r>
              <w:rPr>
                <w:rFonts w:ascii="Arial" w:eastAsia="Calibri" w:hAnsi="Arial" w:cs="Arial"/>
                <w:sz w:val="19"/>
                <w:szCs w:val="19"/>
              </w:rPr>
              <w:t>A roadshow was conducted in 2014/15 to establish tenants’ requirements in relation to service standards. These are currently being worked up into a new service offer document.</w:t>
            </w:r>
          </w:p>
          <w:p w:rsidR="000667A6" w:rsidRPr="00070D17" w:rsidRDefault="000667A6" w:rsidP="00ED441A">
            <w:pPr>
              <w:numPr>
                <w:ilvl w:val="0"/>
                <w:numId w:val="44"/>
              </w:numPr>
              <w:spacing w:after="0"/>
              <w:ind w:left="242" w:hanging="242"/>
              <w:jc w:val="left"/>
              <w:rPr>
                <w:rFonts w:ascii="Arial" w:eastAsia="Calibri" w:hAnsi="Arial" w:cs="Arial"/>
                <w:sz w:val="19"/>
                <w:szCs w:val="19"/>
              </w:rPr>
            </w:pPr>
            <w:r>
              <w:rPr>
                <w:rFonts w:ascii="Arial" w:eastAsia="Calibri" w:hAnsi="Arial" w:cs="Arial"/>
                <w:sz w:val="19"/>
                <w:szCs w:val="19"/>
              </w:rPr>
              <w:t>Events have been held with tenants in Alnwick and Blyth to showcase the framework of engagements that management are working towards.</w:t>
            </w:r>
          </w:p>
        </w:tc>
      </w:tr>
    </w:tbl>
    <w:p w:rsidR="00402E60" w:rsidRPr="00070D17" w:rsidRDefault="00402E60" w:rsidP="00402E60">
      <w:pPr>
        <w:rPr>
          <w:rFonts w:ascii="Arial" w:eastAsia="Calibri" w:hAnsi="Arial" w:cs="Arial"/>
          <w:b/>
          <w:sz w:val="19"/>
          <w:szCs w:val="19"/>
        </w:rPr>
      </w:pPr>
    </w:p>
    <w:p w:rsidR="00402E60" w:rsidRPr="00070D17" w:rsidRDefault="00402E60" w:rsidP="00402E60">
      <w:pPr>
        <w:autoSpaceDE w:val="0"/>
        <w:autoSpaceDN w:val="0"/>
        <w:adjustRightInd w:val="0"/>
        <w:rPr>
          <w:rFonts w:ascii="Arial" w:hAnsi="Arial" w:cs="Arial"/>
          <w:b/>
          <w:bCs/>
          <w:sz w:val="19"/>
          <w:szCs w:val="19"/>
          <w:lang w:val="en-US"/>
        </w:rPr>
      </w:pPr>
      <w:r w:rsidRPr="00070D17">
        <w:rPr>
          <w:rFonts w:ascii="Arial" w:hAnsi="Arial" w:cs="Arial"/>
          <w:b/>
          <w:bCs/>
          <w:sz w:val="19"/>
          <w:szCs w:val="19"/>
          <w:lang w:val="en-US"/>
        </w:rPr>
        <w:br w:type="page"/>
      </w:r>
      <w:r w:rsidRPr="004212F6">
        <w:rPr>
          <w:rFonts w:ascii="Arial" w:hAnsi="Arial" w:cs="Arial"/>
          <w:b/>
          <w:bCs/>
          <w:sz w:val="24"/>
          <w:szCs w:val="19"/>
          <w:lang w:val="en-US"/>
        </w:rPr>
        <w:lastRenderedPageBreak/>
        <w:t>Directors’ Report</w:t>
      </w:r>
    </w:p>
    <w:p w:rsidR="00402E60" w:rsidRPr="004212F6" w:rsidRDefault="00402E60" w:rsidP="00402E60">
      <w:pPr>
        <w:autoSpaceDE w:val="0"/>
        <w:autoSpaceDN w:val="0"/>
        <w:adjustRightInd w:val="0"/>
        <w:rPr>
          <w:rFonts w:ascii="Arial" w:hAnsi="Arial" w:cs="Arial"/>
          <w:b/>
          <w:bCs/>
          <w:szCs w:val="19"/>
          <w:lang w:val="en-US"/>
        </w:rPr>
      </w:pPr>
      <w:r w:rsidRPr="004212F6">
        <w:rPr>
          <w:rFonts w:ascii="Arial" w:hAnsi="Arial" w:cs="Arial"/>
          <w:b/>
          <w:bCs/>
          <w:szCs w:val="19"/>
          <w:lang w:val="en-US"/>
        </w:rPr>
        <w:t>Directors</w:t>
      </w:r>
    </w:p>
    <w:p w:rsidR="00402E60" w:rsidRPr="00BE1366" w:rsidRDefault="00402E60" w:rsidP="00402E60">
      <w:pPr>
        <w:autoSpaceDE w:val="0"/>
        <w:autoSpaceDN w:val="0"/>
        <w:adjustRightInd w:val="0"/>
        <w:rPr>
          <w:rFonts w:ascii="Arial" w:hAnsi="Arial" w:cs="Arial"/>
          <w:bCs/>
          <w:sz w:val="19"/>
          <w:szCs w:val="19"/>
          <w:lang w:val="en-US"/>
        </w:rPr>
      </w:pPr>
      <w:r w:rsidRPr="00BE1366">
        <w:rPr>
          <w:rFonts w:ascii="Arial" w:hAnsi="Arial" w:cs="Arial"/>
          <w:bCs/>
          <w:sz w:val="19"/>
          <w:szCs w:val="19"/>
          <w:lang w:val="en-US"/>
        </w:rPr>
        <w:t>The names of the Directors who have served during the year and up to the date of these financial statements are as follows:</w:t>
      </w:r>
    </w:p>
    <w:p w:rsidR="00402E60" w:rsidRPr="00BE1366" w:rsidRDefault="00402E60" w:rsidP="00402E60">
      <w:pPr>
        <w:autoSpaceDE w:val="0"/>
        <w:autoSpaceDN w:val="0"/>
        <w:adjustRightInd w:val="0"/>
        <w:rPr>
          <w:rFonts w:ascii="Arial" w:hAnsi="Arial" w:cs="Arial"/>
          <w:bCs/>
          <w:sz w:val="19"/>
          <w:szCs w:val="19"/>
          <w:lang w:val="en-US"/>
        </w:rPr>
      </w:pPr>
      <w:r w:rsidRPr="00BE1366">
        <w:rPr>
          <w:rFonts w:ascii="Arial" w:hAnsi="Arial" w:cs="Arial"/>
          <w:bCs/>
          <w:sz w:val="19"/>
          <w:szCs w:val="19"/>
          <w:lang w:val="en-US"/>
        </w:rPr>
        <w:t>Cllr Rob</w:t>
      </w:r>
      <w:r>
        <w:rPr>
          <w:rFonts w:ascii="Arial" w:hAnsi="Arial" w:cs="Arial"/>
          <w:bCs/>
          <w:sz w:val="19"/>
          <w:szCs w:val="19"/>
          <w:lang w:val="en-US"/>
        </w:rPr>
        <w:t xml:space="preserve">ert Arkless </w:t>
      </w:r>
      <w:r>
        <w:rPr>
          <w:rFonts w:ascii="Arial" w:hAnsi="Arial" w:cs="Arial"/>
          <w:bCs/>
          <w:sz w:val="19"/>
          <w:szCs w:val="19"/>
          <w:lang w:val="en-US"/>
        </w:rPr>
        <w:tab/>
      </w:r>
      <w:r>
        <w:rPr>
          <w:rFonts w:ascii="Arial" w:hAnsi="Arial" w:cs="Arial"/>
          <w:bCs/>
          <w:sz w:val="19"/>
          <w:szCs w:val="19"/>
          <w:lang w:val="en-US"/>
        </w:rPr>
        <w:tab/>
      </w:r>
      <w:r w:rsidR="000667A6">
        <w:rPr>
          <w:rFonts w:ascii="Arial" w:hAnsi="Arial" w:cs="Arial"/>
          <w:bCs/>
          <w:sz w:val="19"/>
          <w:szCs w:val="19"/>
          <w:lang w:val="en-US"/>
        </w:rPr>
        <w:t>(ceased 8 July 2015)</w:t>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00900443">
        <w:rPr>
          <w:rFonts w:ascii="Arial" w:hAnsi="Arial" w:cs="Arial"/>
          <w:bCs/>
          <w:sz w:val="19"/>
          <w:szCs w:val="19"/>
          <w:lang w:val="en-US"/>
        </w:rPr>
        <w:tab/>
      </w:r>
      <w:r w:rsidRPr="00BE1366">
        <w:rPr>
          <w:rFonts w:ascii="Arial" w:hAnsi="Arial" w:cs="Arial"/>
          <w:bCs/>
          <w:sz w:val="19"/>
          <w:szCs w:val="19"/>
          <w:lang w:val="en-US"/>
        </w:rPr>
        <w:t>Council Member</w:t>
      </w:r>
    </w:p>
    <w:p w:rsidR="00402E60" w:rsidRPr="00BE1366" w:rsidRDefault="00402E60" w:rsidP="00402E60">
      <w:pPr>
        <w:autoSpaceDE w:val="0"/>
        <w:autoSpaceDN w:val="0"/>
        <w:adjustRightInd w:val="0"/>
        <w:rPr>
          <w:rFonts w:ascii="Arial" w:hAnsi="Arial" w:cs="Arial"/>
          <w:bCs/>
          <w:sz w:val="19"/>
          <w:szCs w:val="19"/>
          <w:lang w:val="en-US"/>
        </w:rPr>
      </w:pPr>
      <w:r w:rsidRPr="00BE1366">
        <w:rPr>
          <w:rFonts w:ascii="Arial" w:hAnsi="Arial" w:cs="Arial"/>
          <w:bCs/>
          <w:sz w:val="19"/>
          <w:szCs w:val="19"/>
          <w:lang w:val="en-US"/>
        </w:rPr>
        <w:t xml:space="preserve">Cllr Allan Hepple </w:t>
      </w:r>
      <w:r w:rsidRPr="00BE1366">
        <w:rPr>
          <w:rFonts w:ascii="Arial" w:hAnsi="Arial" w:cs="Arial"/>
          <w:bCs/>
          <w:sz w:val="19"/>
          <w:szCs w:val="19"/>
          <w:lang w:val="en-US"/>
        </w:rPr>
        <w:tab/>
      </w:r>
      <w:r w:rsidRPr="00BE1366">
        <w:rPr>
          <w:rFonts w:ascii="Arial" w:hAnsi="Arial" w:cs="Arial"/>
          <w:bCs/>
          <w:sz w:val="19"/>
          <w:szCs w:val="19"/>
          <w:lang w:val="en-US"/>
        </w:rPr>
        <w:tab/>
      </w:r>
      <w:r>
        <w:rPr>
          <w:rFonts w:ascii="Arial" w:hAnsi="Arial" w:cs="Arial"/>
          <w:bCs/>
          <w:sz w:val="19"/>
          <w:szCs w:val="19"/>
          <w:lang w:val="en-US"/>
        </w:rPr>
        <w:tab/>
      </w:r>
      <w:r>
        <w:rPr>
          <w:rFonts w:ascii="Arial" w:hAnsi="Arial" w:cs="Arial"/>
          <w:bCs/>
          <w:sz w:val="19"/>
          <w:szCs w:val="19"/>
          <w:lang w:val="en-US"/>
        </w:rPr>
        <w:tab/>
      </w:r>
      <w:r>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00900443">
        <w:rPr>
          <w:rFonts w:ascii="Arial" w:hAnsi="Arial" w:cs="Arial"/>
          <w:bCs/>
          <w:sz w:val="19"/>
          <w:szCs w:val="19"/>
          <w:lang w:val="en-US"/>
        </w:rPr>
        <w:tab/>
      </w:r>
      <w:r w:rsidRPr="00BE1366">
        <w:rPr>
          <w:rFonts w:ascii="Arial" w:hAnsi="Arial" w:cs="Arial"/>
          <w:bCs/>
          <w:sz w:val="19"/>
          <w:szCs w:val="19"/>
          <w:lang w:val="en-US"/>
        </w:rPr>
        <w:t>Council Member</w:t>
      </w:r>
    </w:p>
    <w:p w:rsidR="00402E60" w:rsidRPr="00BE1366" w:rsidRDefault="00402E60" w:rsidP="00402E60">
      <w:pPr>
        <w:autoSpaceDE w:val="0"/>
        <w:autoSpaceDN w:val="0"/>
        <w:adjustRightInd w:val="0"/>
        <w:rPr>
          <w:rFonts w:ascii="Arial" w:hAnsi="Arial" w:cs="Arial"/>
          <w:bCs/>
          <w:sz w:val="19"/>
          <w:szCs w:val="19"/>
          <w:lang w:val="en-US"/>
        </w:rPr>
      </w:pPr>
      <w:r w:rsidRPr="00BE1366">
        <w:rPr>
          <w:rFonts w:ascii="Arial" w:hAnsi="Arial" w:cs="Arial"/>
          <w:bCs/>
          <w:sz w:val="19"/>
          <w:szCs w:val="19"/>
          <w:lang w:val="en-US"/>
        </w:rPr>
        <w:t>Cllr Gordon Webb</w:t>
      </w:r>
      <w:r w:rsidRPr="00BE1366">
        <w:rPr>
          <w:rFonts w:ascii="Arial" w:hAnsi="Arial" w:cs="Arial"/>
          <w:bCs/>
          <w:sz w:val="19"/>
          <w:szCs w:val="19"/>
          <w:lang w:val="en-US"/>
        </w:rPr>
        <w:tab/>
      </w:r>
      <w:r w:rsidRPr="00BE1366">
        <w:rPr>
          <w:rFonts w:ascii="Arial" w:hAnsi="Arial" w:cs="Arial"/>
          <w:bCs/>
          <w:sz w:val="19"/>
          <w:szCs w:val="19"/>
          <w:lang w:val="en-US"/>
        </w:rPr>
        <w:tab/>
      </w:r>
      <w:r w:rsidR="000667A6">
        <w:rPr>
          <w:rFonts w:ascii="Arial" w:hAnsi="Arial" w:cs="Arial"/>
          <w:bCs/>
          <w:sz w:val="19"/>
          <w:szCs w:val="19"/>
          <w:lang w:val="en-US"/>
        </w:rPr>
        <w:t>(ceased 8 July 2015)</w:t>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00900443">
        <w:rPr>
          <w:rFonts w:ascii="Arial" w:hAnsi="Arial" w:cs="Arial"/>
          <w:bCs/>
          <w:sz w:val="19"/>
          <w:szCs w:val="19"/>
          <w:lang w:val="en-US"/>
        </w:rPr>
        <w:tab/>
      </w:r>
      <w:r w:rsidRPr="00BE1366">
        <w:rPr>
          <w:rFonts w:ascii="Arial" w:hAnsi="Arial" w:cs="Arial"/>
          <w:bCs/>
          <w:sz w:val="19"/>
          <w:szCs w:val="19"/>
          <w:lang w:val="en-US"/>
        </w:rPr>
        <w:t>Council Member</w:t>
      </w:r>
    </w:p>
    <w:p w:rsidR="00402E60" w:rsidRPr="00BE1366" w:rsidRDefault="00402E60" w:rsidP="00402E60">
      <w:pPr>
        <w:autoSpaceDE w:val="0"/>
        <w:autoSpaceDN w:val="0"/>
        <w:adjustRightInd w:val="0"/>
        <w:rPr>
          <w:rFonts w:ascii="Arial" w:hAnsi="Arial" w:cs="Arial"/>
          <w:bCs/>
          <w:sz w:val="19"/>
          <w:szCs w:val="19"/>
          <w:lang w:val="en-US"/>
        </w:rPr>
      </w:pPr>
      <w:r w:rsidRPr="00BE1366">
        <w:rPr>
          <w:rFonts w:ascii="Arial" w:hAnsi="Arial" w:cs="Arial"/>
          <w:bCs/>
          <w:sz w:val="19"/>
          <w:szCs w:val="19"/>
          <w:lang w:val="en-US"/>
        </w:rPr>
        <w:t>Cllr Dierdre Campbell</w:t>
      </w:r>
      <w:r w:rsidRPr="00BE1366">
        <w:rPr>
          <w:rFonts w:ascii="Arial" w:hAnsi="Arial" w:cs="Arial"/>
          <w:bCs/>
          <w:sz w:val="19"/>
          <w:szCs w:val="19"/>
          <w:lang w:val="en-US"/>
        </w:rPr>
        <w:tab/>
        <w:t>(from 3 September 2014)</w:t>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00900443">
        <w:rPr>
          <w:rFonts w:ascii="Arial" w:hAnsi="Arial" w:cs="Arial"/>
          <w:bCs/>
          <w:sz w:val="19"/>
          <w:szCs w:val="19"/>
          <w:lang w:val="en-US"/>
        </w:rPr>
        <w:tab/>
      </w:r>
      <w:r w:rsidRPr="00BE1366">
        <w:rPr>
          <w:rFonts w:ascii="Arial" w:hAnsi="Arial" w:cs="Arial"/>
          <w:bCs/>
          <w:sz w:val="19"/>
          <w:szCs w:val="19"/>
          <w:lang w:val="en-US"/>
        </w:rPr>
        <w:t>Council Member</w:t>
      </w:r>
    </w:p>
    <w:p w:rsidR="00402E60" w:rsidRPr="00C46A29" w:rsidRDefault="00402E60" w:rsidP="00402E60">
      <w:pPr>
        <w:autoSpaceDE w:val="0"/>
        <w:autoSpaceDN w:val="0"/>
        <w:adjustRightInd w:val="0"/>
        <w:rPr>
          <w:rFonts w:ascii="Arial" w:hAnsi="Arial" w:cs="Arial"/>
          <w:bCs/>
          <w:sz w:val="19"/>
          <w:szCs w:val="19"/>
          <w:highlight w:val="yellow"/>
          <w:lang w:val="en-US"/>
        </w:rPr>
      </w:pPr>
    </w:p>
    <w:p w:rsidR="00402E60" w:rsidRPr="00BE1366" w:rsidRDefault="00402E60" w:rsidP="00402E60">
      <w:pPr>
        <w:autoSpaceDE w:val="0"/>
        <w:autoSpaceDN w:val="0"/>
        <w:adjustRightInd w:val="0"/>
        <w:rPr>
          <w:rFonts w:ascii="Arial" w:hAnsi="Arial" w:cs="Arial"/>
          <w:bCs/>
          <w:sz w:val="19"/>
          <w:szCs w:val="19"/>
          <w:lang w:val="en-US"/>
        </w:rPr>
      </w:pPr>
      <w:r w:rsidRPr="00BE1366">
        <w:rPr>
          <w:rFonts w:ascii="Arial" w:hAnsi="Arial" w:cs="Arial"/>
          <w:bCs/>
          <w:sz w:val="19"/>
          <w:szCs w:val="19"/>
          <w:lang w:val="en-US"/>
        </w:rPr>
        <w:t>Karen Bailey</w:t>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00900443">
        <w:rPr>
          <w:rFonts w:ascii="Arial" w:hAnsi="Arial" w:cs="Arial"/>
          <w:bCs/>
          <w:sz w:val="19"/>
          <w:szCs w:val="19"/>
          <w:lang w:val="en-US"/>
        </w:rPr>
        <w:t>(ceased 8 July 2015)</w:t>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00900443">
        <w:rPr>
          <w:rFonts w:ascii="Arial" w:hAnsi="Arial" w:cs="Arial"/>
          <w:bCs/>
          <w:sz w:val="19"/>
          <w:szCs w:val="19"/>
          <w:lang w:val="en-US"/>
        </w:rPr>
        <w:tab/>
      </w:r>
      <w:r w:rsidRPr="00BE1366">
        <w:rPr>
          <w:rFonts w:ascii="Arial" w:hAnsi="Arial" w:cs="Arial"/>
          <w:bCs/>
          <w:sz w:val="19"/>
          <w:szCs w:val="19"/>
          <w:lang w:val="en-US"/>
        </w:rPr>
        <w:t>Tenant Board Member</w:t>
      </w:r>
    </w:p>
    <w:p w:rsidR="00402E60" w:rsidRPr="00BE1366" w:rsidRDefault="00402E60" w:rsidP="00402E60">
      <w:pPr>
        <w:autoSpaceDE w:val="0"/>
        <w:autoSpaceDN w:val="0"/>
        <w:adjustRightInd w:val="0"/>
        <w:rPr>
          <w:rFonts w:ascii="Arial" w:hAnsi="Arial" w:cs="Arial"/>
          <w:bCs/>
          <w:sz w:val="19"/>
          <w:szCs w:val="19"/>
          <w:lang w:val="en-US"/>
        </w:rPr>
      </w:pPr>
      <w:r w:rsidRPr="00BE1366">
        <w:rPr>
          <w:rFonts w:ascii="Arial" w:hAnsi="Arial" w:cs="Arial"/>
          <w:bCs/>
          <w:sz w:val="19"/>
          <w:szCs w:val="19"/>
          <w:lang w:val="en-US"/>
        </w:rPr>
        <w:t>Maureen McAvoy</w:t>
      </w:r>
      <w:r w:rsidRPr="00BE1366">
        <w:rPr>
          <w:rFonts w:ascii="Arial" w:hAnsi="Arial" w:cs="Arial"/>
          <w:bCs/>
          <w:sz w:val="19"/>
          <w:szCs w:val="19"/>
          <w:lang w:val="en-US"/>
        </w:rPr>
        <w:tab/>
      </w:r>
      <w:r w:rsidRPr="00BE1366">
        <w:rPr>
          <w:rFonts w:ascii="Arial" w:hAnsi="Arial" w:cs="Arial"/>
          <w:bCs/>
          <w:sz w:val="19"/>
          <w:szCs w:val="19"/>
          <w:lang w:val="en-US"/>
        </w:rPr>
        <w:tab/>
      </w:r>
      <w:r w:rsidR="00900443">
        <w:rPr>
          <w:rFonts w:ascii="Arial" w:hAnsi="Arial" w:cs="Arial"/>
          <w:bCs/>
          <w:sz w:val="19"/>
          <w:szCs w:val="19"/>
          <w:lang w:val="en-US"/>
        </w:rPr>
        <w:t>(ceased 8 July 2015)</w:t>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00900443">
        <w:rPr>
          <w:rFonts w:ascii="Arial" w:hAnsi="Arial" w:cs="Arial"/>
          <w:bCs/>
          <w:sz w:val="19"/>
          <w:szCs w:val="19"/>
          <w:lang w:val="en-US"/>
        </w:rPr>
        <w:tab/>
      </w:r>
      <w:r w:rsidRPr="00BE1366">
        <w:rPr>
          <w:rFonts w:ascii="Arial" w:hAnsi="Arial" w:cs="Arial"/>
          <w:bCs/>
          <w:sz w:val="19"/>
          <w:szCs w:val="19"/>
          <w:lang w:val="en-US"/>
        </w:rPr>
        <w:t>Tenant Board Member</w:t>
      </w:r>
    </w:p>
    <w:p w:rsidR="00402E60" w:rsidRPr="00BE1366" w:rsidRDefault="00402E60" w:rsidP="00402E60">
      <w:pPr>
        <w:autoSpaceDE w:val="0"/>
        <w:autoSpaceDN w:val="0"/>
        <w:adjustRightInd w:val="0"/>
        <w:rPr>
          <w:rFonts w:ascii="Arial" w:hAnsi="Arial" w:cs="Arial"/>
          <w:bCs/>
          <w:sz w:val="19"/>
          <w:szCs w:val="19"/>
          <w:lang w:val="en-US"/>
        </w:rPr>
      </w:pPr>
      <w:r w:rsidRPr="00BE1366">
        <w:rPr>
          <w:rFonts w:ascii="Arial" w:hAnsi="Arial" w:cs="Arial"/>
          <w:bCs/>
          <w:sz w:val="19"/>
          <w:szCs w:val="19"/>
          <w:lang w:val="en-US"/>
        </w:rPr>
        <w:t>Barbara Woodward</w:t>
      </w:r>
      <w:r w:rsidRPr="00BE1366">
        <w:rPr>
          <w:rFonts w:ascii="Arial" w:hAnsi="Arial" w:cs="Arial"/>
          <w:bCs/>
          <w:sz w:val="19"/>
          <w:szCs w:val="19"/>
          <w:lang w:val="en-US"/>
        </w:rPr>
        <w:tab/>
      </w:r>
      <w:r w:rsidRPr="00BE1366">
        <w:rPr>
          <w:rFonts w:ascii="Arial" w:hAnsi="Arial" w:cs="Arial"/>
          <w:bCs/>
          <w:sz w:val="19"/>
          <w:szCs w:val="19"/>
          <w:lang w:val="en-US"/>
        </w:rPr>
        <w:tab/>
      </w:r>
      <w:r w:rsidR="00900443">
        <w:rPr>
          <w:rFonts w:ascii="Arial" w:hAnsi="Arial" w:cs="Arial"/>
          <w:bCs/>
          <w:sz w:val="19"/>
          <w:szCs w:val="19"/>
          <w:lang w:val="en-US"/>
        </w:rPr>
        <w:t>(ceased 8 July 2015)</w:t>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00900443">
        <w:rPr>
          <w:rFonts w:ascii="Arial" w:hAnsi="Arial" w:cs="Arial"/>
          <w:bCs/>
          <w:sz w:val="19"/>
          <w:szCs w:val="19"/>
          <w:lang w:val="en-US"/>
        </w:rPr>
        <w:tab/>
      </w:r>
      <w:r w:rsidRPr="00BE1366">
        <w:rPr>
          <w:rFonts w:ascii="Arial" w:hAnsi="Arial" w:cs="Arial"/>
          <w:bCs/>
          <w:sz w:val="19"/>
          <w:szCs w:val="19"/>
          <w:lang w:val="en-US"/>
        </w:rPr>
        <w:t>Tenant Board Member</w:t>
      </w:r>
    </w:p>
    <w:p w:rsidR="00402E60" w:rsidRPr="00C46A29" w:rsidRDefault="00402E60" w:rsidP="00402E60">
      <w:pPr>
        <w:autoSpaceDE w:val="0"/>
        <w:autoSpaceDN w:val="0"/>
        <w:adjustRightInd w:val="0"/>
        <w:rPr>
          <w:rFonts w:ascii="Arial" w:hAnsi="Arial" w:cs="Arial"/>
          <w:bCs/>
          <w:sz w:val="19"/>
          <w:szCs w:val="19"/>
          <w:highlight w:val="yellow"/>
          <w:lang w:val="en-US"/>
        </w:rPr>
      </w:pPr>
    </w:p>
    <w:p w:rsidR="00402E60" w:rsidRPr="00BE1366" w:rsidRDefault="00402E60" w:rsidP="00402E60">
      <w:pPr>
        <w:autoSpaceDE w:val="0"/>
        <w:autoSpaceDN w:val="0"/>
        <w:adjustRightInd w:val="0"/>
        <w:rPr>
          <w:rFonts w:ascii="Arial" w:hAnsi="Arial" w:cs="Arial"/>
          <w:bCs/>
          <w:sz w:val="19"/>
          <w:szCs w:val="19"/>
          <w:lang w:val="en-US"/>
        </w:rPr>
      </w:pPr>
      <w:r w:rsidRPr="00BE1366">
        <w:rPr>
          <w:rFonts w:ascii="Arial" w:hAnsi="Arial" w:cs="Arial"/>
          <w:bCs/>
          <w:sz w:val="19"/>
          <w:szCs w:val="19"/>
          <w:lang w:val="en-US"/>
        </w:rPr>
        <w:t>Ian North</w:t>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t>Chair</w:t>
      </w:r>
      <w:r w:rsidRPr="00BE1366">
        <w:rPr>
          <w:rFonts w:ascii="Arial" w:hAnsi="Arial" w:cs="Arial"/>
          <w:bCs/>
          <w:sz w:val="19"/>
          <w:szCs w:val="19"/>
          <w:lang w:val="en-US"/>
        </w:rPr>
        <w:tab/>
      </w:r>
      <w:r w:rsidR="00900443">
        <w:rPr>
          <w:rFonts w:ascii="Arial" w:hAnsi="Arial" w:cs="Arial"/>
          <w:bCs/>
          <w:sz w:val="19"/>
          <w:szCs w:val="19"/>
          <w:lang w:val="en-US"/>
        </w:rPr>
        <w:t>(ceased 8 July 2015)</w:t>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00900443">
        <w:rPr>
          <w:rFonts w:ascii="Arial" w:hAnsi="Arial" w:cs="Arial"/>
          <w:bCs/>
          <w:sz w:val="19"/>
          <w:szCs w:val="19"/>
          <w:lang w:val="en-US"/>
        </w:rPr>
        <w:tab/>
      </w:r>
      <w:r w:rsidRPr="00BE1366">
        <w:rPr>
          <w:rFonts w:ascii="Arial" w:hAnsi="Arial" w:cs="Arial"/>
          <w:bCs/>
          <w:sz w:val="19"/>
          <w:szCs w:val="19"/>
          <w:lang w:val="en-US"/>
        </w:rPr>
        <w:t>Independent Board Member</w:t>
      </w:r>
    </w:p>
    <w:p w:rsidR="00402E60" w:rsidRDefault="00402E60" w:rsidP="00402E60">
      <w:pPr>
        <w:autoSpaceDE w:val="0"/>
        <w:autoSpaceDN w:val="0"/>
        <w:adjustRightInd w:val="0"/>
        <w:rPr>
          <w:rFonts w:ascii="Arial" w:hAnsi="Arial" w:cs="Arial"/>
          <w:bCs/>
          <w:sz w:val="19"/>
          <w:szCs w:val="19"/>
          <w:lang w:val="en-US"/>
        </w:rPr>
      </w:pPr>
      <w:r w:rsidRPr="00BE1366">
        <w:rPr>
          <w:rFonts w:ascii="Arial" w:hAnsi="Arial" w:cs="Arial"/>
          <w:bCs/>
          <w:sz w:val="19"/>
          <w:szCs w:val="19"/>
          <w:lang w:val="en-US"/>
        </w:rPr>
        <w:t>Steven Mason</w:t>
      </w:r>
      <w:r w:rsidRPr="00BE1366">
        <w:rPr>
          <w:rFonts w:ascii="Arial" w:hAnsi="Arial" w:cs="Arial"/>
          <w:bCs/>
          <w:sz w:val="19"/>
          <w:szCs w:val="19"/>
          <w:lang w:val="en-US"/>
        </w:rPr>
        <w:tab/>
      </w:r>
      <w:r w:rsidRPr="00BE1366">
        <w:rPr>
          <w:rFonts w:ascii="Arial" w:hAnsi="Arial" w:cs="Arial"/>
          <w:bCs/>
          <w:sz w:val="19"/>
          <w:szCs w:val="19"/>
          <w:lang w:val="en-US"/>
        </w:rPr>
        <w:tab/>
        <w:t>(ceased 3 November 2014)</w:t>
      </w:r>
      <w:r w:rsidRPr="00BE1366">
        <w:rPr>
          <w:rFonts w:ascii="Arial" w:hAnsi="Arial" w:cs="Arial"/>
          <w:bCs/>
          <w:sz w:val="19"/>
          <w:szCs w:val="19"/>
          <w:lang w:val="en-US"/>
        </w:rPr>
        <w:tab/>
      </w:r>
      <w:r w:rsidRPr="00BE1366">
        <w:rPr>
          <w:rFonts w:ascii="Arial" w:hAnsi="Arial" w:cs="Arial"/>
          <w:bCs/>
          <w:sz w:val="19"/>
          <w:szCs w:val="19"/>
          <w:lang w:val="en-US"/>
        </w:rPr>
        <w:tab/>
      </w:r>
      <w:r w:rsidRPr="00BE1366">
        <w:rPr>
          <w:rFonts w:ascii="Arial" w:hAnsi="Arial" w:cs="Arial"/>
          <w:bCs/>
          <w:sz w:val="19"/>
          <w:szCs w:val="19"/>
          <w:lang w:val="en-US"/>
        </w:rPr>
        <w:tab/>
      </w:r>
      <w:r w:rsidR="00900443">
        <w:rPr>
          <w:rFonts w:ascii="Arial" w:hAnsi="Arial" w:cs="Arial"/>
          <w:bCs/>
          <w:sz w:val="19"/>
          <w:szCs w:val="19"/>
          <w:lang w:val="en-US"/>
        </w:rPr>
        <w:tab/>
      </w:r>
      <w:r w:rsidRPr="00BE1366">
        <w:rPr>
          <w:rFonts w:ascii="Arial" w:hAnsi="Arial" w:cs="Arial"/>
          <w:bCs/>
          <w:sz w:val="19"/>
          <w:szCs w:val="19"/>
          <w:lang w:val="en-US"/>
        </w:rPr>
        <w:t>Independent Board Member</w:t>
      </w:r>
    </w:p>
    <w:p w:rsidR="00402E60" w:rsidRDefault="00402E60" w:rsidP="00402E60">
      <w:pPr>
        <w:autoSpaceDE w:val="0"/>
        <w:autoSpaceDN w:val="0"/>
        <w:adjustRightInd w:val="0"/>
        <w:rPr>
          <w:rFonts w:ascii="Arial" w:hAnsi="Arial" w:cs="Arial"/>
          <w:bCs/>
          <w:sz w:val="19"/>
          <w:szCs w:val="19"/>
          <w:lang w:val="en-US"/>
        </w:rPr>
      </w:pPr>
      <w:r>
        <w:rPr>
          <w:rFonts w:ascii="Arial" w:hAnsi="Arial" w:cs="Arial"/>
          <w:bCs/>
          <w:sz w:val="19"/>
          <w:szCs w:val="19"/>
          <w:lang w:val="en-US"/>
        </w:rPr>
        <w:t>Claire Butterfield</w:t>
      </w:r>
      <w:r>
        <w:rPr>
          <w:rFonts w:ascii="Arial" w:hAnsi="Arial" w:cs="Arial"/>
          <w:bCs/>
          <w:sz w:val="19"/>
          <w:szCs w:val="19"/>
          <w:lang w:val="en-US"/>
        </w:rPr>
        <w:tab/>
      </w:r>
      <w:r>
        <w:rPr>
          <w:rFonts w:ascii="Arial" w:hAnsi="Arial" w:cs="Arial"/>
          <w:bCs/>
          <w:sz w:val="19"/>
          <w:szCs w:val="19"/>
          <w:lang w:val="en-US"/>
        </w:rPr>
        <w:tab/>
        <w:t>(from 11 December 2014)</w:t>
      </w:r>
      <w:r>
        <w:rPr>
          <w:rFonts w:ascii="Arial" w:hAnsi="Arial" w:cs="Arial"/>
          <w:bCs/>
          <w:sz w:val="19"/>
          <w:szCs w:val="19"/>
          <w:lang w:val="en-US"/>
        </w:rPr>
        <w:tab/>
      </w:r>
      <w:r w:rsidR="00900443">
        <w:rPr>
          <w:rFonts w:ascii="Arial" w:hAnsi="Arial" w:cs="Arial"/>
          <w:bCs/>
          <w:sz w:val="19"/>
          <w:szCs w:val="19"/>
          <w:lang w:val="en-US"/>
        </w:rPr>
        <w:t>(ceased 8 July 2015)</w:t>
      </w:r>
      <w:r w:rsidR="00900443">
        <w:rPr>
          <w:rFonts w:ascii="Arial" w:hAnsi="Arial" w:cs="Arial"/>
          <w:bCs/>
          <w:sz w:val="19"/>
          <w:szCs w:val="19"/>
          <w:lang w:val="en-US"/>
        </w:rPr>
        <w:tab/>
      </w:r>
      <w:r>
        <w:rPr>
          <w:rFonts w:ascii="Arial" w:hAnsi="Arial" w:cs="Arial"/>
          <w:bCs/>
          <w:sz w:val="19"/>
          <w:szCs w:val="19"/>
          <w:lang w:val="en-US"/>
        </w:rPr>
        <w:t>Independent Board Member</w:t>
      </w:r>
    </w:p>
    <w:p w:rsidR="00402E60" w:rsidRDefault="00402E60" w:rsidP="00402E60">
      <w:pPr>
        <w:autoSpaceDE w:val="0"/>
        <w:autoSpaceDN w:val="0"/>
        <w:adjustRightInd w:val="0"/>
        <w:rPr>
          <w:rFonts w:ascii="Arial" w:hAnsi="Arial" w:cs="Arial"/>
          <w:bCs/>
          <w:sz w:val="19"/>
          <w:szCs w:val="19"/>
          <w:lang w:val="en-US"/>
        </w:rPr>
      </w:pPr>
      <w:r>
        <w:rPr>
          <w:rFonts w:ascii="Arial" w:hAnsi="Arial" w:cs="Arial"/>
          <w:bCs/>
          <w:sz w:val="19"/>
          <w:szCs w:val="19"/>
          <w:lang w:val="en-US"/>
        </w:rPr>
        <w:t>Louise Taylor</w:t>
      </w:r>
      <w:r>
        <w:rPr>
          <w:rFonts w:ascii="Arial" w:hAnsi="Arial" w:cs="Arial"/>
          <w:bCs/>
          <w:sz w:val="19"/>
          <w:szCs w:val="19"/>
          <w:lang w:val="en-US"/>
        </w:rPr>
        <w:tab/>
      </w:r>
      <w:r>
        <w:rPr>
          <w:rFonts w:ascii="Arial" w:hAnsi="Arial" w:cs="Arial"/>
          <w:bCs/>
          <w:sz w:val="19"/>
          <w:szCs w:val="19"/>
          <w:lang w:val="en-US"/>
        </w:rPr>
        <w:tab/>
        <w:t>(from 11 December 2014)</w:t>
      </w:r>
      <w:r>
        <w:rPr>
          <w:rFonts w:ascii="Arial" w:hAnsi="Arial" w:cs="Arial"/>
          <w:bCs/>
          <w:sz w:val="19"/>
          <w:szCs w:val="19"/>
          <w:lang w:val="en-US"/>
        </w:rPr>
        <w:tab/>
      </w:r>
      <w:r>
        <w:rPr>
          <w:rFonts w:ascii="Arial" w:hAnsi="Arial" w:cs="Arial"/>
          <w:bCs/>
          <w:sz w:val="19"/>
          <w:szCs w:val="19"/>
          <w:lang w:val="en-US"/>
        </w:rPr>
        <w:tab/>
      </w:r>
      <w:r>
        <w:rPr>
          <w:rFonts w:ascii="Arial" w:hAnsi="Arial" w:cs="Arial"/>
          <w:bCs/>
          <w:sz w:val="19"/>
          <w:szCs w:val="19"/>
          <w:lang w:val="en-US"/>
        </w:rPr>
        <w:tab/>
      </w:r>
      <w:r>
        <w:rPr>
          <w:rFonts w:ascii="Arial" w:hAnsi="Arial" w:cs="Arial"/>
          <w:bCs/>
          <w:sz w:val="19"/>
          <w:szCs w:val="19"/>
          <w:lang w:val="en-US"/>
        </w:rPr>
        <w:tab/>
      </w:r>
      <w:r w:rsidR="00900443">
        <w:rPr>
          <w:rFonts w:ascii="Arial" w:hAnsi="Arial" w:cs="Arial"/>
          <w:bCs/>
          <w:sz w:val="19"/>
          <w:szCs w:val="19"/>
          <w:lang w:val="en-US"/>
        </w:rPr>
        <w:tab/>
      </w:r>
      <w:r>
        <w:rPr>
          <w:rFonts w:ascii="Arial" w:hAnsi="Arial" w:cs="Arial"/>
          <w:bCs/>
          <w:sz w:val="19"/>
          <w:szCs w:val="19"/>
          <w:lang w:val="en-US"/>
        </w:rPr>
        <w:t>Independent Board Member</w:t>
      </w:r>
    </w:p>
    <w:p w:rsidR="00900443" w:rsidRDefault="00900443" w:rsidP="00402E60">
      <w:pPr>
        <w:autoSpaceDE w:val="0"/>
        <w:autoSpaceDN w:val="0"/>
        <w:adjustRightInd w:val="0"/>
        <w:rPr>
          <w:rFonts w:ascii="Arial" w:hAnsi="Arial" w:cs="Arial"/>
          <w:bCs/>
          <w:sz w:val="19"/>
          <w:szCs w:val="19"/>
          <w:lang w:val="en-US"/>
        </w:rPr>
      </w:pPr>
    </w:p>
    <w:p w:rsidR="00900443" w:rsidRDefault="00900443" w:rsidP="00402E60">
      <w:pPr>
        <w:autoSpaceDE w:val="0"/>
        <w:autoSpaceDN w:val="0"/>
        <w:adjustRightInd w:val="0"/>
        <w:rPr>
          <w:rFonts w:ascii="Arial" w:hAnsi="Arial" w:cs="Arial"/>
          <w:bCs/>
          <w:sz w:val="19"/>
          <w:szCs w:val="19"/>
          <w:lang w:val="en-US"/>
        </w:rPr>
      </w:pPr>
      <w:r>
        <w:rPr>
          <w:rFonts w:ascii="Arial" w:hAnsi="Arial" w:cs="Arial"/>
          <w:bCs/>
          <w:sz w:val="19"/>
          <w:szCs w:val="19"/>
          <w:lang w:val="en-US"/>
        </w:rPr>
        <w:t>Geoffrey Paul</w:t>
      </w:r>
      <w:r>
        <w:rPr>
          <w:rFonts w:ascii="Arial" w:hAnsi="Arial" w:cs="Arial"/>
          <w:bCs/>
          <w:sz w:val="19"/>
          <w:szCs w:val="19"/>
          <w:lang w:val="en-US"/>
        </w:rPr>
        <w:tab/>
      </w:r>
      <w:r>
        <w:rPr>
          <w:rFonts w:ascii="Arial" w:hAnsi="Arial" w:cs="Arial"/>
          <w:bCs/>
          <w:sz w:val="19"/>
          <w:szCs w:val="19"/>
          <w:lang w:val="en-US"/>
        </w:rPr>
        <w:tab/>
        <w:t>(from 8 July 2015)</w:t>
      </w:r>
      <w:r>
        <w:rPr>
          <w:rFonts w:ascii="Arial" w:hAnsi="Arial" w:cs="Arial"/>
          <w:bCs/>
          <w:sz w:val="19"/>
          <w:szCs w:val="19"/>
          <w:lang w:val="en-US"/>
        </w:rPr>
        <w:tab/>
      </w:r>
      <w:r>
        <w:rPr>
          <w:rFonts w:ascii="Arial" w:hAnsi="Arial" w:cs="Arial"/>
          <w:bCs/>
          <w:sz w:val="19"/>
          <w:szCs w:val="19"/>
          <w:lang w:val="en-US"/>
        </w:rPr>
        <w:tab/>
      </w:r>
      <w:r>
        <w:rPr>
          <w:rFonts w:ascii="Arial" w:hAnsi="Arial" w:cs="Arial"/>
          <w:bCs/>
          <w:sz w:val="19"/>
          <w:szCs w:val="19"/>
          <w:lang w:val="en-US"/>
        </w:rPr>
        <w:tab/>
      </w:r>
      <w:r>
        <w:rPr>
          <w:rFonts w:ascii="Arial" w:hAnsi="Arial" w:cs="Arial"/>
          <w:bCs/>
          <w:sz w:val="19"/>
          <w:szCs w:val="19"/>
          <w:lang w:val="en-US"/>
        </w:rPr>
        <w:tab/>
      </w:r>
      <w:r>
        <w:rPr>
          <w:rFonts w:ascii="Arial" w:hAnsi="Arial" w:cs="Arial"/>
          <w:bCs/>
          <w:sz w:val="19"/>
          <w:szCs w:val="19"/>
          <w:lang w:val="en-US"/>
        </w:rPr>
        <w:tab/>
      </w:r>
      <w:r>
        <w:rPr>
          <w:rFonts w:ascii="Arial" w:hAnsi="Arial" w:cs="Arial"/>
          <w:bCs/>
          <w:sz w:val="19"/>
          <w:szCs w:val="19"/>
          <w:lang w:val="en-US"/>
        </w:rPr>
        <w:tab/>
        <w:t>Board Member</w:t>
      </w:r>
    </w:p>
    <w:p w:rsidR="00900443" w:rsidRPr="00070D17" w:rsidRDefault="00900443" w:rsidP="00402E60">
      <w:pPr>
        <w:autoSpaceDE w:val="0"/>
        <w:autoSpaceDN w:val="0"/>
        <w:adjustRightInd w:val="0"/>
        <w:rPr>
          <w:rFonts w:ascii="Arial" w:hAnsi="Arial" w:cs="Arial"/>
          <w:bCs/>
          <w:sz w:val="19"/>
          <w:szCs w:val="19"/>
          <w:lang w:val="en-US"/>
        </w:rPr>
      </w:pPr>
      <w:r>
        <w:rPr>
          <w:rFonts w:ascii="Arial" w:hAnsi="Arial" w:cs="Arial"/>
          <w:bCs/>
          <w:sz w:val="19"/>
          <w:szCs w:val="19"/>
          <w:lang w:val="en-US"/>
        </w:rPr>
        <w:t>Kevin Lowry</w:t>
      </w:r>
      <w:r>
        <w:rPr>
          <w:rFonts w:ascii="Arial" w:hAnsi="Arial" w:cs="Arial"/>
          <w:bCs/>
          <w:sz w:val="19"/>
          <w:szCs w:val="19"/>
          <w:lang w:val="en-US"/>
        </w:rPr>
        <w:tab/>
      </w:r>
      <w:r>
        <w:rPr>
          <w:rFonts w:ascii="Arial" w:hAnsi="Arial" w:cs="Arial"/>
          <w:bCs/>
          <w:sz w:val="19"/>
          <w:szCs w:val="19"/>
          <w:lang w:val="en-US"/>
        </w:rPr>
        <w:tab/>
      </w:r>
      <w:r>
        <w:rPr>
          <w:rFonts w:ascii="Arial" w:hAnsi="Arial" w:cs="Arial"/>
          <w:bCs/>
          <w:sz w:val="19"/>
          <w:szCs w:val="19"/>
          <w:lang w:val="en-US"/>
        </w:rPr>
        <w:tab/>
        <w:t>(from 8 July 2015)</w:t>
      </w:r>
      <w:r>
        <w:rPr>
          <w:rFonts w:ascii="Arial" w:hAnsi="Arial" w:cs="Arial"/>
          <w:bCs/>
          <w:sz w:val="19"/>
          <w:szCs w:val="19"/>
          <w:lang w:val="en-US"/>
        </w:rPr>
        <w:tab/>
      </w:r>
      <w:r>
        <w:rPr>
          <w:rFonts w:ascii="Arial" w:hAnsi="Arial" w:cs="Arial"/>
          <w:bCs/>
          <w:sz w:val="19"/>
          <w:szCs w:val="19"/>
          <w:lang w:val="en-US"/>
        </w:rPr>
        <w:tab/>
      </w:r>
      <w:r>
        <w:rPr>
          <w:rFonts w:ascii="Arial" w:hAnsi="Arial" w:cs="Arial"/>
          <w:bCs/>
          <w:sz w:val="19"/>
          <w:szCs w:val="19"/>
          <w:lang w:val="en-US"/>
        </w:rPr>
        <w:tab/>
      </w:r>
      <w:r>
        <w:rPr>
          <w:rFonts w:ascii="Arial" w:hAnsi="Arial" w:cs="Arial"/>
          <w:bCs/>
          <w:sz w:val="19"/>
          <w:szCs w:val="19"/>
          <w:lang w:val="en-US"/>
        </w:rPr>
        <w:tab/>
      </w:r>
      <w:r>
        <w:rPr>
          <w:rFonts w:ascii="Arial" w:hAnsi="Arial" w:cs="Arial"/>
          <w:bCs/>
          <w:sz w:val="19"/>
          <w:szCs w:val="19"/>
          <w:lang w:val="en-US"/>
        </w:rPr>
        <w:tab/>
      </w:r>
      <w:r>
        <w:rPr>
          <w:rFonts w:ascii="Arial" w:hAnsi="Arial" w:cs="Arial"/>
          <w:bCs/>
          <w:sz w:val="19"/>
          <w:szCs w:val="19"/>
          <w:lang w:val="en-US"/>
        </w:rPr>
        <w:tab/>
        <w:t>Board Member</w:t>
      </w:r>
    </w:p>
    <w:p w:rsidR="00402E60" w:rsidRPr="00070D17" w:rsidRDefault="00402E60" w:rsidP="00402E60">
      <w:pPr>
        <w:autoSpaceDE w:val="0"/>
        <w:autoSpaceDN w:val="0"/>
        <w:adjustRightInd w:val="0"/>
        <w:rPr>
          <w:rFonts w:ascii="Arial" w:hAnsi="Arial" w:cs="Arial"/>
          <w:bCs/>
          <w:sz w:val="19"/>
          <w:szCs w:val="19"/>
          <w:lang w:val="en-US"/>
        </w:rPr>
      </w:pPr>
    </w:p>
    <w:p w:rsidR="00402E60" w:rsidRPr="00070D17" w:rsidRDefault="00402E60" w:rsidP="00402E60">
      <w:pPr>
        <w:autoSpaceDE w:val="0"/>
        <w:autoSpaceDN w:val="0"/>
        <w:adjustRightInd w:val="0"/>
        <w:rPr>
          <w:rFonts w:ascii="Arial" w:hAnsi="Arial" w:cs="Arial"/>
          <w:b/>
          <w:bCs/>
          <w:sz w:val="19"/>
          <w:szCs w:val="19"/>
          <w:lang w:val="en-US"/>
        </w:rPr>
      </w:pPr>
      <w:r>
        <w:rPr>
          <w:rFonts w:ascii="Arial" w:hAnsi="Arial" w:cs="Arial"/>
          <w:b/>
          <w:bCs/>
          <w:sz w:val="19"/>
          <w:szCs w:val="19"/>
          <w:lang w:val="en-US"/>
        </w:rPr>
        <w:t>Company</w:t>
      </w:r>
      <w:r w:rsidRPr="00070D17">
        <w:rPr>
          <w:rFonts w:ascii="Arial" w:hAnsi="Arial" w:cs="Arial"/>
          <w:b/>
          <w:bCs/>
          <w:sz w:val="19"/>
          <w:szCs w:val="19"/>
          <w:lang w:val="en-US"/>
        </w:rPr>
        <w:t xml:space="preserve"> Secretary</w:t>
      </w:r>
    </w:p>
    <w:p w:rsidR="00402E60" w:rsidRPr="00070D17" w:rsidRDefault="00402E60" w:rsidP="00402E60">
      <w:pPr>
        <w:autoSpaceDE w:val="0"/>
        <w:autoSpaceDN w:val="0"/>
        <w:adjustRightInd w:val="0"/>
        <w:rPr>
          <w:rFonts w:ascii="Arial" w:hAnsi="Arial" w:cs="Arial"/>
          <w:bCs/>
          <w:sz w:val="19"/>
          <w:szCs w:val="19"/>
          <w:lang w:val="en-US"/>
        </w:rPr>
      </w:pPr>
      <w:r w:rsidRPr="00070D17">
        <w:rPr>
          <w:rFonts w:ascii="Arial" w:hAnsi="Arial" w:cs="Arial"/>
          <w:bCs/>
          <w:sz w:val="19"/>
          <w:szCs w:val="19"/>
          <w:lang w:val="en-US"/>
        </w:rPr>
        <w:t>Paul Harrison</w:t>
      </w:r>
      <w:r w:rsidRPr="00070D17">
        <w:rPr>
          <w:rFonts w:ascii="Arial" w:hAnsi="Arial" w:cs="Arial"/>
          <w:bCs/>
          <w:sz w:val="19"/>
          <w:szCs w:val="19"/>
          <w:lang w:val="en-US"/>
        </w:rPr>
        <w:tab/>
      </w:r>
      <w:r w:rsidRPr="00070D17">
        <w:rPr>
          <w:rFonts w:ascii="Arial" w:hAnsi="Arial" w:cs="Arial"/>
          <w:bCs/>
          <w:sz w:val="19"/>
          <w:szCs w:val="19"/>
          <w:lang w:val="en-US"/>
        </w:rPr>
        <w:tab/>
      </w:r>
      <w:r w:rsidR="00900443">
        <w:rPr>
          <w:rFonts w:ascii="Arial" w:hAnsi="Arial" w:cs="Arial"/>
          <w:bCs/>
          <w:sz w:val="19"/>
          <w:szCs w:val="19"/>
          <w:lang w:val="en-US"/>
        </w:rPr>
        <w:t>(ceased 10 July 2015)</w:t>
      </w:r>
      <w:r w:rsidRPr="00070D17">
        <w:rPr>
          <w:rFonts w:ascii="Arial" w:hAnsi="Arial" w:cs="Arial"/>
          <w:bCs/>
          <w:sz w:val="19"/>
          <w:szCs w:val="19"/>
          <w:lang w:val="en-US"/>
        </w:rPr>
        <w:tab/>
      </w:r>
    </w:p>
    <w:p w:rsidR="00402E60" w:rsidRPr="00070D17" w:rsidRDefault="00402E60" w:rsidP="00402E60">
      <w:pPr>
        <w:autoSpaceDE w:val="0"/>
        <w:autoSpaceDN w:val="0"/>
        <w:adjustRightInd w:val="0"/>
        <w:rPr>
          <w:rFonts w:ascii="Arial" w:hAnsi="Arial" w:cs="Arial"/>
          <w:bCs/>
          <w:sz w:val="19"/>
          <w:szCs w:val="19"/>
          <w:lang w:val="en-US"/>
        </w:rPr>
      </w:pPr>
    </w:p>
    <w:p w:rsidR="00402E60" w:rsidRPr="00070D17" w:rsidRDefault="00402E60" w:rsidP="00402E60">
      <w:pPr>
        <w:autoSpaceDE w:val="0"/>
        <w:autoSpaceDN w:val="0"/>
        <w:adjustRightInd w:val="0"/>
        <w:rPr>
          <w:rFonts w:ascii="Arial" w:hAnsi="Arial" w:cs="Arial"/>
          <w:b/>
          <w:bCs/>
          <w:sz w:val="19"/>
          <w:szCs w:val="19"/>
          <w:lang w:val="en-US"/>
        </w:rPr>
      </w:pPr>
      <w:r w:rsidRPr="00070D17">
        <w:rPr>
          <w:rFonts w:ascii="Arial" w:hAnsi="Arial" w:cs="Arial"/>
          <w:b/>
          <w:bCs/>
          <w:sz w:val="19"/>
          <w:szCs w:val="19"/>
          <w:lang w:val="en-US"/>
        </w:rPr>
        <w:t>Registered Office</w:t>
      </w:r>
    </w:p>
    <w:p w:rsidR="00402E60" w:rsidRPr="00070D17" w:rsidRDefault="00402E60" w:rsidP="00402E60">
      <w:pPr>
        <w:autoSpaceDE w:val="0"/>
        <w:autoSpaceDN w:val="0"/>
        <w:adjustRightInd w:val="0"/>
        <w:spacing w:after="0"/>
        <w:rPr>
          <w:rFonts w:ascii="Arial" w:hAnsi="Arial" w:cs="Arial"/>
          <w:bCs/>
          <w:sz w:val="19"/>
          <w:szCs w:val="19"/>
          <w:lang w:val="en-US"/>
        </w:rPr>
      </w:pPr>
      <w:r w:rsidRPr="00070D17">
        <w:rPr>
          <w:rFonts w:ascii="Arial" w:hAnsi="Arial" w:cs="Arial"/>
          <w:bCs/>
          <w:sz w:val="19"/>
          <w:szCs w:val="19"/>
          <w:lang w:val="en-US"/>
        </w:rPr>
        <w:t>Civic Centre</w:t>
      </w:r>
    </w:p>
    <w:p w:rsidR="00402E60" w:rsidRPr="00070D17" w:rsidRDefault="00402E60" w:rsidP="00402E60">
      <w:pPr>
        <w:autoSpaceDE w:val="0"/>
        <w:autoSpaceDN w:val="0"/>
        <w:adjustRightInd w:val="0"/>
        <w:spacing w:after="0"/>
        <w:rPr>
          <w:rFonts w:ascii="Arial" w:hAnsi="Arial" w:cs="Arial"/>
          <w:bCs/>
          <w:sz w:val="19"/>
          <w:szCs w:val="19"/>
          <w:lang w:val="en-US"/>
        </w:rPr>
      </w:pPr>
      <w:r w:rsidRPr="00070D17">
        <w:rPr>
          <w:rFonts w:ascii="Arial" w:hAnsi="Arial" w:cs="Arial"/>
          <w:bCs/>
          <w:sz w:val="19"/>
          <w:szCs w:val="19"/>
          <w:lang w:val="en-US"/>
        </w:rPr>
        <w:t>Renwick Road</w:t>
      </w:r>
    </w:p>
    <w:p w:rsidR="00402E60" w:rsidRPr="00070D17" w:rsidRDefault="00402E60" w:rsidP="00402E60">
      <w:pPr>
        <w:autoSpaceDE w:val="0"/>
        <w:autoSpaceDN w:val="0"/>
        <w:adjustRightInd w:val="0"/>
        <w:spacing w:after="0"/>
        <w:rPr>
          <w:rFonts w:ascii="Arial" w:hAnsi="Arial" w:cs="Arial"/>
          <w:bCs/>
          <w:sz w:val="19"/>
          <w:szCs w:val="19"/>
          <w:lang w:val="en-US"/>
        </w:rPr>
      </w:pPr>
      <w:r w:rsidRPr="00070D17">
        <w:rPr>
          <w:rFonts w:ascii="Arial" w:hAnsi="Arial" w:cs="Arial"/>
          <w:bCs/>
          <w:sz w:val="19"/>
          <w:szCs w:val="19"/>
          <w:lang w:val="en-US"/>
        </w:rPr>
        <w:t>Blyth</w:t>
      </w:r>
    </w:p>
    <w:p w:rsidR="00402E60" w:rsidRPr="00070D17" w:rsidRDefault="00402E60" w:rsidP="00402E60">
      <w:pPr>
        <w:autoSpaceDE w:val="0"/>
        <w:autoSpaceDN w:val="0"/>
        <w:adjustRightInd w:val="0"/>
        <w:spacing w:after="0"/>
        <w:rPr>
          <w:rFonts w:ascii="Arial" w:hAnsi="Arial" w:cs="Arial"/>
          <w:bCs/>
          <w:sz w:val="19"/>
          <w:szCs w:val="19"/>
          <w:lang w:val="en-US"/>
        </w:rPr>
      </w:pPr>
      <w:r w:rsidRPr="00070D17">
        <w:rPr>
          <w:rFonts w:ascii="Arial" w:hAnsi="Arial" w:cs="Arial"/>
          <w:bCs/>
          <w:sz w:val="19"/>
          <w:szCs w:val="19"/>
          <w:lang w:val="en-US"/>
        </w:rPr>
        <w:t>Northumberland</w:t>
      </w:r>
    </w:p>
    <w:p w:rsidR="00402E60" w:rsidRPr="00070D17" w:rsidRDefault="00402E60" w:rsidP="00402E60">
      <w:pPr>
        <w:autoSpaceDE w:val="0"/>
        <w:autoSpaceDN w:val="0"/>
        <w:adjustRightInd w:val="0"/>
        <w:rPr>
          <w:rFonts w:ascii="Arial" w:hAnsi="Arial" w:cs="Arial"/>
          <w:bCs/>
          <w:sz w:val="19"/>
          <w:szCs w:val="19"/>
          <w:lang w:val="en-US"/>
        </w:rPr>
      </w:pPr>
      <w:r w:rsidRPr="00070D17">
        <w:rPr>
          <w:rFonts w:ascii="Arial" w:hAnsi="Arial" w:cs="Arial"/>
          <w:bCs/>
          <w:sz w:val="19"/>
          <w:szCs w:val="19"/>
          <w:lang w:val="en-US"/>
        </w:rPr>
        <w:t>NE24 2BX</w:t>
      </w:r>
    </w:p>
    <w:p w:rsidR="00402E60" w:rsidRPr="00070D17" w:rsidRDefault="00402E60" w:rsidP="00402E60">
      <w:pPr>
        <w:autoSpaceDE w:val="0"/>
        <w:autoSpaceDN w:val="0"/>
        <w:adjustRightInd w:val="0"/>
        <w:rPr>
          <w:rFonts w:ascii="Arial" w:hAnsi="Arial" w:cs="Arial"/>
          <w:bCs/>
          <w:sz w:val="19"/>
          <w:szCs w:val="19"/>
          <w:lang w:val="en-US"/>
        </w:rPr>
      </w:pPr>
    </w:p>
    <w:p w:rsidR="00402E60" w:rsidRPr="00070D17" w:rsidRDefault="00402E60" w:rsidP="00402E60">
      <w:pPr>
        <w:autoSpaceDE w:val="0"/>
        <w:autoSpaceDN w:val="0"/>
        <w:adjustRightInd w:val="0"/>
        <w:rPr>
          <w:rFonts w:ascii="Arial" w:hAnsi="Arial" w:cs="Arial"/>
          <w:b/>
          <w:bCs/>
          <w:sz w:val="19"/>
          <w:szCs w:val="19"/>
          <w:lang w:val="en-US"/>
        </w:rPr>
      </w:pPr>
      <w:r w:rsidRPr="00070D17">
        <w:rPr>
          <w:rFonts w:ascii="Arial" w:hAnsi="Arial" w:cs="Arial"/>
          <w:b/>
          <w:bCs/>
          <w:sz w:val="19"/>
          <w:szCs w:val="19"/>
          <w:lang w:val="en-US"/>
        </w:rPr>
        <w:t>Registered number</w:t>
      </w:r>
    </w:p>
    <w:p w:rsidR="00402E60" w:rsidRPr="00070D17" w:rsidRDefault="00402E60" w:rsidP="00402E60">
      <w:pPr>
        <w:autoSpaceDE w:val="0"/>
        <w:autoSpaceDN w:val="0"/>
        <w:adjustRightInd w:val="0"/>
        <w:rPr>
          <w:rFonts w:ascii="Arial" w:hAnsi="Arial" w:cs="Arial"/>
          <w:bCs/>
          <w:sz w:val="19"/>
          <w:szCs w:val="19"/>
          <w:lang w:val="en-US"/>
        </w:rPr>
      </w:pPr>
      <w:r w:rsidRPr="00070D17">
        <w:rPr>
          <w:rFonts w:ascii="Arial" w:hAnsi="Arial" w:cs="Arial"/>
          <w:bCs/>
          <w:sz w:val="19"/>
          <w:szCs w:val="19"/>
          <w:lang w:val="en-US"/>
        </w:rPr>
        <w:t>Registered under the Companies Act 2006 (registered number 04375380)</w:t>
      </w:r>
      <w:r w:rsidR="001A0912">
        <w:rPr>
          <w:rFonts w:ascii="Arial" w:hAnsi="Arial" w:cs="Arial"/>
          <w:bCs/>
          <w:sz w:val="19"/>
          <w:szCs w:val="19"/>
          <w:lang w:val="en-US"/>
        </w:rPr>
        <w:t xml:space="preserve"> Homes for Northumberland was incorporated and domiciled in the United Kingdom.</w:t>
      </w:r>
    </w:p>
    <w:p w:rsidR="00402E60" w:rsidRPr="00070D17" w:rsidRDefault="00402E60" w:rsidP="00402E60">
      <w:pPr>
        <w:spacing w:after="0"/>
        <w:jc w:val="left"/>
        <w:rPr>
          <w:rFonts w:ascii="Arial" w:hAnsi="Arial" w:cs="Arial"/>
          <w:b/>
          <w:bCs/>
          <w:sz w:val="19"/>
          <w:szCs w:val="19"/>
          <w:lang w:val="en-US"/>
        </w:rPr>
      </w:pPr>
    </w:p>
    <w:p w:rsidR="00402E60" w:rsidRPr="00070D17" w:rsidRDefault="00402E60" w:rsidP="00402E60">
      <w:pPr>
        <w:autoSpaceDE w:val="0"/>
        <w:autoSpaceDN w:val="0"/>
        <w:adjustRightInd w:val="0"/>
        <w:rPr>
          <w:rFonts w:ascii="Arial" w:hAnsi="Arial" w:cs="Arial"/>
          <w:b/>
          <w:bCs/>
          <w:sz w:val="19"/>
          <w:szCs w:val="19"/>
          <w:lang w:val="en-US"/>
        </w:rPr>
      </w:pPr>
      <w:r w:rsidRPr="00070D17">
        <w:rPr>
          <w:rFonts w:ascii="Arial" w:hAnsi="Arial" w:cs="Arial"/>
          <w:b/>
          <w:bCs/>
          <w:sz w:val="19"/>
          <w:szCs w:val="19"/>
          <w:lang w:val="en-US"/>
        </w:rPr>
        <w:t>Senior Management - The Executive Team</w:t>
      </w:r>
    </w:p>
    <w:p w:rsidR="00402E60" w:rsidRPr="00070D17" w:rsidRDefault="00402E60" w:rsidP="00402E60">
      <w:pPr>
        <w:autoSpaceDE w:val="0"/>
        <w:autoSpaceDN w:val="0"/>
        <w:adjustRightInd w:val="0"/>
        <w:rPr>
          <w:rFonts w:ascii="Arial" w:hAnsi="Arial" w:cs="Arial"/>
          <w:bCs/>
          <w:sz w:val="19"/>
          <w:szCs w:val="19"/>
          <w:lang w:val="en-US"/>
        </w:rPr>
      </w:pPr>
      <w:r w:rsidRPr="00070D17">
        <w:rPr>
          <w:rFonts w:ascii="Arial" w:hAnsi="Arial" w:cs="Arial"/>
          <w:bCs/>
          <w:sz w:val="19"/>
          <w:szCs w:val="19"/>
          <w:lang w:val="en-US"/>
        </w:rPr>
        <w:t>Kevin Lowry</w:t>
      </w:r>
      <w:r w:rsidRPr="00070D17">
        <w:rPr>
          <w:rFonts w:ascii="Arial" w:hAnsi="Arial" w:cs="Arial"/>
          <w:bCs/>
          <w:sz w:val="19"/>
          <w:szCs w:val="19"/>
          <w:lang w:val="en-US"/>
        </w:rPr>
        <w:tab/>
      </w:r>
      <w:r w:rsidRPr="00070D17">
        <w:rPr>
          <w:rFonts w:ascii="Arial" w:hAnsi="Arial" w:cs="Arial"/>
          <w:bCs/>
          <w:sz w:val="19"/>
          <w:szCs w:val="19"/>
          <w:lang w:val="en-US"/>
        </w:rPr>
        <w:tab/>
      </w:r>
      <w:r w:rsidRPr="00070D17">
        <w:rPr>
          <w:rFonts w:ascii="Arial" w:hAnsi="Arial" w:cs="Arial"/>
          <w:bCs/>
          <w:sz w:val="19"/>
          <w:szCs w:val="19"/>
          <w:lang w:val="en-US"/>
        </w:rPr>
        <w:tab/>
      </w:r>
      <w:r w:rsidRPr="00070D17">
        <w:rPr>
          <w:rFonts w:ascii="Arial" w:hAnsi="Arial" w:cs="Arial"/>
          <w:bCs/>
          <w:sz w:val="19"/>
          <w:szCs w:val="19"/>
          <w:lang w:val="en-US"/>
        </w:rPr>
        <w:tab/>
      </w:r>
      <w:r w:rsidRPr="00070D17">
        <w:rPr>
          <w:rFonts w:ascii="Arial" w:hAnsi="Arial" w:cs="Arial"/>
          <w:bCs/>
          <w:sz w:val="19"/>
          <w:szCs w:val="19"/>
          <w:lang w:val="en-US"/>
        </w:rPr>
        <w:tab/>
      </w:r>
      <w:r w:rsidRPr="00070D17">
        <w:rPr>
          <w:rFonts w:ascii="Arial" w:hAnsi="Arial" w:cs="Arial"/>
          <w:bCs/>
          <w:sz w:val="19"/>
          <w:szCs w:val="19"/>
          <w:lang w:val="en-US"/>
        </w:rPr>
        <w:tab/>
      </w:r>
      <w:r w:rsidRPr="00070D17">
        <w:rPr>
          <w:rFonts w:ascii="Arial" w:hAnsi="Arial" w:cs="Arial"/>
          <w:bCs/>
          <w:sz w:val="19"/>
          <w:szCs w:val="19"/>
          <w:lang w:val="en-US"/>
        </w:rPr>
        <w:tab/>
      </w:r>
      <w:r w:rsidRPr="00070D17">
        <w:rPr>
          <w:rFonts w:ascii="Arial" w:hAnsi="Arial" w:cs="Arial"/>
          <w:bCs/>
          <w:sz w:val="19"/>
          <w:szCs w:val="19"/>
          <w:lang w:val="en-US"/>
        </w:rPr>
        <w:tab/>
      </w:r>
      <w:r>
        <w:rPr>
          <w:rFonts w:ascii="Arial" w:hAnsi="Arial" w:cs="Arial"/>
          <w:bCs/>
          <w:sz w:val="19"/>
          <w:szCs w:val="19"/>
          <w:lang w:val="en-US"/>
        </w:rPr>
        <w:tab/>
      </w:r>
      <w:r w:rsidRPr="00070D17">
        <w:rPr>
          <w:rFonts w:ascii="Arial" w:hAnsi="Arial" w:cs="Arial"/>
          <w:bCs/>
          <w:sz w:val="19"/>
          <w:szCs w:val="19"/>
          <w:lang w:val="en-US"/>
        </w:rPr>
        <w:t>Managing Director</w:t>
      </w:r>
    </w:p>
    <w:p w:rsidR="00402E60" w:rsidRDefault="00402E60" w:rsidP="00402E60">
      <w:pPr>
        <w:spacing w:after="0"/>
        <w:ind w:left="3402" w:hanging="3402"/>
        <w:rPr>
          <w:rFonts w:ascii="Arial" w:eastAsia="Calibri" w:hAnsi="Arial" w:cs="Arial"/>
          <w:sz w:val="19"/>
          <w:szCs w:val="19"/>
        </w:rPr>
      </w:pPr>
      <w:r w:rsidRPr="00070D17">
        <w:rPr>
          <w:rFonts w:ascii="Arial" w:hAnsi="Arial" w:cs="Arial"/>
          <w:bCs/>
          <w:sz w:val="19"/>
          <w:szCs w:val="19"/>
          <w:lang w:val="en-US"/>
        </w:rPr>
        <w:t>Ian Johnson</w:t>
      </w:r>
      <w:r w:rsidRPr="00070D17">
        <w:rPr>
          <w:rFonts w:ascii="Arial" w:hAnsi="Arial" w:cs="Arial"/>
          <w:bCs/>
          <w:sz w:val="19"/>
          <w:szCs w:val="19"/>
          <w:lang w:val="en-US"/>
        </w:rPr>
        <w:tab/>
      </w:r>
      <w:r w:rsidRPr="00070D17">
        <w:rPr>
          <w:rFonts w:ascii="Arial" w:hAnsi="Arial" w:cs="Arial"/>
          <w:bCs/>
          <w:sz w:val="19"/>
          <w:szCs w:val="19"/>
          <w:lang w:val="en-US"/>
        </w:rPr>
        <w:tab/>
      </w:r>
      <w:r w:rsidRPr="00070D17">
        <w:rPr>
          <w:rFonts w:ascii="Arial" w:hAnsi="Arial" w:cs="Arial"/>
          <w:bCs/>
          <w:sz w:val="19"/>
          <w:szCs w:val="19"/>
          <w:lang w:val="en-US"/>
        </w:rPr>
        <w:tab/>
      </w:r>
      <w:r w:rsidRPr="00070D17">
        <w:rPr>
          <w:rFonts w:ascii="Arial" w:hAnsi="Arial" w:cs="Arial"/>
          <w:bCs/>
          <w:sz w:val="19"/>
          <w:szCs w:val="19"/>
          <w:lang w:val="en-US"/>
        </w:rPr>
        <w:tab/>
      </w:r>
      <w:r w:rsidRPr="00070D17">
        <w:rPr>
          <w:rFonts w:ascii="Arial" w:hAnsi="Arial" w:cs="Arial"/>
          <w:bCs/>
          <w:sz w:val="19"/>
          <w:szCs w:val="19"/>
          <w:lang w:val="en-US"/>
        </w:rPr>
        <w:tab/>
      </w:r>
      <w:r w:rsidRPr="00070D17">
        <w:rPr>
          <w:rFonts w:ascii="Arial" w:hAnsi="Arial" w:cs="Arial"/>
          <w:bCs/>
          <w:sz w:val="19"/>
          <w:szCs w:val="19"/>
          <w:lang w:val="en-US"/>
        </w:rPr>
        <w:tab/>
        <w:t xml:space="preserve">Director of </w:t>
      </w:r>
      <w:r>
        <w:rPr>
          <w:rFonts w:ascii="Arial" w:hAnsi="Arial" w:cs="Arial"/>
          <w:bCs/>
          <w:sz w:val="19"/>
          <w:szCs w:val="19"/>
          <w:lang w:val="en-US"/>
        </w:rPr>
        <w:t>Operations</w:t>
      </w:r>
      <w:r w:rsidRPr="00070D17">
        <w:rPr>
          <w:rFonts w:ascii="Arial" w:hAnsi="Arial" w:cs="Arial"/>
          <w:bCs/>
          <w:sz w:val="19"/>
          <w:szCs w:val="19"/>
          <w:lang w:val="en-US"/>
        </w:rPr>
        <w:t xml:space="preserve"> </w:t>
      </w:r>
    </w:p>
    <w:p w:rsidR="00402E60" w:rsidRDefault="00402E60" w:rsidP="00402E60">
      <w:pPr>
        <w:autoSpaceDE w:val="0"/>
        <w:autoSpaceDN w:val="0"/>
        <w:adjustRightInd w:val="0"/>
        <w:rPr>
          <w:rFonts w:ascii="Arial" w:hAnsi="Arial" w:cs="Arial"/>
          <w:bCs/>
          <w:sz w:val="19"/>
          <w:szCs w:val="19"/>
          <w:lang w:val="en-US"/>
        </w:rPr>
      </w:pPr>
    </w:p>
    <w:p w:rsidR="00900443" w:rsidRDefault="00900443" w:rsidP="00402E60">
      <w:pPr>
        <w:autoSpaceDE w:val="0"/>
        <w:autoSpaceDN w:val="0"/>
        <w:adjustRightInd w:val="0"/>
        <w:rPr>
          <w:rFonts w:ascii="Arial" w:hAnsi="Arial" w:cs="Arial"/>
          <w:bCs/>
          <w:sz w:val="19"/>
          <w:szCs w:val="19"/>
          <w:lang w:val="en-US"/>
        </w:rPr>
      </w:pPr>
    </w:p>
    <w:p w:rsidR="00900443" w:rsidRDefault="00900443" w:rsidP="00402E60">
      <w:pPr>
        <w:autoSpaceDE w:val="0"/>
        <w:autoSpaceDN w:val="0"/>
        <w:adjustRightInd w:val="0"/>
        <w:rPr>
          <w:rFonts w:ascii="Arial" w:hAnsi="Arial" w:cs="Arial"/>
          <w:bCs/>
          <w:sz w:val="19"/>
          <w:szCs w:val="19"/>
          <w:lang w:val="en-US"/>
        </w:rPr>
      </w:pPr>
    </w:p>
    <w:p w:rsidR="00900443" w:rsidRDefault="00900443" w:rsidP="00402E60">
      <w:pPr>
        <w:autoSpaceDE w:val="0"/>
        <w:autoSpaceDN w:val="0"/>
        <w:adjustRightInd w:val="0"/>
        <w:rPr>
          <w:rFonts w:ascii="Arial" w:hAnsi="Arial" w:cs="Arial"/>
          <w:bCs/>
          <w:sz w:val="19"/>
          <w:szCs w:val="19"/>
          <w:lang w:val="en-US"/>
        </w:rPr>
      </w:pPr>
    </w:p>
    <w:p w:rsidR="00900443" w:rsidRDefault="00900443" w:rsidP="00402E60">
      <w:pPr>
        <w:autoSpaceDE w:val="0"/>
        <w:autoSpaceDN w:val="0"/>
        <w:adjustRightInd w:val="0"/>
        <w:rPr>
          <w:rFonts w:ascii="Arial" w:hAnsi="Arial" w:cs="Arial"/>
          <w:bCs/>
          <w:sz w:val="19"/>
          <w:szCs w:val="19"/>
          <w:lang w:val="en-US"/>
        </w:rPr>
      </w:pPr>
    </w:p>
    <w:p w:rsidR="00900443" w:rsidRDefault="00900443" w:rsidP="00402E60">
      <w:pPr>
        <w:autoSpaceDE w:val="0"/>
        <w:autoSpaceDN w:val="0"/>
        <w:adjustRightInd w:val="0"/>
        <w:rPr>
          <w:rFonts w:ascii="Arial" w:hAnsi="Arial" w:cs="Arial"/>
          <w:bCs/>
          <w:sz w:val="19"/>
          <w:szCs w:val="19"/>
          <w:lang w:val="en-US"/>
        </w:rPr>
      </w:pPr>
    </w:p>
    <w:p w:rsidR="00900443" w:rsidRPr="00070D17" w:rsidRDefault="00900443" w:rsidP="00402E60">
      <w:pPr>
        <w:autoSpaceDE w:val="0"/>
        <w:autoSpaceDN w:val="0"/>
        <w:adjustRightInd w:val="0"/>
        <w:rPr>
          <w:rFonts w:ascii="Arial" w:hAnsi="Arial" w:cs="Arial"/>
          <w:bCs/>
          <w:sz w:val="19"/>
          <w:szCs w:val="19"/>
          <w:lang w:val="en-US"/>
        </w:rPr>
      </w:pPr>
    </w:p>
    <w:p w:rsidR="00900443" w:rsidRDefault="00900443" w:rsidP="00402E60">
      <w:pPr>
        <w:autoSpaceDE w:val="0"/>
        <w:autoSpaceDN w:val="0"/>
        <w:adjustRightInd w:val="0"/>
        <w:rPr>
          <w:rFonts w:ascii="Arial" w:hAnsi="Arial" w:cs="Arial"/>
          <w:b/>
          <w:bCs/>
          <w:sz w:val="19"/>
          <w:szCs w:val="19"/>
          <w:lang w:val="en-US"/>
        </w:rPr>
      </w:pPr>
      <w:r>
        <w:rPr>
          <w:rFonts w:ascii="Arial" w:hAnsi="Arial" w:cs="Arial"/>
          <w:b/>
          <w:bCs/>
          <w:sz w:val="19"/>
          <w:szCs w:val="19"/>
          <w:lang w:val="en-US"/>
        </w:rPr>
        <w:t>Director’s Report (continued)</w:t>
      </w:r>
    </w:p>
    <w:p w:rsidR="00402E60" w:rsidRPr="003517C6" w:rsidRDefault="00402E60" w:rsidP="00402E60">
      <w:pPr>
        <w:autoSpaceDE w:val="0"/>
        <w:autoSpaceDN w:val="0"/>
        <w:adjustRightInd w:val="0"/>
        <w:rPr>
          <w:rFonts w:ascii="Arial" w:hAnsi="Arial" w:cs="Arial"/>
          <w:b/>
          <w:bCs/>
          <w:sz w:val="19"/>
          <w:szCs w:val="19"/>
          <w:lang w:val="en-US"/>
        </w:rPr>
      </w:pPr>
      <w:r w:rsidRPr="003517C6">
        <w:rPr>
          <w:rFonts w:ascii="Arial" w:hAnsi="Arial" w:cs="Arial"/>
          <w:b/>
          <w:bCs/>
          <w:sz w:val="19"/>
          <w:szCs w:val="19"/>
          <w:lang w:val="en-US"/>
        </w:rPr>
        <w:t>Auditor</w:t>
      </w:r>
    </w:p>
    <w:p w:rsidR="00402E60" w:rsidRDefault="00402E60" w:rsidP="00402E60">
      <w:pPr>
        <w:spacing w:after="0"/>
        <w:rPr>
          <w:rFonts w:ascii="Arial" w:eastAsia="Calibri" w:hAnsi="Arial" w:cs="Arial"/>
          <w:sz w:val="19"/>
          <w:szCs w:val="19"/>
        </w:rPr>
      </w:pPr>
      <w:r w:rsidRPr="003517C6">
        <w:rPr>
          <w:rFonts w:ascii="Arial" w:eastAsia="Calibri" w:hAnsi="Arial" w:cs="Arial"/>
          <w:sz w:val="19"/>
          <w:szCs w:val="19"/>
        </w:rPr>
        <w:t>Deloitte LLP</w:t>
      </w:r>
    </w:p>
    <w:p w:rsidR="00900443" w:rsidRPr="003517C6" w:rsidRDefault="00900443" w:rsidP="00402E60">
      <w:pPr>
        <w:spacing w:after="0"/>
        <w:rPr>
          <w:rFonts w:ascii="Arial" w:eastAsia="Calibri" w:hAnsi="Arial" w:cs="Arial"/>
          <w:sz w:val="19"/>
          <w:szCs w:val="19"/>
        </w:rPr>
      </w:pPr>
      <w:r>
        <w:rPr>
          <w:rFonts w:ascii="Arial" w:eastAsia="Calibri" w:hAnsi="Arial" w:cs="Arial"/>
          <w:sz w:val="19"/>
          <w:szCs w:val="19"/>
        </w:rPr>
        <w:t>Chartered Accountants and Statutory Auditor</w:t>
      </w:r>
    </w:p>
    <w:p w:rsidR="00402E60" w:rsidRPr="003517C6" w:rsidRDefault="00402E60" w:rsidP="00402E60">
      <w:pPr>
        <w:spacing w:after="0"/>
        <w:rPr>
          <w:rFonts w:ascii="Arial" w:eastAsia="Calibri" w:hAnsi="Arial" w:cs="Arial"/>
          <w:sz w:val="19"/>
          <w:szCs w:val="19"/>
        </w:rPr>
      </w:pPr>
      <w:r w:rsidRPr="003517C6">
        <w:rPr>
          <w:rFonts w:ascii="Arial" w:eastAsia="Calibri" w:hAnsi="Arial" w:cs="Arial"/>
          <w:sz w:val="19"/>
          <w:szCs w:val="19"/>
        </w:rPr>
        <w:t>One Trinity Gardens</w:t>
      </w:r>
    </w:p>
    <w:p w:rsidR="00402E60" w:rsidRPr="003517C6" w:rsidRDefault="00402E60" w:rsidP="00402E60">
      <w:pPr>
        <w:spacing w:after="0"/>
        <w:rPr>
          <w:rFonts w:ascii="Arial" w:eastAsia="Calibri" w:hAnsi="Arial" w:cs="Arial"/>
          <w:sz w:val="19"/>
          <w:szCs w:val="19"/>
        </w:rPr>
      </w:pPr>
      <w:r w:rsidRPr="003517C6">
        <w:rPr>
          <w:rFonts w:ascii="Arial" w:eastAsia="Calibri" w:hAnsi="Arial" w:cs="Arial"/>
          <w:sz w:val="19"/>
          <w:szCs w:val="19"/>
        </w:rPr>
        <w:t>Broad Chare</w:t>
      </w:r>
    </w:p>
    <w:p w:rsidR="00402E60" w:rsidRPr="003517C6" w:rsidRDefault="00402E60" w:rsidP="00402E60">
      <w:pPr>
        <w:spacing w:after="0"/>
        <w:rPr>
          <w:rFonts w:ascii="Arial" w:eastAsia="Calibri" w:hAnsi="Arial" w:cs="Arial"/>
          <w:sz w:val="19"/>
          <w:szCs w:val="19"/>
        </w:rPr>
      </w:pPr>
      <w:r w:rsidRPr="003517C6">
        <w:rPr>
          <w:rFonts w:ascii="Arial" w:eastAsia="Calibri" w:hAnsi="Arial" w:cs="Arial"/>
          <w:sz w:val="19"/>
          <w:szCs w:val="19"/>
        </w:rPr>
        <w:t>Newcastle upon Tyne</w:t>
      </w:r>
    </w:p>
    <w:p w:rsidR="00402E60" w:rsidRDefault="00402E60" w:rsidP="00402E60">
      <w:pPr>
        <w:spacing w:after="0"/>
        <w:rPr>
          <w:rFonts w:ascii="Arial" w:eastAsia="Calibri" w:hAnsi="Arial" w:cs="Arial"/>
          <w:sz w:val="19"/>
          <w:szCs w:val="19"/>
        </w:rPr>
      </w:pPr>
      <w:r w:rsidRPr="003517C6">
        <w:rPr>
          <w:rFonts w:ascii="Arial" w:eastAsia="Calibri" w:hAnsi="Arial" w:cs="Arial"/>
          <w:sz w:val="19"/>
          <w:szCs w:val="19"/>
        </w:rPr>
        <w:t>Tyne &amp; Wear</w:t>
      </w:r>
    </w:p>
    <w:p w:rsidR="00900443" w:rsidRPr="003517C6" w:rsidRDefault="00900443" w:rsidP="00402E60">
      <w:pPr>
        <w:spacing w:after="0"/>
        <w:rPr>
          <w:rFonts w:ascii="Arial" w:eastAsia="Calibri" w:hAnsi="Arial" w:cs="Arial"/>
          <w:sz w:val="19"/>
          <w:szCs w:val="19"/>
        </w:rPr>
      </w:pPr>
      <w:r>
        <w:rPr>
          <w:rFonts w:ascii="Arial" w:eastAsia="Calibri" w:hAnsi="Arial" w:cs="Arial"/>
          <w:sz w:val="19"/>
          <w:szCs w:val="19"/>
        </w:rPr>
        <w:t>United Kingdom</w:t>
      </w:r>
    </w:p>
    <w:p w:rsidR="00402E60" w:rsidRPr="003517C6" w:rsidRDefault="00402E60" w:rsidP="00402E60">
      <w:pPr>
        <w:autoSpaceDE w:val="0"/>
        <w:autoSpaceDN w:val="0"/>
        <w:adjustRightInd w:val="0"/>
        <w:spacing w:after="0"/>
        <w:rPr>
          <w:rFonts w:ascii="Arial" w:hAnsi="Arial" w:cs="Arial"/>
          <w:bCs/>
          <w:sz w:val="19"/>
          <w:szCs w:val="19"/>
          <w:lang w:val="en-US"/>
        </w:rPr>
      </w:pPr>
      <w:r w:rsidRPr="003517C6">
        <w:rPr>
          <w:rFonts w:ascii="Arial" w:eastAsia="Calibri" w:hAnsi="Arial" w:cs="Arial"/>
          <w:sz w:val="19"/>
          <w:szCs w:val="19"/>
        </w:rPr>
        <w:t>NE1 2HF</w:t>
      </w:r>
    </w:p>
    <w:p w:rsidR="00900443" w:rsidRPr="003517C6" w:rsidRDefault="00900443" w:rsidP="00402E60">
      <w:pPr>
        <w:autoSpaceDE w:val="0"/>
        <w:autoSpaceDN w:val="0"/>
        <w:adjustRightInd w:val="0"/>
        <w:rPr>
          <w:rFonts w:ascii="Arial" w:hAnsi="Arial" w:cs="Arial"/>
          <w:bCs/>
          <w:sz w:val="19"/>
          <w:szCs w:val="19"/>
          <w:lang w:val="en-US"/>
        </w:rPr>
      </w:pPr>
    </w:p>
    <w:p w:rsidR="00402E60" w:rsidRPr="003517C6" w:rsidRDefault="00402E60" w:rsidP="00402E60">
      <w:pPr>
        <w:autoSpaceDE w:val="0"/>
        <w:autoSpaceDN w:val="0"/>
        <w:adjustRightInd w:val="0"/>
        <w:rPr>
          <w:rFonts w:ascii="Arial" w:hAnsi="Arial" w:cs="Arial"/>
          <w:bCs/>
          <w:sz w:val="19"/>
          <w:szCs w:val="19"/>
          <w:lang w:val="en-US"/>
        </w:rPr>
      </w:pPr>
      <w:r w:rsidRPr="003517C6">
        <w:rPr>
          <w:rFonts w:ascii="Arial" w:hAnsi="Arial" w:cs="Arial"/>
          <w:b/>
          <w:bCs/>
          <w:sz w:val="19"/>
          <w:szCs w:val="19"/>
          <w:lang w:val="en-US"/>
        </w:rPr>
        <w:t>Solicitors</w:t>
      </w:r>
    </w:p>
    <w:p w:rsidR="00402E60" w:rsidRPr="003517C6" w:rsidRDefault="00402E60" w:rsidP="00402E60">
      <w:pPr>
        <w:spacing w:after="0"/>
        <w:rPr>
          <w:rFonts w:ascii="Arial" w:eastAsia="Calibri" w:hAnsi="Arial" w:cs="Arial"/>
          <w:sz w:val="19"/>
          <w:szCs w:val="19"/>
        </w:rPr>
      </w:pPr>
      <w:r w:rsidRPr="003517C6">
        <w:rPr>
          <w:rFonts w:ascii="Arial" w:eastAsia="Calibri" w:hAnsi="Arial" w:cs="Arial"/>
          <w:sz w:val="19"/>
          <w:szCs w:val="19"/>
        </w:rPr>
        <w:t>Eversheds</w:t>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t>Trowers &amp; Hamlins</w:t>
      </w:r>
    </w:p>
    <w:p w:rsidR="00402E60" w:rsidRPr="003517C6" w:rsidRDefault="00402E60" w:rsidP="00402E60">
      <w:pPr>
        <w:spacing w:after="0"/>
        <w:rPr>
          <w:rFonts w:ascii="Arial" w:eastAsia="Calibri" w:hAnsi="Arial" w:cs="Arial"/>
          <w:sz w:val="19"/>
          <w:szCs w:val="19"/>
        </w:rPr>
      </w:pPr>
      <w:r w:rsidRPr="003517C6">
        <w:rPr>
          <w:rFonts w:ascii="Arial" w:eastAsia="Calibri" w:hAnsi="Arial" w:cs="Arial"/>
          <w:sz w:val="19"/>
          <w:szCs w:val="19"/>
        </w:rPr>
        <w:t>Central Square South</w:t>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t>Sceptre Court</w:t>
      </w:r>
    </w:p>
    <w:p w:rsidR="00402E60" w:rsidRPr="003517C6" w:rsidRDefault="00402E60" w:rsidP="00402E60">
      <w:pPr>
        <w:spacing w:after="0"/>
        <w:rPr>
          <w:rFonts w:ascii="Arial" w:eastAsia="Calibri" w:hAnsi="Arial" w:cs="Arial"/>
          <w:sz w:val="19"/>
          <w:szCs w:val="19"/>
        </w:rPr>
      </w:pPr>
      <w:r w:rsidRPr="003517C6">
        <w:rPr>
          <w:rFonts w:ascii="Arial" w:eastAsia="Calibri" w:hAnsi="Arial" w:cs="Arial"/>
          <w:sz w:val="19"/>
          <w:szCs w:val="19"/>
        </w:rPr>
        <w:t>Orchard Street</w:t>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t>40 Tower Hill</w:t>
      </w:r>
    </w:p>
    <w:p w:rsidR="00402E60" w:rsidRPr="003517C6" w:rsidRDefault="00402E60" w:rsidP="00402E60">
      <w:pPr>
        <w:spacing w:after="0"/>
        <w:rPr>
          <w:rFonts w:ascii="Arial" w:eastAsia="Calibri" w:hAnsi="Arial" w:cs="Arial"/>
          <w:sz w:val="19"/>
          <w:szCs w:val="19"/>
        </w:rPr>
      </w:pPr>
      <w:r w:rsidRPr="003517C6">
        <w:rPr>
          <w:rFonts w:ascii="Arial" w:eastAsia="Calibri" w:hAnsi="Arial" w:cs="Arial"/>
          <w:sz w:val="19"/>
          <w:szCs w:val="19"/>
        </w:rPr>
        <w:t>Newcastle upon Tyne</w:t>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t>London</w:t>
      </w:r>
    </w:p>
    <w:p w:rsidR="00402E60" w:rsidRPr="003517C6" w:rsidRDefault="00402E60" w:rsidP="00402E60">
      <w:pPr>
        <w:spacing w:after="0"/>
        <w:rPr>
          <w:rFonts w:ascii="Arial" w:eastAsia="Calibri" w:hAnsi="Arial" w:cs="Arial"/>
          <w:sz w:val="19"/>
          <w:szCs w:val="19"/>
        </w:rPr>
      </w:pPr>
      <w:r w:rsidRPr="003517C6">
        <w:rPr>
          <w:rFonts w:ascii="Arial" w:eastAsia="Calibri" w:hAnsi="Arial" w:cs="Arial"/>
          <w:sz w:val="19"/>
          <w:szCs w:val="19"/>
        </w:rPr>
        <w:t>NE1 3XX</w:t>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r>
      <w:r w:rsidRPr="003517C6">
        <w:rPr>
          <w:rFonts w:ascii="Arial" w:eastAsia="Calibri" w:hAnsi="Arial" w:cs="Arial"/>
          <w:sz w:val="19"/>
          <w:szCs w:val="19"/>
        </w:rPr>
        <w:tab/>
        <w:t>EC3N 4DX</w:t>
      </w:r>
    </w:p>
    <w:p w:rsidR="00402E60" w:rsidRPr="003517C6" w:rsidRDefault="00402E60" w:rsidP="00402E60">
      <w:pPr>
        <w:autoSpaceDE w:val="0"/>
        <w:autoSpaceDN w:val="0"/>
        <w:adjustRightInd w:val="0"/>
        <w:rPr>
          <w:rFonts w:ascii="Arial" w:hAnsi="Arial" w:cs="Arial"/>
          <w:bCs/>
          <w:sz w:val="19"/>
          <w:szCs w:val="19"/>
          <w:lang w:val="en-US"/>
        </w:rPr>
      </w:pPr>
    </w:p>
    <w:p w:rsidR="00402E60" w:rsidRPr="003517C6" w:rsidRDefault="00402E60" w:rsidP="00402E60">
      <w:pPr>
        <w:autoSpaceDE w:val="0"/>
        <w:autoSpaceDN w:val="0"/>
        <w:adjustRightInd w:val="0"/>
        <w:rPr>
          <w:rFonts w:ascii="Arial" w:hAnsi="Arial" w:cs="Arial"/>
          <w:bCs/>
          <w:sz w:val="19"/>
          <w:szCs w:val="19"/>
          <w:lang w:val="en-US"/>
        </w:rPr>
      </w:pPr>
      <w:r w:rsidRPr="003517C6">
        <w:rPr>
          <w:rFonts w:ascii="Arial" w:hAnsi="Arial" w:cs="Arial"/>
          <w:b/>
          <w:bCs/>
          <w:sz w:val="19"/>
          <w:szCs w:val="19"/>
          <w:lang w:val="en-US"/>
        </w:rPr>
        <w:t>Bankers</w:t>
      </w:r>
    </w:p>
    <w:p w:rsidR="00402E60" w:rsidRPr="003517C6" w:rsidRDefault="00402E60" w:rsidP="00402E60">
      <w:pPr>
        <w:spacing w:after="0"/>
        <w:rPr>
          <w:rFonts w:ascii="Arial" w:eastAsia="Calibri" w:hAnsi="Arial" w:cs="Arial"/>
          <w:sz w:val="19"/>
          <w:szCs w:val="19"/>
        </w:rPr>
      </w:pPr>
      <w:r w:rsidRPr="003517C6">
        <w:rPr>
          <w:rFonts w:ascii="Arial" w:eastAsia="Calibri" w:hAnsi="Arial" w:cs="Arial"/>
          <w:sz w:val="19"/>
          <w:szCs w:val="19"/>
        </w:rPr>
        <w:t>The Co-operative Bank</w:t>
      </w:r>
    </w:p>
    <w:p w:rsidR="00402E60" w:rsidRPr="003517C6" w:rsidRDefault="00402E60" w:rsidP="00402E60">
      <w:pPr>
        <w:spacing w:after="0"/>
        <w:rPr>
          <w:rFonts w:ascii="Arial" w:eastAsia="Calibri" w:hAnsi="Arial" w:cs="Arial"/>
          <w:sz w:val="19"/>
          <w:szCs w:val="19"/>
        </w:rPr>
      </w:pPr>
      <w:r w:rsidRPr="003517C6">
        <w:rPr>
          <w:rFonts w:ascii="Arial" w:eastAsia="Calibri" w:hAnsi="Arial" w:cs="Arial"/>
          <w:sz w:val="19"/>
          <w:szCs w:val="19"/>
        </w:rPr>
        <w:t>1st Floor</w:t>
      </w:r>
    </w:p>
    <w:p w:rsidR="00402E60" w:rsidRPr="003517C6" w:rsidRDefault="00402E60" w:rsidP="00402E60">
      <w:pPr>
        <w:spacing w:after="0"/>
        <w:rPr>
          <w:rFonts w:ascii="Arial" w:eastAsia="Calibri" w:hAnsi="Arial" w:cs="Arial"/>
          <w:sz w:val="19"/>
          <w:szCs w:val="19"/>
        </w:rPr>
      </w:pPr>
      <w:r w:rsidRPr="003517C6">
        <w:rPr>
          <w:rFonts w:ascii="Arial" w:eastAsia="Calibri" w:hAnsi="Arial" w:cs="Arial"/>
          <w:sz w:val="19"/>
          <w:szCs w:val="19"/>
        </w:rPr>
        <w:t>Norfolk House</w:t>
      </w:r>
    </w:p>
    <w:p w:rsidR="00402E60" w:rsidRPr="003517C6" w:rsidRDefault="00402E60" w:rsidP="00402E60">
      <w:pPr>
        <w:spacing w:after="0"/>
        <w:rPr>
          <w:rFonts w:ascii="Arial" w:eastAsia="Calibri" w:hAnsi="Arial" w:cs="Arial"/>
          <w:sz w:val="19"/>
          <w:szCs w:val="19"/>
        </w:rPr>
      </w:pPr>
      <w:r w:rsidRPr="003517C6">
        <w:rPr>
          <w:rFonts w:ascii="Arial" w:eastAsia="Calibri" w:hAnsi="Arial" w:cs="Arial"/>
          <w:sz w:val="19"/>
          <w:szCs w:val="19"/>
        </w:rPr>
        <w:t>Grey Street</w:t>
      </w:r>
    </w:p>
    <w:p w:rsidR="00402E60" w:rsidRPr="003517C6" w:rsidRDefault="00402E60" w:rsidP="00402E60">
      <w:pPr>
        <w:spacing w:after="0"/>
        <w:rPr>
          <w:rFonts w:ascii="Arial" w:eastAsia="Calibri" w:hAnsi="Arial" w:cs="Arial"/>
          <w:sz w:val="19"/>
          <w:szCs w:val="19"/>
        </w:rPr>
      </w:pPr>
      <w:r w:rsidRPr="003517C6">
        <w:rPr>
          <w:rFonts w:ascii="Arial" w:eastAsia="Calibri" w:hAnsi="Arial" w:cs="Arial"/>
          <w:sz w:val="19"/>
          <w:szCs w:val="19"/>
        </w:rPr>
        <w:t>Newcastle upon Tyne</w:t>
      </w:r>
    </w:p>
    <w:p w:rsidR="00402E60" w:rsidRPr="00070D17" w:rsidRDefault="00402E60" w:rsidP="00402E60">
      <w:pPr>
        <w:spacing w:after="0"/>
        <w:rPr>
          <w:rFonts w:ascii="Arial" w:eastAsia="Calibri" w:hAnsi="Arial" w:cs="Arial"/>
          <w:sz w:val="19"/>
          <w:szCs w:val="19"/>
        </w:rPr>
      </w:pPr>
      <w:r w:rsidRPr="003517C6">
        <w:rPr>
          <w:rFonts w:ascii="Arial" w:eastAsia="Calibri" w:hAnsi="Arial" w:cs="Arial"/>
          <w:sz w:val="19"/>
          <w:szCs w:val="19"/>
        </w:rPr>
        <w:t>NE1 6BZ</w:t>
      </w:r>
    </w:p>
    <w:p w:rsidR="00402E60" w:rsidRPr="00070D17" w:rsidRDefault="00402E60" w:rsidP="00402E60">
      <w:pPr>
        <w:rPr>
          <w:rFonts w:ascii="Arial" w:eastAsia="Calibri" w:hAnsi="Arial" w:cs="Arial"/>
          <w:b/>
          <w:sz w:val="19"/>
          <w:szCs w:val="19"/>
        </w:rPr>
      </w:pPr>
    </w:p>
    <w:p w:rsidR="00402E60" w:rsidRDefault="00402E60" w:rsidP="00402E60">
      <w:pPr>
        <w:spacing w:after="0"/>
        <w:jc w:val="left"/>
        <w:rPr>
          <w:rFonts w:ascii="Arial" w:eastAsia="Calibri" w:hAnsi="Arial" w:cs="Arial"/>
          <w:b/>
          <w:szCs w:val="19"/>
        </w:rPr>
      </w:pPr>
      <w:r w:rsidRPr="00314EC5">
        <w:rPr>
          <w:rFonts w:ascii="Arial" w:eastAsia="Calibri" w:hAnsi="Arial" w:cs="Arial"/>
          <w:b/>
          <w:szCs w:val="19"/>
        </w:rPr>
        <w:t xml:space="preserve">Board Members and Executive Directors </w:t>
      </w:r>
    </w:p>
    <w:p w:rsidR="00402E60" w:rsidRPr="00314EC5" w:rsidRDefault="00402E60" w:rsidP="00402E60">
      <w:pPr>
        <w:spacing w:after="0"/>
        <w:jc w:val="left"/>
        <w:rPr>
          <w:rFonts w:ascii="Arial" w:eastAsia="Calibri" w:hAnsi="Arial" w:cs="Arial"/>
          <w:b/>
          <w:szCs w:val="19"/>
        </w:rPr>
      </w:pPr>
    </w:p>
    <w:p w:rsidR="00402E60" w:rsidRPr="003517C6" w:rsidRDefault="00402E60" w:rsidP="00402E60">
      <w:pPr>
        <w:spacing w:after="0"/>
        <w:jc w:val="left"/>
        <w:rPr>
          <w:rFonts w:ascii="Arial" w:eastAsia="Calibri" w:hAnsi="Arial" w:cs="Arial"/>
          <w:sz w:val="19"/>
          <w:szCs w:val="19"/>
        </w:rPr>
      </w:pPr>
      <w:r w:rsidRPr="003517C6">
        <w:rPr>
          <w:rFonts w:ascii="Arial" w:eastAsia="Calibri" w:hAnsi="Arial" w:cs="Arial"/>
          <w:sz w:val="19"/>
          <w:szCs w:val="19"/>
        </w:rPr>
        <w:t xml:space="preserve">The Company’s Board Membership during the year is set out above. </w:t>
      </w:r>
    </w:p>
    <w:p w:rsidR="00402E60" w:rsidRPr="003517C6" w:rsidRDefault="00402E60" w:rsidP="00402E60">
      <w:pPr>
        <w:spacing w:after="0"/>
        <w:jc w:val="left"/>
        <w:rPr>
          <w:rFonts w:ascii="Arial" w:eastAsia="Calibri" w:hAnsi="Arial" w:cs="Arial"/>
          <w:sz w:val="19"/>
          <w:szCs w:val="19"/>
        </w:rPr>
      </w:pPr>
      <w:r w:rsidRPr="003517C6">
        <w:rPr>
          <w:rFonts w:ascii="Arial" w:eastAsia="Calibri" w:hAnsi="Arial" w:cs="Arial"/>
          <w:sz w:val="19"/>
          <w:szCs w:val="19"/>
        </w:rPr>
        <w:t xml:space="preserve"> </w:t>
      </w:r>
    </w:p>
    <w:p w:rsidR="00402E60" w:rsidRPr="003517C6" w:rsidRDefault="00402E60" w:rsidP="00402E60">
      <w:pPr>
        <w:spacing w:after="0"/>
        <w:jc w:val="left"/>
        <w:rPr>
          <w:rFonts w:ascii="Arial" w:eastAsia="Calibri" w:hAnsi="Arial" w:cs="Arial"/>
          <w:sz w:val="19"/>
          <w:szCs w:val="19"/>
        </w:rPr>
      </w:pPr>
      <w:r w:rsidRPr="003517C6">
        <w:rPr>
          <w:rFonts w:ascii="Arial" w:eastAsia="Calibri" w:hAnsi="Arial" w:cs="Arial"/>
          <w:sz w:val="19"/>
          <w:szCs w:val="19"/>
        </w:rPr>
        <w:t>The senior tier of management in the Company is the Executive Team which con</w:t>
      </w:r>
      <w:r w:rsidR="00900443">
        <w:rPr>
          <w:rFonts w:ascii="Arial" w:eastAsia="Calibri" w:hAnsi="Arial" w:cs="Arial"/>
          <w:sz w:val="19"/>
          <w:szCs w:val="19"/>
        </w:rPr>
        <w:t xml:space="preserve">sists of the Managing Director </w:t>
      </w:r>
      <w:r w:rsidRPr="003517C6">
        <w:rPr>
          <w:rFonts w:ascii="Arial" w:eastAsia="Calibri" w:hAnsi="Arial" w:cs="Arial"/>
          <w:sz w:val="19"/>
          <w:szCs w:val="19"/>
        </w:rPr>
        <w:t xml:space="preserve">and Director of Operations.  These individuals hold no interest in the Company and act as executives within authority delegated by the Board.  </w:t>
      </w:r>
    </w:p>
    <w:p w:rsidR="00402E60" w:rsidRPr="003517C6" w:rsidRDefault="00402E60" w:rsidP="00402E60">
      <w:pPr>
        <w:spacing w:after="0"/>
        <w:jc w:val="left"/>
        <w:rPr>
          <w:rFonts w:ascii="Arial" w:eastAsia="Calibri" w:hAnsi="Arial" w:cs="Arial"/>
          <w:sz w:val="19"/>
          <w:szCs w:val="19"/>
        </w:rPr>
      </w:pPr>
    </w:p>
    <w:p w:rsidR="00402E60" w:rsidRPr="003517C6" w:rsidRDefault="00402E60" w:rsidP="00402E60">
      <w:pPr>
        <w:spacing w:after="0"/>
        <w:jc w:val="left"/>
        <w:rPr>
          <w:rFonts w:ascii="Arial" w:eastAsia="Calibri" w:hAnsi="Arial" w:cs="Arial"/>
          <w:sz w:val="19"/>
          <w:szCs w:val="19"/>
        </w:rPr>
      </w:pPr>
      <w:r w:rsidRPr="003517C6">
        <w:rPr>
          <w:rFonts w:ascii="Arial" w:eastAsia="Calibri" w:hAnsi="Arial" w:cs="Arial"/>
          <w:sz w:val="19"/>
          <w:szCs w:val="19"/>
        </w:rPr>
        <w:t>Insurance policies indemnify Board Members and officers against liability when acting for the Company.</w:t>
      </w:r>
    </w:p>
    <w:p w:rsidR="00402E60" w:rsidRPr="003517C6" w:rsidRDefault="00402E60" w:rsidP="00402E60">
      <w:pPr>
        <w:spacing w:after="0"/>
        <w:jc w:val="left"/>
        <w:rPr>
          <w:rFonts w:ascii="Arial" w:eastAsia="Calibri" w:hAnsi="Arial" w:cs="Arial"/>
          <w:szCs w:val="19"/>
        </w:rPr>
      </w:pPr>
    </w:p>
    <w:p w:rsidR="00402E60" w:rsidRPr="003517C6" w:rsidRDefault="00402E60" w:rsidP="00402E60">
      <w:pPr>
        <w:spacing w:after="0"/>
        <w:jc w:val="left"/>
        <w:rPr>
          <w:rFonts w:ascii="Arial" w:eastAsia="Calibri" w:hAnsi="Arial" w:cs="Arial"/>
          <w:b/>
          <w:szCs w:val="19"/>
        </w:rPr>
      </w:pPr>
      <w:r w:rsidRPr="003517C6">
        <w:rPr>
          <w:rFonts w:ascii="Arial" w:eastAsia="Calibri" w:hAnsi="Arial" w:cs="Arial"/>
          <w:b/>
          <w:szCs w:val="19"/>
        </w:rPr>
        <w:t>Supplier Payment Policy</w:t>
      </w:r>
    </w:p>
    <w:p w:rsidR="00402E60" w:rsidRPr="003517C6" w:rsidRDefault="00402E60" w:rsidP="00402E60">
      <w:pPr>
        <w:spacing w:after="0"/>
        <w:jc w:val="left"/>
        <w:rPr>
          <w:rFonts w:ascii="Arial" w:eastAsia="Calibri" w:hAnsi="Arial" w:cs="Arial"/>
          <w:b/>
          <w:szCs w:val="19"/>
        </w:rPr>
      </w:pPr>
    </w:p>
    <w:p w:rsidR="00402E60" w:rsidRPr="003517C6" w:rsidRDefault="00402E60" w:rsidP="00402E60">
      <w:pPr>
        <w:spacing w:after="0"/>
        <w:jc w:val="left"/>
        <w:rPr>
          <w:rFonts w:ascii="Arial" w:eastAsia="Calibri" w:hAnsi="Arial" w:cs="Arial"/>
          <w:sz w:val="19"/>
          <w:szCs w:val="19"/>
        </w:rPr>
      </w:pPr>
      <w:r w:rsidRPr="003517C6">
        <w:rPr>
          <w:rFonts w:ascii="Arial" w:eastAsia="Calibri" w:hAnsi="Arial" w:cs="Arial"/>
          <w:sz w:val="19"/>
          <w:szCs w:val="19"/>
        </w:rPr>
        <w:t>The Company pays suppliers, where possible, within suppliers’ credit terms.</w:t>
      </w:r>
    </w:p>
    <w:p w:rsidR="00402E60" w:rsidRPr="003517C6" w:rsidRDefault="00402E60" w:rsidP="00402E60">
      <w:pPr>
        <w:spacing w:after="0"/>
        <w:jc w:val="left"/>
        <w:rPr>
          <w:rFonts w:ascii="Arial" w:eastAsia="Calibri" w:hAnsi="Arial" w:cs="Arial"/>
          <w:szCs w:val="19"/>
        </w:rPr>
      </w:pPr>
    </w:p>
    <w:p w:rsidR="00402E60" w:rsidRPr="003517C6" w:rsidRDefault="00402E60" w:rsidP="00402E60">
      <w:pPr>
        <w:spacing w:after="0"/>
        <w:jc w:val="left"/>
        <w:rPr>
          <w:rFonts w:ascii="Arial" w:eastAsia="Calibri" w:hAnsi="Arial" w:cs="Arial"/>
          <w:b/>
          <w:szCs w:val="19"/>
        </w:rPr>
      </w:pPr>
      <w:r w:rsidRPr="003517C6">
        <w:rPr>
          <w:rFonts w:ascii="Arial" w:eastAsia="Calibri" w:hAnsi="Arial" w:cs="Arial"/>
          <w:b/>
          <w:szCs w:val="19"/>
        </w:rPr>
        <w:t>Political Donations and Expenditure</w:t>
      </w:r>
    </w:p>
    <w:p w:rsidR="00402E60" w:rsidRPr="003517C6" w:rsidRDefault="00402E60" w:rsidP="00402E60">
      <w:pPr>
        <w:spacing w:after="0"/>
        <w:jc w:val="left"/>
        <w:rPr>
          <w:rFonts w:ascii="Arial" w:eastAsia="Calibri" w:hAnsi="Arial" w:cs="Arial"/>
          <w:szCs w:val="19"/>
        </w:rPr>
      </w:pPr>
    </w:p>
    <w:p w:rsidR="00402E60" w:rsidRPr="003517C6" w:rsidRDefault="00402E60" w:rsidP="00402E60">
      <w:pPr>
        <w:spacing w:after="0"/>
        <w:jc w:val="left"/>
        <w:rPr>
          <w:rFonts w:ascii="Arial" w:eastAsia="Calibri" w:hAnsi="Arial" w:cs="Arial"/>
          <w:sz w:val="19"/>
          <w:szCs w:val="19"/>
        </w:rPr>
      </w:pPr>
      <w:r w:rsidRPr="003517C6">
        <w:rPr>
          <w:rFonts w:ascii="Arial" w:eastAsia="Calibri" w:hAnsi="Arial" w:cs="Arial"/>
          <w:sz w:val="19"/>
          <w:szCs w:val="19"/>
        </w:rPr>
        <w:t xml:space="preserve">The Company made no political donations and did not incur any political expenditure in the year-ended 31 March 2015 (2014: £nil).  </w:t>
      </w:r>
    </w:p>
    <w:p w:rsidR="00402E60" w:rsidRPr="003517C6" w:rsidRDefault="00402E60" w:rsidP="00402E60">
      <w:pPr>
        <w:spacing w:after="0"/>
        <w:jc w:val="left"/>
        <w:rPr>
          <w:rFonts w:ascii="Arial" w:eastAsia="Calibri" w:hAnsi="Arial" w:cs="Arial"/>
          <w:b/>
          <w:szCs w:val="19"/>
        </w:rPr>
      </w:pPr>
    </w:p>
    <w:p w:rsidR="00402E60" w:rsidRPr="003517C6" w:rsidRDefault="00402E60" w:rsidP="00402E60">
      <w:pPr>
        <w:spacing w:after="0"/>
        <w:jc w:val="left"/>
        <w:rPr>
          <w:rFonts w:ascii="Arial" w:eastAsia="Calibri" w:hAnsi="Arial" w:cs="Arial"/>
          <w:b/>
          <w:szCs w:val="19"/>
        </w:rPr>
      </w:pPr>
      <w:r w:rsidRPr="003517C6">
        <w:rPr>
          <w:rFonts w:ascii="Arial" w:eastAsia="Calibri" w:hAnsi="Arial" w:cs="Arial"/>
          <w:b/>
          <w:szCs w:val="19"/>
        </w:rPr>
        <w:t>Employees with Disabilities</w:t>
      </w:r>
    </w:p>
    <w:p w:rsidR="00402E60" w:rsidRPr="003517C6" w:rsidRDefault="00402E60" w:rsidP="00402E60">
      <w:pPr>
        <w:spacing w:after="0"/>
        <w:jc w:val="left"/>
        <w:rPr>
          <w:rFonts w:ascii="Arial" w:eastAsia="Calibri" w:hAnsi="Arial" w:cs="Arial"/>
          <w:b/>
          <w:szCs w:val="19"/>
        </w:rPr>
      </w:pPr>
    </w:p>
    <w:p w:rsidR="00402E60" w:rsidRPr="003517C6" w:rsidRDefault="00402E60" w:rsidP="00402E60">
      <w:pPr>
        <w:spacing w:after="0"/>
        <w:jc w:val="left"/>
        <w:rPr>
          <w:rFonts w:ascii="Arial" w:eastAsia="Calibri" w:hAnsi="Arial" w:cs="Arial"/>
          <w:sz w:val="19"/>
          <w:szCs w:val="19"/>
        </w:rPr>
      </w:pPr>
      <w:r w:rsidRPr="003517C6">
        <w:rPr>
          <w:rFonts w:ascii="Arial" w:eastAsia="Calibri" w:hAnsi="Arial" w:cs="Arial"/>
          <w:sz w:val="19"/>
          <w:szCs w:val="19"/>
        </w:rPr>
        <w:t xml:space="preserve">The Company positively welcomes applications for recruitment from people with disabilities and has systems in place to ensure that any person with a disability is not disadvantaged in the recruitment process.  There are comprehensive support systems to ensure that, should an employee develop a disability whilst working for the Company, support will be provided to maximise the possibility of them being able to continue to work.  With advice and guidance from an occupational health service, a range of adaptions/changes to work patterns can be considered to enable staff to remain in employment.   All staff have access to a benefits package that includes financial support for optical and dental costs, and money back on a range of complementary treatments and a 24 hour employee assistance programme.  </w:t>
      </w:r>
    </w:p>
    <w:p w:rsidR="00402E60" w:rsidRDefault="00402E60" w:rsidP="00402E60">
      <w:pPr>
        <w:spacing w:after="0"/>
        <w:jc w:val="left"/>
        <w:rPr>
          <w:rFonts w:ascii="Arial" w:eastAsia="Calibri" w:hAnsi="Arial" w:cs="Arial"/>
          <w:b/>
          <w:szCs w:val="19"/>
        </w:rPr>
      </w:pPr>
    </w:p>
    <w:p w:rsidR="00900443" w:rsidRDefault="00900443" w:rsidP="00402E60">
      <w:pPr>
        <w:spacing w:after="0"/>
        <w:jc w:val="left"/>
        <w:rPr>
          <w:rFonts w:ascii="Arial" w:eastAsia="Calibri" w:hAnsi="Arial" w:cs="Arial"/>
          <w:b/>
          <w:szCs w:val="19"/>
        </w:rPr>
      </w:pPr>
    </w:p>
    <w:p w:rsidR="00900443" w:rsidRDefault="00900443" w:rsidP="00402E60">
      <w:pPr>
        <w:spacing w:after="0"/>
        <w:jc w:val="left"/>
        <w:rPr>
          <w:rFonts w:ascii="Arial" w:eastAsia="Calibri" w:hAnsi="Arial" w:cs="Arial"/>
          <w:b/>
          <w:szCs w:val="19"/>
        </w:rPr>
      </w:pPr>
    </w:p>
    <w:p w:rsidR="00900443" w:rsidRDefault="00900443" w:rsidP="00402E60">
      <w:pPr>
        <w:spacing w:after="0"/>
        <w:jc w:val="left"/>
        <w:rPr>
          <w:rFonts w:ascii="Arial" w:eastAsia="Calibri" w:hAnsi="Arial" w:cs="Arial"/>
          <w:b/>
          <w:szCs w:val="19"/>
        </w:rPr>
      </w:pPr>
    </w:p>
    <w:p w:rsidR="00900443" w:rsidRPr="00900443" w:rsidRDefault="00900443" w:rsidP="00900443">
      <w:pPr>
        <w:autoSpaceDE w:val="0"/>
        <w:autoSpaceDN w:val="0"/>
        <w:adjustRightInd w:val="0"/>
        <w:rPr>
          <w:rFonts w:ascii="Arial" w:hAnsi="Arial" w:cs="Arial"/>
          <w:b/>
          <w:bCs/>
          <w:sz w:val="19"/>
          <w:szCs w:val="19"/>
          <w:lang w:val="en-US"/>
        </w:rPr>
      </w:pPr>
      <w:r>
        <w:rPr>
          <w:rFonts w:ascii="Arial" w:hAnsi="Arial" w:cs="Arial"/>
          <w:b/>
          <w:bCs/>
          <w:sz w:val="19"/>
          <w:szCs w:val="19"/>
          <w:lang w:val="en-US"/>
        </w:rPr>
        <w:t>Director’s Report (continued)</w:t>
      </w:r>
    </w:p>
    <w:p w:rsidR="00402E60" w:rsidRPr="003517C6" w:rsidRDefault="00402E60" w:rsidP="00402E60">
      <w:pPr>
        <w:spacing w:after="0"/>
        <w:jc w:val="left"/>
        <w:rPr>
          <w:rFonts w:ascii="Arial" w:eastAsia="Calibri" w:hAnsi="Arial" w:cs="Arial"/>
          <w:b/>
          <w:szCs w:val="19"/>
        </w:rPr>
      </w:pPr>
      <w:r w:rsidRPr="003517C6">
        <w:rPr>
          <w:rFonts w:ascii="Arial" w:eastAsia="Calibri" w:hAnsi="Arial" w:cs="Arial"/>
          <w:b/>
          <w:szCs w:val="19"/>
        </w:rPr>
        <w:t>Employee Consultation</w:t>
      </w:r>
    </w:p>
    <w:p w:rsidR="00402E60" w:rsidRPr="003517C6" w:rsidRDefault="00402E60" w:rsidP="00402E60">
      <w:pPr>
        <w:spacing w:after="0"/>
        <w:jc w:val="left"/>
        <w:rPr>
          <w:rFonts w:ascii="Arial" w:eastAsia="Calibri" w:hAnsi="Arial" w:cs="Arial"/>
          <w:b/>
          <w:sz w:val="19"/>
          <w:szCs w:val="19"/>
        </w:rPr>
      </w:pPr>
    </w:p>
    <w:p w:rsidR="00402E60" w:rsidRPr="003517C6" w:rsidRDefault="00402E60" w:rsidP="00402E60">
      <w:pPr>
        <w:spacing w:after="0"/>
        <w:jc w:val="left"/>
        <w:rPr>
          <w:rFonts w:ascii="Arial" w:eastAsia="Calibri" w:hAnsi="Arial" w:cs="Arial"/>
          <w:sz w:val="19"/>
          <w:szCs w:val="19"/>
        </w:rPr>
      </w:pPr>
      <w:r w:rsidRPr="003517C6">
        <w:rPr>
          <w:rFonts w:ascii="Arial" w:eastAsia="Calibri" w:hAnsi="Arial" w:cs="Arial"/>
          <w:sz w:val="19"/>
          <w:szCs w:val="19"/>
        </w:rPr>
        <w:t>The Company has a strong and positive tradition of fully consulting with it recognised trades unions.  In 2012/13, a revised recognition agreement between management and the trades unions was implemented.  This sets out the ways in which management consults with the trades unions and ensures that the unions have appropriate facilities time to enable a constructive dialogue between us.  As well as formal consultation through our trades unions, there are a wide range of communication activities direct with our employees which have been designed to ensure that they are kept fully informed of the Company’s activities.  In 2013/14, there were monthly Company-wide Team Briefing sessions for all staff and a regular staff newsletter.  Feedback from staff is considered important to ensuring that our employees are consulted and engaged with all aspects of the development of the Company.  A major consultation exercise occurred at the beginning of the financial year around the new Company structure which was implemented in May 2013.</w:t>
      </w:r>
    </w:p>
    <w:p w:rsidR="00402E60" w:rsidRPr="003517C6" w:rsidRDefault="00402E60" w:rsidP="00402E60">
      <w:pPr>
        <w:spacing w:after="0"/>
        <w:jc w:val="left"/>
        <w:rPr>
          <w:rFonts w:ascii="Arial" w:eastAsia="Calibri" w:hAnsi="Arial" w:cs="Arial"/>
          <w:b/>
          <w:sz w:val="19"/>
          <w:szCs w:val="19"/>
        </w:rPr>
      </w:pPr>
    </w:p>
    <w:p w:rsidR="00402E60" w:rsidRPr="003517C6" w:rsidRDefault="00900443" w:rsidP="00402E60">
      <w:pPr>
        <w:spacing w:after="0"/>
        <w:jc w:val="left"/>
        <w:rPr>
          <w:rFonts w:ascii="Arial" w:eastAsia="Calibri" w:hAnsi="Arial" w:cs="Arial"/>
          <w:b/>
          <w:szCs w:val="19"/>
        </w:rPr>
      </w:pPr>
      <w:r>
        <w:rPr>
          <w:rFonts w:ascii="Arial" w:eastAsia="Calibri" w:hAnsi="Arial" w:cs="Arial"/>
          <w:b/>
          <w:szCs w:val="19"/>
        </w:rPr>
        <w:t>Auditor</w:t>
      </w:r>
    </w:p>
    <w:p w:rsidR="00402E60" w:rsidRPr="003517C6" w:rsidRDefault="00402E60" w:rsidP="00402E60">
      <w:pPr>
        <w:spacing w:after="0"/>
        <w:jc w:val="left"/>
        <w:rPr>
          <w:rFonts w:ascii="Arial" w:eastAsia="Calibri" w:hAnsi="Arial" w:cs="Arial"/>
          <w:b/>
          <w:szCs w:val="19"/>
        </w:rPr>
      </w:pPr>
    </w:p>
    <w:p w:rsidR="00402E60" w:rsidRPr="003517C6" w:rsidRDefault="00402E60" w:rsidP="00402E60">
      <w:pPr>
        <w:spacing w:after="0"/>
        <w:jc w:val="left"/>
        <w:rPr>
          <w:rFonts w:ascii="Arial" w:eastAsia="Calibri" w:hAnsi="Arial" w:cs="Arial"/>
          <w:sz w:val="19"/>
          <w:szCs w:val="19"/>
        </w:rPr>
      </w:pPr>
      <w:r w:rsidRPr="003517C6">
        <w:rPr>
          <w:rFonts w:ascii="Arial" w:eastAsia="Calibri" w:hAnsi="Arial" w:cs="Arial"/>
          <w:sz w:val="19"/>
          <w:szCs w:val="19"/>
        </w:rPr>
        <w:t>Each of the persons who is a Director at the date of this report confirms that:</w:t>
      </w:r>
    </w:p>
    <w:p w:rsidR="00402E60" w:rsidRPr="003517C6" w:rsidRDefault="00402E60" w:rsidP="00402E60">
      <w:pPr>
        <w:spacing w:after="0"/>
        <w:jc w:val="left"/>
        <w:rPr>
          <w:rFonts w:ascii="Arial" w:eastAsia="Calibri" w:hAnsi="Arial" w:cs="Arial"/>
          <w:sz w:val="19"/>
          <w:szCs w:val="19"/>
        </w:rPr>
      </w:pPr>
    </w:p>
    <w:p w:rsidR="00402E60" w:rsidRPr="003517C6" w:rsidRDefault="00402E60" w:rsidP="00402E60">
      <w:pPr>
        <w:numPr>
          <w:ilvl w:val="0"/>
          <w:numId w:val="37"/>
        </w:numPr>
        <w:spacing w:after="0"/>
        <w:jc w:val="left"/>
        <w:rPr>
          <w:rFonts w:ascii="Arial" w:eastAsia="Calibri" w:hAnsi="Arial" w:cs="Arial"/>
          <w:sz w:val="19"/>
          <w:szCs w:val="19"/>
        </w:rPr>
      </w:pPr>
      <w:r w:rsidRPr="003517C6">
        <w:rPr>
          <w:rFonts w:ascii="Arial" w:eastAsia="Calibri" w:hAnsi="Arial" w:cs="Arial"/>
          <w:sz w:val="19"/>
          <w:szCs w:val="19"/>
        </w:rPr>
        <w:t>so far as they are each aware, there is no relevant audit information to which th</w:t>
      </w:r>
      <w:r w:rsidR="00900443">
        <w:rPr>
          <w:rFonts w:ascii="Arial" w:eastAsia="Calibri" w:hAnsi="Arial" w:cs="Arial"/>
          <w:sz w:val="19"/>
          <w:szCs w:val="19"/>
        </w:rPr>
        <w:t>e Company’s Auditor is</w:t>
      </w:r>
      <w:r w:rsidRPr="003517C6">
        <w:rPr>
          <w:rFonts w:ascii="Arial" w:eastAsia="Calibri" w:hAnsi="Arial" w:cs="Arial"/>
          <w:sz w:val="19"/>
          <w:szCs w:val="19"/>
        </w:rPr>
        <w:t xml:space="preserve"> unaware; and </w:t>
      </w:r>
    </w:p>
    <w:p w:rsidR="00402E60" w:rsidRPr="003517C6" w:rsidRDefault="00402E60" w:rsidP="00402E60">
      <w:pPr>
        <w:numPr>
          <w:ilvl w:val="0"/>
          <w:numId w:val="37"/>
        </w:numPr>
        <w:spacing w:after="0"/>
        <w:jc w:val="left"/>
        <w:rPr>
          <w:rFonts w:ascii="Arial" w:eastAsia="Calibri" w:hAnsi="Arial" w:cs="Arial"/>
          <w:sz w:val="19"/>
          <w:szCs w:val="19"/>
        </w:rPr>
      </w:pPr>
      <w:r w:rsidRPr="003517C6">
        <w:rPr>
          <w:rFonts w:ascii="Arial" w:eastAsia="Calibri" w:hAnsi="Arial" w:cs="Arial"/>
          <w:sz w:val="19"/>
          <w:szCs w:val="19"/>
        </w:rPr>
        <w:t>the Director has taken all the necessary steps that he or she ought to have taken to make himself or herself aware of any relevant audit information and to estab</w:t>
      </w:r>
      <w:r w:rsidR="00900443">
        <w:rPr>
          <w:rFonts w:ascii="Arial" w:eastAsia="Calibri" w:hAnsi="Arial" w:cs="Arial"/>
          <w:sz w:val="19"/>
          <w:szCs w:val="19"/>
        </w:rPr>
        <w:t>lish that the Company’s Auditor is</w:t>
      </w:r>
      <w:r w:rsidRPr="003517C6">
        <w:rPr>
          <w:rFonts w:ascii="Arial" w:eastAsia="Calibri" w:hAnsi="Arial" w:cs="Arial"/>
          <w:sz w:val="19"/>
          <w:szCs w:val="19"/>
        </w:rPr>
        <w:t xml:space="preserve"> aware of that information.</w:t>
      </w:r>
    </w:p>
    <w:p w:rsidR="00402E60" w:rsidRPr="003517C6" w:rsidRDefault="00402E60" w:rsidP="00402E60">
      <w:pPr>
        <w:spacing w:after="0"/>
        <w:jc w:val="left"/>
        <w:rPr>
          <w:rFonts w:ascii="Arial" w:eastAsia="Calibri" w:hAnsi="Arial" w:cs="Arial"/>
          <w:sz w:val="19"/>
          <w:szCs w:val="19"/>
        </w:rPr>
      </w:pPr>
    </w:p>
    <w:p w:rsidR="00402E60" w:rsidRPr="003517C6" w:rsidRDefault="00402E60" w:rsidP="00402E60">
      <w:pPr>
        <w:spacing w:after="0"/>
        <w:jc w:val="left"/>
        <w:rPr>
          <w:rFonts w:ascii="Arial" w:eastAsia="Calibri" w:hAnsi="Arial" w:cs="Arial"/>
          <w:sz w:val="19"/>
          <w:szCs w:val="19"/>
        </w:rPr>
      </w:pPr>
      <w:r w:rsidRPr="003517C6">
        <w:rPr>
          <w:rFonts w:ascii="Arial" w:eastAsia="Calibri" w:hAnsi="Arial" w:cs="Arial"/>
          <w:sz w:val="19"/>
          <w:szCs w:val="19"/>
        </w:rPr>
        <w:t>This confirmation is given, and should be interpreted in accordance with, the provisions of s418 of the Companies Act 2006.</w:t>
      </w:r>
    </w:p>
    <w:p w:rsidR="00402E60" w:rsidRPr="003517C6" w:rsidRDefault="00402E60" w:rsidP="00402E60">
      <w:pPr>
        <w:spacing w:after="0"/>
        <w:jc w:val="left"/>
        <w:rPr>
          <w:rFonts w:ascii="Arial" w:eastAsia="Calibri" w:hAnsi="Arial" w:cs="Arial"/>
          <w:b/>
          <w:sz w:val="19"/>
          <w:szCs w:val="19"/>
        </w:rPr>
      </w:pPr>
    </w:p>
    <w:p w:rsidR="00402E60" w:rsidRPr="003517C6" w:rsidRDefault="00402E60" w:rsidP="00402E60">
      <w:pPr>
        <w:spacing w:after="0"/>
        <w:jc w:val="left"/>
        <w:rPr>
          <w:rFonts w:ascii="Arial" w:eastAsia="Calibri" w:hAnsi="Arial" w:cs="Arial"/>
          <w:b/>
          <w:szCs w:val="19"/>
        </w:rPr>
      </w:pPr>
      <w:r w:rsidRPr="003517C6">
        <w:rPr>
          <w:rFonts w:ascii="Arial" w:eastAsia="Calibri" w:hAnsi="Arial" w:cs="Arial"/>
          <w:b/>
          <w:szCs w:val="19"/>
        </w:rPr>
        <w:t>Going Concern</w:t>
      </w:r>
    </w:p>
    <w:p w:rsidR="00402E60" w:rsidRPr="003517C6" w:rsidRDefault="00402E60" w:rsidP="00402E60">
      <w:pPr>
        <w:spacing w:after="0"/>
        <w:jc w:val="left"/>
        <w:rPr>
          <w:rFonts w:ascii="Arial" w:eastAsia="Calibri" w:hAnsi="Arial" w:cs="Arial"/>
          <w:b/>
          <w:sz w:val="19"/>
          <w:szCs w:val="19"/>
        </w:rPr>
      </w:pPr>
    </w:p>
    <w:p w:rsidR="00402E60" w:rsidRDefault="004E7B2F" w:rsidP="00402E60">
      <w:pPr>
        <w:autoSpaceDE w:val="0"/>
        <w:autoSpaceDN w:val="0"/>
        <w:adjustRightInd w:val="0"/>
        <w:spacing w:after="0"/>
        <w:jc w:val="left"/>
        <w:rPr>
          <w:rFonts w:ascii="Arial" w:eastAsia="Calibri" w:hAnsi="Arial" w:cs="Arial"/>
          <w:sz w:val="19"/>
          <w:szCs w:val="19"/>
        </w:rPr>
      </w:pPr>
      <w:r>
        <w:rPr>
          <w:rFonts w:ascii="Arial" w:eastAsia="Calibri" w:hAnsi="Arial" w:cs="Arial"/>
          <w:sz w:val="19"/>
          <w:szCs w:val="19"/>
        </w:rPr>
        <w:t>The decision by Northumberland County Council to take direct control of housing management will have a significant impact on the role of Homes for Northumberland Limited going forwards. Specifically, it is planned that, for the foreseeable future, the Company will exist as a corporate vehicle only to hold the Company’s housing assets in Allendale.</w:t>
      </w:r>
    </w:p>
    <w:p w:rsidR="004E7B2F" w:rsidRDefault="004E7B2F" w:rsidP="00402E60">
      <w:pPr>
        <w:autoSpaceDE w:val="0"/>
        <w:autoSpaceDN w:val="0"/>
        <w:adjustRightInd w:val="0"/>
        <w:spacing w:after="0"/>
        <w:jc w:val="left"/>
        <w:rPr>
          <w:rFonts w:ascii="Arial" w:eastAsia="Calibri" w:hAnsi="Arial" w:cs="Arial"/>
          <w:sz w:val="19"/>
          <w:szCs w:val="19"/>
        </w:rPr>
      </w:pPr>
    </w:p>
    <w:p w:rsidR="004E7B2F" w:rsidRDefault="004E7B2F" w:rsidP="00402E60">
      <w:pPr>
        <w:autoSpaceDE w:val="0"/>
        <w:autoSpaceDN w:val="0"/>
        <w:adjustRightInd w:val="0"/>
        <w:spacing w:after="0"/>
        <w:jc w:val="left"/>
        <w:rPr>
          <w:rFonts w:ascii="Arial" w:eastAsia="Calibri" w:hAnsi="Arial" w:cs="Arial"/>
          <w:sz w:val="19"/>
          <w:szCs w:val="19"/>
        </w:rPr>
      </w:pPr>
      <w:r>
        <w:rPr>
          <w:rFonts w:ascii="Arial" w:eastAsia="Calibri" w:hAnsi="Arial" w:cs="Arial"/>
          <w:sz w:val="19"/>
          <w:szCs w:val="19"/>
        </w:rPr>
        <w:t>The Board therefore has a reasonable expectation that the Company has adequate resources to continue to operate for the foreseeable future. For this reason, it continues to adopt the going concern basis in preparing the financial statements.</w:t>
      </w:r>
    </w:p>
    <w:p w:rsidR="004E7B2F" w:rsidRDefault="004E7B2F" w:rsidP="00402E60">
      <w:pPr>
        <w:autoSpaceDE w:val="0"/>
        <w:autoSpaceDN w:val="0"/>
        <w:adjustRightInd w:val="0"/>
        <w:spacing w:after="0"/>
        <w:jc w:val="left"/>
        <w:rPr>
          <w:rFonts w:ascii="Arial" w:eastAsia="Calibri" w:hAnsi="Arial" w:cs="Arial"/>
          <w:sz w:val="19"/>
          <w:szCs w:val="19"/>
        </w:rPr>
      </w:pPr>
    </w:p>
    <w:p w:rsidR="004E7B2F" w:rsidRDefault="004E7B2F" w:rsidP="00402E60">
      <w:pPr>
        <w:autoSpaceDE w:val="0"/>
        <w:autoSpaceDN w:val="0"/>
        <w:adjustRightInd w:val="0"/>
        <w:spacing w:after="0"/>
        <w:jc w:val="left"/>
        <w:rPr>
          <w:rFonts w:ascii="Arial" w:eastAsia="Calibri" w:hAnsi="Arial" w:cs="Arial"/>
          <w:sz w:val="19"/>
          <w:szCs w:val="19"/>
        </w:rPr>
      </w:pPr>
      <w:r>
        <w:rPr>
          <w:rFonts w:ascii="Arial" w:eastAsia="Calibri" w:hAnsi="Arial" w:cs="Arial"/>
          <w:sz w:val="19"/>
          <w:szCs w:val="19"/>
        </w:rPr>
        <w:t>Further detail regarding the adoption of the going concern basis can be found in Note 1 – the Statement of Accounting Policies in the financial statements.</w:t>
      </w:r>
    </w:p>
    <w:p w:rsidR="004E7B2F" w:rsidRDefault="004E7B2F" w:rsidP="00402E60">
      <w:pPr>
        <w:autoSpaceDE w:val="0"/>
        <w:autoSpaceDN w:val="0"/>
        <w:adjustRightInd w:val="0"/>
        <w:spacing w:after="0"/>
        <w:jc w:val="left"/>
        <w:rPr>
          <w:rFonts w:ascii="Arial" w:eastAsia="Calibri" w:hAnsi="Arial" w:cs="Arial"/>
          <w:sz w:val="19"/>
          <w:szCs w:val="19"/>
        </w:rPr>
      </w:pPr>
    </w:p>
    <w:p w:rsidR="004E7B2F" w:rsidRPr="003517C6" w:rsidRDefault="004E7B2F" w:rsidP="00402E60">
      <w:pPr>
        <w:autoSpaceDE w:val="0"/>
        <w:autoSpaceDN w:val="0"/>
        <w:adjustRightInd w:val="0"/>
        <w:spacing w:after="0"/>
        <w:jc w:val="left"/>
      </w:pPr>
      <w:r>
        <w:rPr>
          <w:rFonts w:ascii="Arial" w:eastAsia="Calibri" w:hAnsi="Arial" w:cs="Arial"/>
          <w:sz w:val="19"/>
          <w:szCs w:val="19"/>
        </w:rPr>
        <w:t>The Director’s report, including the Strategic Report, was approved by the Board and signed on its behalf by:</w:t>
      </w:r>
    </w:p>
    <w:p w:rsidR="00402E60" w:rsidRPr="003517C6" w:rsidRDefault="00402E60" w:rsidP="00402E60">
      <w:pPr>
        <w:autoSpaceDE w:val="0"/>
        <w:autoSpaceDN w:val="0"/>
        <w:adjustRightInd w:val="0"/>
        <w:spacing w:after="0"/>
        <w:jc w:val="left"/>
      </w:pPr>
    </w:p>
    <w:p w:rsidR="00402E60" w:rsidRPr="003517C6" w:rsidRDefault="00402E60" w:rsidP="00402E60">
      <w:pPr>
        <w:autoSpaceDE w:val="0"/>
        <w:autoSpaceDN w:val="0"/>
        <w:adjustRightInd w:val="0"/>
        <w:spacing w:after="0"/>
        <w:jc w:val="left"/>
      </w:pPr>
    </w:p>
    <w:p w:rsidR="00402E60" w:rsidRDefault="00402E60" w:rsidP="00402E60">
      <w:pPr>
        <w:autoSpaceDE w:val="0"/>
        <w:autoSpaceDN w:val="0"/>
        <w:adjustRightInd w:val="0"/>
        <w:spacing w:after="0"/>
        <w:jc w:val="left"/>
      </w:pPr>
    </w:p>
    <w:p w:rsidR="00ED441A" w:rsidRPr="00ED441A" w:rsidRDefault="00ED441A" w:rsidP="00402E60">
      <w:pPr>
        <w:autoSpaceDE w:val="0"/>
        <w:autoSpaceDN w:val="0"/>
        <w:adjustRightInd w:val="0"/>
        <w:spacing w:after="0"/>
        <w:jc w:val="left"/>
        <w:rPr>
          <w:rFonts w:ascii="Arial" w:eastAsia="Calibri" w:hAnsi="Arial" w:cs="Arial"/>
          <w:sz w:val="19"/>
          <w:szCs w:val="19"/>
        </w:rPr>
      </w:pPr>
      <w:r w:rsidRPr="00ED441A">
        <w:rPr>
          <w:rFonts w:ascii="Arial" w:eastAsia="Calibri" w:hAnsi="Arial" w:cs="Arial"/>
          <w:sz w:val="19"/>
          <w:szCs w:val="19"/>
        </w:rPr>
        <w:t>Geoff Paul</w:t>
      </w:r>
    </w:p>
    <w:p w:rsidR="00402E60" w:rsidRPr="00070D17" w:rsidRDefault="00402E60" w:rsidP="00402E60">
      <w:pPr>
        <w:rPr>
          <w:rFonts w:ascii="Arial" w:eastAsia="Calibri" w:hAnsi="Arial" w:cs="Arial"/>
          <w:sz w:val="19"/>
          <w:szCs w:val="19"/>
        </w:rPr>
      </w:pPr>
      <w:r w:rsidRPr="003517C6">
        <w:rPr>
          <w:rFonts w:ascii="Arial" w:eastAsia="Calibri" w:hAnsi="Arial" w:cs="Arial"/>
          <w:sz w:val="19"/>
          <w:szCs w:val="19"/>
        </w:rPr>
        <w:t>Chair</w:t>
      </w:r>
    </w:p>
    <w:p w:rsidR="00402E60" w:rsidRPr="00070D17" w:rsidRDefault="00402E60" w:rsidP="00402E60">
      <w:pPr>
        <w:autoSpaceDE w:val="0"/>
        <w:autoSpaceDN w:val="0"/>
        <w:adjustRightInd w:val="0"/>
        <w:spacing w:after="0"/>
        <w:jc w:val="left"/>
        <w:rPr>
          <w:rFonts w:ascii="Arial" w:hAnsi="Arial" w:cs="Arial"/>
          <w:b/>
          <w:bCs/>
          <w:sz w:val="19"/>
          <w:szCs w:val="19"/>
          <w:lang w:val="en-US"/>
        </w:rPr>
      </w:pPr>
    </w:p>
    <w:p w:rsidR="00BE5A6A" w:rsidRPr="00322CF4" w:rsidRDefault="00402E60" w:rsidP="00402E60">
      <w:pPr>
        <w:autoSpaceDE w:val="0"/>
        <w:autoSpaceDN w:val="0"/>
        <w:adjustRightInd w:val="0"/>
        <w:rPr>
          <w:rFonts w:ascii="Arial" w:hAnsi="Arial" w:cs="Arial"/>
          <w:b/>
          <w:bCs/>
          <w:sz w:val="24"/>
          <w:szCs w:val="19"/>
          <w:lang w:val="en-US"/>
        </w:rPr>
      </w:pPr>
      <w:r w:rsidRPr="00070D17">
        <w:rPr>
          <w:rFonts w:ascii="Arial" w:hAnsi="Arial" w:cs="Arial"/>
          <w:b/>
          <w:bCs/>
          <w:sz w:val="19"/>
          <w:szCs w:val="19"/>
          <w:lang w:val="en-US"/>
        </w:rPr>
        <w:br w:type="page"/>
      </w:r>
      <w:r w:rsidR="00C020BA">
        <w:rPr>
          <w:rFonts w:ascii="Arial" w:hAnsi="Arial" w:cs="Arial"/>
          <w:b/>
          <w:bCs/>
          <w:sz w:val="24"/>
          <w:szCs w:val="19"/>
          <w:lang w:val="en-US"/>
        </w:rPr>
        <w:lastRenderedPageBreak/>
        <w:t>Directors’ Responsibilities</w:t>
      </w:r>
      <w:r w:rsidR="00BE5A6A" w:rsidRPr="00322CF4">
        <w:rPr>
          <w:rFonts w:ascii="Arial" w:hAnsi="Arial" w:cs="Arial"/>
          <w:b/>
          <w:bCs/>
          <w:sz w:val="24"/>
          <w:szCs w:val="19"/>
          <w:lang w:val="en-US"/>
        </w:rPr>
        <w:t xml:space="preserve"> Statement</w:t>
      </w:r>
    </w:p>
    <w:p w:rsidR="00314EC5" w:rsidRPr="00314EC5" w:rsidRDefault="00314EC5" w:rsidP="00314EC5">
      <w:pPr>
        <w:autoSpaceDE w:val="0"/>
        <w:autoSpaceDN w:val="0"/>
        <w:adjustRightInd w:val="0"/>
        <w:spacing w:after="0"/>
        <w:jc w:val="left"/>
        <w:rPr>
          <w:rFonts w:ascii="Arial" w:hAnsi="Arial" w:cs="Arial"/>
          <w:b/>
          <w:bCs/>
          <w:sz w:val="19"/>
          <w:szCs w:val="19"/>
          <w:lang w:val="en-US"/>
        </w:rPr>
      </w:pPr>
    </w:p>
    <w:p w:rsidR="00BE5A6A" w:rsidRPr="00411081" w:rsidRDefault="00BE5A6A" w:rsidP="00314EC5">
      <w:pPr>
        <w:spacing w:after="0"/>
        <w:jc w:val="left"/>
        <w:rPr>
          <w:rFonts w:ascii="Arial" w:hAnsi="Arial" w:cs="Arial"/>
          <w:sz w:val="19"/>
          <w:szCs w:val="19"/>
          <w:lang w:val="en-US"/>
        </w:rPr>
      </w:pPr>
      <w:r w:rsidRPr="00411081">
        <w:rPr>
          <w:rFonts w:ascii="Arial" w:hAnsi="Arial" w:cs="Arial"/>
          <w:sz w:val="19"/>
          <w:szCs w:val="19"/>
          <w:lang w:val="en-US"/>
        </w:rPr>
        <w:t>The Directors are responsible for preparing the Annual Report and the financial statements in accordance with applicable law and regulations.</w:t>
      </w:r>
    </w:p>
    <w:p w:rsidR="00BE5A6A" w:rsidRPr="00411081" w:rsidRDefault="00BE5A6A" w:rsidP="00314EC5">
      <w:pPr>
        <w:spacing w:after="0"/>
        <w:jc w:val="left"/>
        <w:rPr>
          <w:rFonts w:ascii="Arial" w:hAnsi="Arial" w:cs="Arial"/>
          <w:sz w:val="19"/>
          <w:szCs w:val="19"/>
          <w:lang w:val="en-US"/>
        </w:rPr>
      </w:pPr>
    </w:p>
    <w:p w:rsidR="00BE5A6A" w:rsidRPr="00411081" w:rsidRDefault="00201B4C" w:rsidP="00314EC5">
      <w:pPr>
        <w:spacing w:after="0"/>
        <w:jc w:val="left"/>
        <w:rPr>
          <w:rFonts w:ascii="Arial" w:hAnsi="Arial" w:cs="Arial"/>
          <w:sz w:val="19"/>
          <w:szCs w:val="19"/>
          <w:lang w:val="en-US"/>
        </w:rPr>
      </w:pPr>
      <w:r w:rsidRPr="00411081">
        <w:rPr>
          <w:rFonts w:ascii="Arial" w:hAnsi="Arial" w:cs="Arial"/>
          <w:sz w:val="19"/>
          <w:szCs w:val="19"/>
          <w:lang w:val="en-US"/>
        </w:rPr>
        <w:t>Company</w:t>
      </w:r>
      <w:r w:rsidR="00BE5A6A" w:rsidRPr="00411081">
        <w:rPr>
          <w:rFonts w:ascii="Arial" w:hAnsi="Arial" w:cs="Arial"/>
          <w:sz w:val="19"/>
          <w:szCs w:val="19"/>
          <w:lang w:val="en-US"/>
        </w:rPr>
        <w:t xml:space="preserve"> law requires the Directors to prepare financial statements for each financial year.  Under that law the Directors have elected to prepare the financial statements in accordance with United Kingdom Generally Accepted Accounting Practice (United Kingdom Accounting Standards and applicable law).  Under </w:t>
      </w:r>
      <w:r w:rsidRPr="00411081">
        <w:rPr>
          <w:rFonts w:ascii="Arial" w:hAnsi="Arial" w:cs="Arial"/>
          <w:sz w:val="19"/>
          <w:szCs w:val="19"/>
          <w:lang w:val="en-US"/>
        </w:rPr>
        <w:t>Company</w:t>
      </w:r>
      <w:r w:rsidR="00BE5A6A" w:rsidRPr="00411081">
        <w:rPr>
          <w:rFonts w:ascii="Arial" w:hAnsi="Arial" w:cs="Arial"/>
          <w:sz w:val="19"/>
          <w:szCs w:val="19"/>
          <w:lang w:val="en-US"/>
        </w:rPr>
        <w:t xml:space="preserve"> law the Directors must not approve the financial statements unless they are satisfied that they give a true and fair view of the state of affairs of the </w:t>
      </w:r>
      <w:r w:rsidRPr="00411081">
        <w:rPr>
          <w:rFonts w:ascii="Arial" w:hAnsi="Arial" w:cs="Arial"/>
          <w:sz w:val="19"/>
          <w:szCs w:val="19"/>
          <w:lang w:val="en-US"/>
        </w:rPr>
        <w:t>Company</w:t>
      </w:r>
      <w:r w:rsidR="00BE5A6A" w:rsidRPr="00411081">
        <w:rPr>
          <w:rFonts w:ascii="Arial" w:hAnsi="Arial" w:cs="Arial"/>
          <w:sz w:val="19"/>
          <w:szCs w:val="19"/>
          <w:lang w:val="en-US"/>
        </w:rPr>
        <w:t xml:space="preserve"> and of the profit or loss of the </w:t>
      </w:r>
      <w:r w:rsidRPr="00411081">
        <w:rPr>
          <w:rFonts w:ascii="Arial" w:hAnsi="Arial" w:cs="Arial"/>
          <w:sz w:val="19"/>
          <w:szCs w:val="19"/>
          <w:lang w:val="en-US"/>
        </w:rPr>
        <w:t>Company</w:t>
      </w:r>
      <w:r w:rsidR="00BE5A6A" w:rsidRPr="00411081">
        <w:rPr>
          <w:rFonts w:ascii="Arial" w:hAnsi="Arial" w:cs="Arial"/>
          <w:sz w:val="19"/>
          <w:szCs w:val="19"/>
          <w:lang w:val="en-US"/>
        </w:rPr>
        <w:t xml:space="preserve"> for that period.  In preparing these financial statements, the Directors are required to:</w:t>
      </w:r>
    </w:p>
    <w:p w:rsidR="00314EC5" w:rsidRPr="00411081" w:rsidRDefault="00314EC5" w:rsidP="00314EC5">
      <w:pPr>
        <w:spacing w:after="0"/>
        <w:jc w:val="left"/>
        <w:rPr>
          <w:rFonts w:ascii="Arial" w:hAnsi="Arial" w:cs="Arial"/>
          <w:sz w:val="19"/>
          <w:szCs w:val="19"/>
          <w:lang w:val="en-US"/>
        </w:rPr>
      </w:pPr>
    </w:p>
    <w:p w:rsidR="00BE5A6A" w:rsidRPr="00411081" w:rsidRDefault="00BE5A6A" w:rsidP="00314EC5">
      <w:pPr>
        <w:numPr>
          <w:ilvl w:val="0"/>
          <w:numId w:val="15"/>
        </w:numPr>
        <w:spacing w:after="0"/>
        <w:jc w:val="left"/>
        <w:rPr>
          <w:rFonts w:ascii="Arial" w:hAnsi="Arial" w:cs="Arial"/>
          <w:sz w:val="19"/>
          <w:szCs w:val="19"/>
          <w:lang w:val="en-US"/>
        </w:rPr>
      </w:pPr>
      <w:r w:rsidRPr="00411081">
        <w:rPr>
          <w:rFonts w:ascii="Arial" w:hAnsi="Arial" w:cs="Arial"/>
          <w:sz w:val="19"/>
          <w:szCs w:val="19"/>
          <w:lang w:val="en-US"/>
        </w:rPr>
        <w:t>select suitable accounting policies and then apply them consistently;</w:t>
      </w:r>
    </w:p>
    <w:p w:rsidR="00BE5A6A" w:rsidRPr="00411081" w:rsidRDefault="00BE5A6A" w:rsidP="00314EC5">
      <w:pPr>
        <w:numPr>
          <w:ilvl w:val="0"/>
          <w:numId w:val="15"/>
        </w:numPr>
        <w:spacing w:after="0"/>
        <w:jc w:val="left"/>
        <w:rPr>
          <w:rFonts w:ascii="Arial" w:hAnsi="Arial" w:cs="Arial"/>
          <w:sz w:val="19"/>
          <w:szCs w:val="19"/>
          <w:lang w:val="en-US"/>
        </w:rPr>
      </w:pPr>
      <w:r w:rsidRPr="00411081">
        <w:rPr>
          <w:rFonts w:ascii="Arial" w:hAnsi="Arial" w:cs="Arial"/>
          <w:sz w:val="19"/>
          <w:szCs w:val="19"/>
          <w:lang w:val="en-US"/>
        </w:rPr>
        <w:t>make judgments and accounting estimates that are reasonable and prudent;</w:t>
      </w:r>
    </w:p>
    <w:p w:rsidR="00BE5A6A" w:rsidRPr="00411081" w:rsidRDefault="00BE5A6A" w:rsidP="00314EC5">
      <w:pPr>
        <w:numPr>
          <w:ilvl w:val="0"/>
          <w:numId w:val="15"/>
        </w:numPr>
        <w:spacing w:after="0"/>
        <w:jc w:val="left"/>
        <w:rPr>
          <w:rFonts w:ascii="Arial" w:hAnsi="Arial" w:cs="Arial"/>
          <w:sz w:val="19"/>
          <w:szCs w:val="19"/>
          <w:lang w:val="en-US"/>
        </w:rPr>
      </w:pPr>
      <w:r w:rsidRPr="00411081">
        <w:rPr>
          <w:rFonts w:ascii="Arial" w:hAnsi="Arial" w:cs="Arial"/>
          <w:sz w:val="19"/>
          <w:szCs w:val="19"/>
          <w:lang w:val="en-US"/>
        </w:rPr>
        <w:t>state whether applicable UK Accounting Standards have been followed, subject to any material departures disclosed and explained in the financial statements; and</w:t>
      </w:r>
    </w:p>
    <w:p w:rsidR="00BE5A6A" w:rsidRPr="00411081" w:rsidRDefault="00BE5A6A" w:rsidP="00314EC5">
      <w:pPr>
        <w:numPr>
          <w:ilvl w:val="0"/>
          <w:numId w:val="15"/>
        </w:numPr>
        <w:spacing w:after="0"/>
        <w:jc w:val="left"/>
        <w:rPr>
          <w:rFonts w:ascii="Arial" w:hAnsi="Arial" w:cs="Arial"/>
          <w:sz w:val="19"/>
          <w:szCs w:val="19"/>
          <w:lang w:val="en-US"/>
        </w:rPr>
      </w:pPr>
      <w:r w:rsidRPr="00411081">
        <w:rPr>
          <w:rFonts w:ascii="Arial" w:hAnsi="Arial" w:cs="Arial"/>
          <w:sz w:val="19"/>
          <w:szCs w:val="19"/>
          <w:lang w:val="en-US"/>
        </w:rPr>
        <w:t xml:space="preserve">prepare the financial statements on the going concern basis unless it is inappropriate to presume that the </w:t>
      </w:r>
      <w:r w:rsidR="00201B4C" w:rsidRPr="00411081">
        <w:rPr>
          <w:rFonts w:ascii="Arial" w:hAnsi="Arial" w:cs="Arial"/>
          <w:sz w:val="19"/>
          <w:szCs w:val="19"/>
          <w:lang w:val="en-US"/>
        </w:rPr>
        <w:t>Company</w:t>
      </w:r>
      <w:r w:rsidRPr="00411081">
        <w:rPr>
          <w:rFonts w:ascii="Arial" w:hAnsi="Arial" w:cs="Arial"/>
          <w:sz w:val="19"/>
          <w:szCs w:val="19"/>
          <w:lang w:val="en-US"/>
        </w:rPr>
        <w:t xml:space="preserve"> will continue in business.</w:t>
      </w:r>
    </w:p>
    <w:p w:rsidR="00BE5A6A" w:rsidRPr="00411081" w:rsidRDefault="00BE5A6A" w:rsidP="00314EC5">
      <w:pPr>
        <w:spacing w:after="0"/>
        <w:jc w:val="left"/>
        <w:rPr>
          <w:rFonts w:ascii="Arial" w:hAnsi="Arial" w:cs="Arial"/>
          <w:sz w:val="19"/>
          <w:szCs w:val="19"/>
          <w:lang w:val="en-US"/>
        </w:rPr>
      </w:pPr>
    </w:p>
    <w:p w:rsidR="00BE5A6A" w:rsidRPr="00411081" w:rsidRDefault="00BE5A6A" w:rsidP="00314EC5">
      <w:pPr>
        <w:spacing w:after="0"/>
        <w:jc w:val="left"/>
        <w:rPr>
          <w:rFonts w:ascii="Arial" w:hAnsi="Arial" w:cs="Arial"/>
          <w:sz w:val="19"/>
          <w:szCs w:val="19"/>
          <w:lang w:val="en-US"/>
        </w:rPr>
      </w:pPr>
      <w:r w:rsidRPr="00411081">
        <w:rPr>
          <w:rFonts w:ascii="Arial" w:hAnsi="Arial" w:cs="Arial"/>
          <w:sz w:val="19"/>
          <w:szCs w:val="19"/>
          <w:lang w:val="en-US"/>
        </w:rPr>
        <w:t xml:space="preserve">The Directors are responsible for keeping adequate accounting records that are sufficient to show and explain the </w:t>
      </w:r>
      <w:r w:rsidR="00201B4C" w:rsidRPr="00411081">
        <w:rPr>
          <w:rFonts w:ascii="Arial" w:hAnsi="Arial" w:cs="Arial"/>
          <w:sz w:val="19"/>
          <w:szCs w:val="19"/>
          <w:lang w:val="en-US"/>
        </w:rPr>
        <w:t>Company</w:t>
      </w:r>
      <w:r w:rsidRPr="00411081">
        <w:rPr>
          <w:rFonts w:ascii="Arial" w:hAnsi="Arial" w:cs="Arial"/>
          <w:sz w:val="19"/>
          <w:szCs w:val="19"/>
          <w:lang w:val="en-US"/>
        </w:rPr>
        <w:t xml:space="preserve">’s transactions and disclose with reasonable accuracy at any time the financial position of the </w:t>
      </w:r>
      <w:r w:rsidR="00201B4C" w:rsidRPr="00411081">
        <w:rPr>
          <w:rFonts w:ascii="Arial" w:hAnsi="Arial" w:cs="Arial"/>
          <w:sz w:val="19"/>
          <w:szCs w:val="19"/>
          <w:lang w:val="en-US"/>
        </w:rPr>
        <w:t>Company</w:t>
      </w:r>
      <w:r w:rsidRPr="00411081">
        <w:rPr>
          <w:rFonts w:ascii="Arial" w:hAnsi="Arial" w:cs="Arial"/>
          <w:sz w:val="19"/>
          <w:szCs w:val="19"/>
          <w:lang w:val="en-US"/>
        </w:rPr>
        <w:t xml:space="preserve"> and enable them to ensure that the financial statements comply with the Companies Act 2006.  They are also responsible for safeguarding the assets of the </w:t>
      </w:r>
      <w:r w:rsidR="00201B4C" w:rsidRPr="00411081">
        <w:rPr>
          <w:rFonts w:ascii="Arial" w:hAnsi="Arial" w:cs="Arial"/>
          <w:sz w:val="19"/>
          <w:szCs w:val="19"/>
          <w:lang w:val="en-US"/>
        </w:rPr>
        <w:t>Company</w:t>
      </w:r>
      <w:r w:rsidRPr="00411081">
        <w:rPr>
          <w:rFonts w:ascii="Arial" w:hAnsi="Arial" w:cs="Arial"/>
          <w:sz w:val="19"/>
          <w:szCs w:val="19"/>
          <w:lang w:val="en-US"/>
        </w:rPr>
        <w:t xml:space="preserve"> and hence for taking reasonable steps for the prevention and detection of fraud and other irregularities.</w:t>
      </w:r>
    </w:p>
    <w:p w:rsidR="00314EC5" w:rsidRPr="00411081" w:rsidRDefault="00314EC5" w:rsidP="00314EC5">
      <w:pPr>
        <w:spacing w:after="0"/>
        <w:jc w:val="left"/>
        <w:rPr>
          <w:rFonts w:ascii="Arial" w:hAnsi="Arial" w:cs="Arial"/>
          <w:sz w:val="19"/>
          <w:szCs w:val="19"/>
          <w:lang w:val="en-US"/>
        </w:rPr>
      </w:pPr>
    </w:p>
    <w:p w:rsidR="00BE5A6A" w:rsidRPr="00411081" w:rsidRDefault="00BE5A6A" w:rsidP="00314EC5">
      <w:pPr>
        <w:spacing w:after="0"/>
        <w:jc w:val="left"/>
        <w:rPr>
          <w:rFonts w:ascii="Arial" w:hAnsi="Arial" w:cs="Arial"/>
          <w:sz w:val="19"/>
          <w:szCs w:val="19"/>
          <w:lang w:val="en-US"/>
        </w:rPr>
      </w:pPr>
      <w:r w:rsidRPr="00411081">
        <w:rPr>
          <w:rFonts w:ascii="Arial" w:hAnsi="Arial" w:cs="Arial"/>
          <w:sz w:val="19"/>
          <w:szCs w:val="19"/>
          <w:lang w:val="en-US"/>
        </w:rPr>
        <w:t xml:space="preserve">The Directors are responsible for the maintenance and integrity of the corporate and financial information included on the </w:t>
      </w:r>
      <w:r w:rsidR="00201B4C" w:rsidRPr="00411081">
        <w:rPr>
          <w:rFonts w:ascii="Arial" w:hAnsi="Arial" w:cs="Arial"/>
          <w:sz w:val="19"/>
          <w:szCs w:val="19"/>
          <w:lang w:val="en-US"/>
        </w:rPr>
        <w:t>Company</w:t>
      </w:r>
      <w:r w:rsidRPr="00411081">
        <w:rPr>
          <w:rFonts w:ascii="Arial" w:hAnsi="Arial" w:cs="Arial"/>
          <w:sz w:val="19"/>
          <w:szCs w:val="19"/>
          <w:lang w:val="en-US"/>
        </w:rPr>
        <w:t>’s website.  Legislation in the United Kingdom governing the preparation and dissemination of financial statements may differ from legislation in other jurisdictions.</w:t>
      </w:r>
    </w:p>
    <w:p w:rsidR="00314EC5" w:rsidRPr="00411081" w:rsidRDefault="00314EC5" w:rsidP="00314EC5">
      <w:pPr>
        <w:spacing w:after="0"/>
        <w:jc w:val="left"/>
        <w:rPr>
          <w:rFonts w:ascii="Arial" w:hAnsi="Arial" w:cs="Arial"/>
          <w:sz w:val="19"/>
          <w:szCs w:val="19"/>
          <w:lang w:val="en-US"/>
        </w:rPr>
      </w:pPr>
    </w:p>
    <w:p w:rsidR="00BE5A6A" w:rsidRPr="00411081" w:rsidRDefault="00BE5A6A" w:rsidP="00314EC5">
      <w:pPr>
        <w:spacing w:after="0"/>
        <w:jc w:val="left"/>
        <w:rPr>
          <w:rFonts w:ascii="Arial" w:eastAsia="Calibri" w:hAnsi="Arial" w:cs="Arial"/>
          <w:sz w:val="19"/>
          <w:szCs w:val="19"/>
        </w:rPr>
      </w:pPr>
      <w:r w:rsidRPr="00411081">
        <w:rPr>
          <w:rFonts w:ascii="Arial" w:eastAsia="Calibri" w:hAnsi="Arial" w:cs="Arial"/>
          <w:sz w:val="19"/>
          <w:szCs w:val="19"/>
        </w:rPr>
        <w:t>By order of the Board and signed on its behalf.</w:t>
      </w:r>
    </w:p>
    <w:p w:rsidR="00BE5A6A" w:rsidRPr="00411081" w:rsidRDefault="00BE5A6A" w:rsidP="003A1BD9">
      <w:pPr>
        <w:rPr>
          <w:rFonts w:ascii="Arial" w:eastAsia="Calibri" w:hAnsi="Arial" w:cs="Arial"/>
          <w:sz w:val="19"/>
          <w:szCs w:val="19"/>
        </w:rPr>
      </w:pPr>
    </w:p>
    <w:p w:rsidR="00BE5A6A" w:rsidRPr="00411081" w:rsidRDefault="00BE5A6A" w:rsidP="003A1BD9">
      <w:pPr>
        <w:rPr>
          <w:rFonts w:ascii="Arial" w:eastAsia="Calibri" w:hAnsi="Arial" w:cs="Arial"/>
          <w:sz w:val="19"/>
          <w:szCs w:val="19"/>
        </w:rPr>
      </w:pPr>
    </w:p>
    <w:p w:rsidR="00BE5A6A" w:rsidRPr="00411081" w:rsidRDefault="00BE5A6A" w:rsidP="003A1BD9">
      <w:pPr>
        <w:rPr>
          <w:rFonts w:ascii="Arial" w:eastAsia="Calibri" w:hAnsi="Arial" w:cs="Arial"/>
          <w:sz w:val="19"/>
          <w:szCs w:val="19"/>
        </w:rPr>
      </w:pPr>
    </w:p>
    <w:p w:rsidR="00BE5A6A" w:rsidRPr="00411081" w:rsidRDefault="00BE5A6A" w:rsidP="003A1BD9">
      <w:pPr>
        <w:rPr>
          <w:rFonts w:ascii="Arial" w:eastAsia="Calibri" w:hAnsi="Arial" w:cs="Arial"/>
          <w:sz w:val="19"/>
          <w:szCs w:val="19"/>
        </w:rPr>
      </w:pPr>
    </w:p>
    <w:p w:rsidR="003B27DC" w:rsidRPr="00ED441A" w:rsidRDefault="003B27DC" w:rsidP="003B27DC">
      <w:pPr>
        <w:autoSpaceDE w:val="0"/>
        <w:autoSpaceDN w:val="0"/>
        <w:adjustRightInd w:val="0"/>
        <w:spacing w:after="0"/>
        <w:jc w:val="left"/>
        <w:rPr>
          <w:rFonts w:ascii="Arial" w:eastAsia="Calibri" w:hAnsi="Arial" w:cs="Arial"/>
          <w:sz w:val="19"/>
          <w:szCs w:val="19"/>
        </w:rPr>
      </w:pPr>
      <w:r w:rsidRPr="00ED441A">
        <w:rPr>
          <w:rFonts w:ascii="Arial" w:eastAsia="Calibri" w:hAnsi="Arial" w:cs="Arial"/>
          <w:sz w:val="19"/>
          <w:szCs w:val="19"/>
        </w:rPr>
        <w:t>Geoff Paul</w:t>
      </w:r>
    </w:p>
    <w:p w:rsidR="00BE5A6A" w:rsidRPr="00070D17" w:rsidRDefault="00BE5A6A" w:rsidP="003A1BD9">
      <w:pPr>
        <w:rPr>
          <w:rFonts w:ascii="Arial" w:eastAsia="Calibri" w:hAnsi="Arial" w:cs="Arial"/>
          <w:sz w:val="19"/>
          <w:szCs w:val="19"/>
        </w:rPr>
      </w:pPr>
      <w:r w:rsidRPr="00411081">
        <w:rPr>
          <w:rFonts w:ascii="Arial" w:eastAsia="Calibri" w:hAnsi="Arial" w:cs="Arial"/>
          <w:sz w:val="19"/>
          <w:szCs w:val="19"/>
        </w:rPr>
        <w:t>Chair</w:t>
      </w:r>
    </w:p>
    <w:p w:rsidR="00BE5A6A" w:rsidRPr="00070D17" w:rsidRDefault="00BE5A6A" w:rsidP="003A1BD9">
      <w:pPr>
        <w:autoSpaceDE w:val="0"/>
        <w:autoSpaceDN w:val="0"/>
        <w:adjustRightInd w:val="0"/>
        <w:rPr>
          <w:rFonts w:ascii="Arial" w:hAnsi="Arial" w:cs="Arial"/>
          <w:b/>
          <w:bCs/>
          <w:sz w:val="19"/>
          <w:szCs w:val="19"/>
          <w:lang w:val="en-US"/>
        </w:rPr>
      </w:pPr>
    </w:p>
    <w:p w:rsidR="00BE5A6A" w:rsidRPr="00070D17" w:rsidRDefault="00BE5A6A" w:rsidP="003A1BD9">
      <w:pPr>
        <w:autoSpaceDE w:val="0"/>
        <w:autoSpaceDN w:val="0"/>
        <w:adjustRightInd w:val="0"/>
        <w:rPr>
          <w:rFonts w:ascii="Arial" w:hAnsi="Arial" w:cs="Arial"/>
          <w:b/>
          <w:bCs/>
          <w:sz w:val="19"/>
          <w:szCs w:val="19"/>
          <w:lang w:val="en-US"/>
        </w:rPr>
      </w:pPr>
    </w:p>
    <w:p w:rsidR="003A1BD9" w:rsidRPr="00070D17" w:rsidRDefault="003A1BD9">
      <w:pPr>
        <w:spacing w:after="0"/>
        <w:jc w:val="left"/>
        <w:rPr>
          <w:rFonts w:ascii="Arial" w:hAnsi="Arial" w:cs="Arial"/>
          <w:b/>
          <w:sz w:val="19"/>
          <w:szCs w:val="19"/>
        </w:rPr>
      </w:pPr>
      <w:bookmarkStart w:id="0" w:name="r"/>
      <w:bookmarkStart w:id="1" w:name="a"/>
      <w:bookmarkEnd w:id="0"/>
      <w:bookmarkEnd w:id="1"/>
      <w:r w:rsidRPr="00070D17">
        <w:rPr>
          <w:rFonts w:ascii="Arial" w:hAnsi="Arial" w:cs="Arial"/>
          <w:b/>
          <w:sz w:val="19"/>
          <w:szCs w:val="19"/>
        </w:rPr>
        <w:br w:type="page"/>
      </w:r>
    </w:p>
    <w:p w:rsidR="00A06DE4" w:rsidRPr="00322CF4" w:rsidRDefault="00314EC5" w:rsidP="00322CF4">
      <w:pPr>
        <w:autoSpaceDE w:val="0"/>
        <w:autoSpaceDN w:val="0"/>
        <w:adjustRightInd w:val="0"/>
        <w:rPr>
          <w:rFonts w:ascii="Arial" w:hAnsi="Arial" w:cs="Arial"/>
          <w:b/>
          <w:bCs/>
          <w:sz w:val="24"/>
          <w:szCs w:val="19"/>
          <w:lang w:val="en-US"/>
        </w:rPr>
      </w:pPr>
      <w:r w:rsidRPr="00322CF4">
        <w:rPr>
          <w:rFonts w:ascii="Arial" w:hAnsi="Arial" w:cs="Arial"/>
          <w:b/>
          <w:bCs/>
          <w:sz w:val="24"/>
          <w:szCs w:val="19"/>
          <w:lang w:val="en-US"/>
        </w:rPr>
        <w:lastRenderedPageBreak/>
        <w:t>Independent Auditor’s Report to the Members of Homes for Northumberland Limited</w:t>
      </w:r>
    </w:p>
    <w:p w:rsidR="00314EC5" w:rsidRPr="00314EC5" w:rsidRDefault="00314EC5" w:rsidP="00314EC5">
      <w:pPr>
        <w:spacing w:after="0"/>
        <w:ind w:right="565"/>
        <w:jc w:val="left"/>
        <w:rPr>
          <w:rFonts w:ascii="Arial" w:hAnsi="Arial" w:cs="Arial"/>
          <w:b/>
        </w:rPr>
      </w:pPr>
    </w:p>
    <w:p w:rsidR="00BD0581" w:rsidRPr="00C020BA" w:rsidRDefault="00BD0581" w:rsidP="00314EC5">
      <w:pPr>
        <w:spacing w:after="0"/>
        <w:jc w:val="left"/>
        <w:rPr>
          <w:rFonts w:ascii="Arial" w:hAnsi="Arial" w:cs="Arial"/>
          <w:iCs/>
          <w:sz w:val="19"/>
          <w:szCs w:val="19"/>
        </w:rPr>
      </w:pPr>
      <w:r w:rsidRPr="00C020BA">
        <w:rPr>
          <w:rFonts w:ascii="Arial" w:hAnsi="Arial" w:cs="Arial"/>
          <w:iCs/>
          <w:sz w:val="19"/>
          <w:szCs w:val="19"/>
        </w:rPr>
        <w:t xml:space="preserve">We </w:t>
      </w:r>
      <w:r w:rsidR="00505605" w:rsidRPr="00C020BA">
        <w:rPr>
          <w:rFonts w:ascii="Arial" w:hAnsi="Arial" w:cs="Arial"/>
          <w:iCs/>
          <w:sz w:val="19"/>
          <w:szCs w:val="19"/>
        </w:rPr>
        <w:t>have audited</w:t>
      </w:r>
      <w:r w:rsidR="00301E15" w:rsidRPr="00C020BA">
        <w:rPr>
          <w:rFonts w:ascii="Arial" w:hAnsi="Arial" w:cs="Arial"/>
          <w:iCs/>
          <w:sz w:val="19"/>
          <w:szCs w:val="19"/>
        </w:rPr>
        <w:t xml:space="preserve"> </w:t>
      </w:r>
      <w:r w:rsidRPr="00C020BA">
        <w:rPr>
          <w:rFonts w:ascii="Arial" w:hAnsi="Arial" w:cs="Arial"/>
          <w:iCs/>
          <w:sz w:val="19"/>
          <w:szCs w:val="19"/>
        </w:rPr>
        <w:t xml:space="preserve">the financial statements of </w:t>
      </w:r>
      <w:r w:rsidR="00A638B1" w:rsidRPr="00C020BA">
        <w:rPr>
          <w:rFonts w:ascii="Arial" w:hAnsi="Arial" w:cs="Arial"/>
          <w:iCs/>
          <w:sz w:val="19"/>
          <w:szCs w:val="19"/>
        </w:rPr>
        <w:t xml:space="preserve">Homes For Northumberland </w:t>
      </w:r>
      <w:r w:rsidRPr="00C020BA">
        <w:rPr>
          <w:rFonts w:ascii="Arial" w:hAnsi="Arial" w:cs="Arial"/>
          <w:iCs/>
          <w:sz w:val="19"/>
          <w:szCs w:val="19"/>
        </w:rPr>
        <w:t xml:space="preserve">Limited for the year ended </w:t>
      </w:r>
      <w:r w:rsidR="00C020BA" w:rsidRPr="00C020BA">
        <w:rPr>
          <w:rFonts w:ascii="Arial" w:hAnsi="Arial" w:cs="Arial"/>
          <w:sz w:val="19"/>
          <w:szCs w:val="19"/>
        </w:rPr>
        <w:t>31 March 2015</w:t>
      </w:r>
      <w:r w:rsidRPr="00C020BA">
        <w:rPr>
          <w:rFonts w:ascii="Arial" w:hAnsi="Arial" w:cs="Arial"/>
          <w:iCs/>
          <w:sz w:val="19"/>
          <w:szCs w:val="19"/>
        </w:rPr>
        <w:t xml:space="preserve"> which comprise the </w:t>
      </w:r>
      <w:r w:rsidR="00840197" w:rsidRPr="00C020BA">
        <w:rPr>
          <w:rFonts w:ascii="Arial" w:hAnsi="Arial" w:cs="Arial"/>
          <w:iCs/>
          <w:sz w:val="19"/>
          <w:szCs w:val="19"/>
        </w:rPr>
        <w:t>Income and Expenditure</w:t>
      </w:r>
      <w:r w:rsidRPr="00C020BA">
        <w:rPr>
          <w:rFonts w:ascii="Arial" w:hAnsi="Arial" w:cs="Arial"/>
          <w:iCs/>
          <w:sz w:val="19"/>
          <w:szCs w:val="19"/>
        </w:rPr>
        <w:t xml:space="preserve"> Account, the Balance Sheet, the </w:t>
      </w:r>
      <w:r w:rsidR="00C131E6" w:rsidRPr="00C020BA">
        <w:rPr>
          <w:rFonts w:ascii="Arial" w:hAnsi="Arial" w:cs="Arial"/>
          <w:iCs/>
          <w:sz w:val="19"/>
          <w:szCs w:val="19"/>
        </w:rPr>
        <w:t>Statement</w:t>
      </w:r>
      <w:r w:rsidR="00F152D9" w:rsidRPr="00C020BA">
        <w:rPr>
          <w:rFonts w:ascii="Arial" w:hAnsi="Arial" w:cs="Arial"/>
          <w:iCs/>
          <w:sz w:val="19"/>
          <w:szCs w:val="19"/>
        </w:rPr>
        <w:t xml:space="preserve"> </w:t>
      </w:r>
      <w:r w:rsidR="00C5267F" w:rsidRPr="00C020BA">
        <w:rPr>
          <w:rFonts w:ascii="Arial" w:hAnsi="Arial" w:cs="Arial"/>
          <w:iCs/>
          <w:sz w:val="19"/>
          <w:szCs w:val="19"/>
        </w:rPr>
        <w:t>of Total</w:t>
      </w:r>
      <w:r w:rsidR="00F152D9" w:rsidRPr="00C020BA">
        <w:rPr>
          <w:rFonts w:ascii="Arial" w:hAnsi="Arial" w:cs="Arial"/>
          <w:iCs/>
          <w:sz w:val="19"/>
          <w:szCs w:val="19"/>
        </w:rPr>
        <w:t xml:space="preserve"> Recognised Gains and Losses </w:t>
      </w:r>
      <w:r w:rsidR="00C131E6" w:rsidRPr="00C020BA">
        <w:rPr>
          <w:rFonts w:ascii="Arial" w:hAnsi="Arial" w:cs="Arial"/>
          <w:iCs/>
          <w:sz w:val="19"/>
          <w:szCs w:val="19"/>
        </w:rPr>
        <w:t>and re</w:t>
      </w:r>
      <w:r w:rsidRPr="00C020BA">
        <w:rPr>
          <w:rFonts w:ascii="Arial" w:hAnsi="Arial" w:cs="Arial"/>
          <w:iCs/>
          <w:sz w:val="19"/>
          <w:szCs w:val="19"/>
        </w:rPr>
        <w:t xml:space="preserve">lated notes 1 to </w:t>
      </w:r>
      <w:r w:rsidR="00A638B1" w:rsidRPr="00C020BA">
        <w:rPr>
          <w:rFonts w:ascii="Arial" w:hAnsi="Arial" w:cs="Arial"/>
          <w:iCs/>
          <w:sz w:val="19"/>
          <w:szCs w:val="19"/>
        </w:rPr>
        <w:t>2</w:t>
      </w:r>
      <w:r w:rsidR="00840197" w:rsidRPr="00C020BA">
        <w:rPr>
          <w:rFonts w:ascii="Arial" w:hAnsi="Arial" w:cs="Arial"/>
          <w:iCs/>
          <w:sz w:val="19"/>
          <w:szCs w:val="19"/>
        </w:rPr>
        <w:t>5</w:t>
      </w:r>
      <w:r w:rsidRPr="00C020BA">
        <w:rPr>
          <w:rFonts w:ascii="Arial" w:hAnsi="Arial" w:cs="Arial"/>
          <w:iCs/>
          <w:sz w:val="19"/>
          <w:szCs w:val="19"/>
        </w:rPr>
        <w:t>.  The financial reporting framework that has been applied in their preparation is applicable law and United Kingdom Accounting Standards (United Kingdom Generally Accepted Accounting Practice).</w:t>
      </w:r>
    </w:p>
    <w:p w:rsidR="00314EC5" w:rsidRPr="00C46A29" w:rsidRDefault="00314EC5" w:rsidP="00314EC5">
      <w:pPr>
        <w:spacing w:after="0"/>
        <w:jc w:val="left"/>
        <w:rPr>
          <w:rFonts w:ascii="Arial" w:hAnsi="Arial" w:cs="Arial"/>
          <w:iCs/>
          <w:sz w:val="19"/>
          <w:szCs w:val="19"/>
          <w:highlight w:val="yellow"/>
        </w:rPr>
      </w:pPr>
    </w:p>
    <w:p w:rsidR="00BD0581" w:rsidRDefault="00BD0581" w:rsidP="00314EC5">
      <w:pPr>
        <w:spacing w:after="0"/>
        <w:jc w:val="left"/>
        <w:rPr>
          <w:rFonts w:ascii="Arial" w:hAnsi="Arial" w:cs="Arial"/>
          <w:iCs/>
          <w:sz w:val="19"/>
          <w:szCs w:val="19"/>
        </w:rPr>
      </w:pPr>
      <w:r w:rsidRPr="00C020BA">
        <w:rPr>
          <w:rFonts w:ascii="Arial" w:hAnsi="Arial" w:cs="Arial"/>
          <w:iCs/>
          <w:sz w:val="19"/>
          <w:szCs w:val="19"/>
        </w:rPr>
        <w:t xml:space="preserve">This report is made solely to the </w:t>
      </w:r>
      <w:r w:rsidR="00201B4C" w:rsidRPr="00C020BA">
        <w:rPr>
          <w:rFonts w:ascii="Arial" w:hAnsi="Arial" w:cs="Arial"/>
          <w:iCs/>
          <w:sz w:val="19"/>
          <w:szCs w:val="19"/>
        </w:rPr>
        <w:t>Company</w:t>
      </w:r>
      <w:r w:rsidRPr="00C020BA">
        <w:rPr>
          <w:rFonts w:ascii="Arial" w:hAnsi="Arial" w:cs="Arial"/>
          <w:iCs/>
          <w:sz w:val="19"/>
          <w:szCs w:val="19"/>
        </w:rPr>
        <w:t xml:space="preserve">’s members, as a body, in accordance with </w:t>
      </w:r>
      <w:r w:rsidRPr="00C020BA">
        <w:rPr>
          <w:rFonts w:ascii="Arial" w:hAnsi="Arial" w:cs="Arial"/>
          <w:sz w:val="19"/>
          <w:szCs w:val="19"/>
        </w:rPr>
        <w:t>Chapter 3 of Part 16 of the Companies Act 2006</w:t>
      </w:r>
      <w:r w:rsidRPr="00C020BA">
        <w:rPr>
          <w:rFonts w:ascii="Arial" w:hAnsi="Arial" w:cs="Arial"/>
          <w:iCs/>
          <w:sz w:val="19"/>
          <w:szCs w:val="19"/>
        </w:rPr>
        <w:t xml:space="preserve">.  Our audit work has been undertaken so that we might state to the </w:t>
      </w:r>
      <w:r w:rsidR="00201B4C" w:rsidRPr="00C020BA">
        <w:rPr>
          <w:rFonts w:ascii="Arial" w:hAnsi="Arial" w:cs="Arial"/>
          <w:iCs/>
          <w:sz w:val="19"/>
          <w:szCs w:val="19"/>
        </w:rPr>
        <w:t>Company</w:t>
      </w:r>
      <w:r w:rsidRPr="00C020BA">
        <w:rPr>
          <w:rFonts w:ascii="Arial" w:hAnsi="Arial" w:cs="Arial"/>
          <w:iCs/>
          <w:sz w:val="19"/>
          <w:szCs w:val="19"/>
        </w:rPr>
        <w:t xml:space="preserve">’s members those matters we are required </w:t>
      </w:r>
      <w:r w:rsidR="003D3752" w:rsidRPr="00C020BA">
        <w:rPr>
          <w:rFonts w:ascii="Arial" w:hAnsi="Arial" w:cs="Arial"/>
          <w:iCs/>
          <w:sz w:val="19"/>
          <w:szCs w:val="19"/>
        </w:rPr>
        <w:t>to state to them in an auditor’s</w:t>
      </w:r>
      <w:r w:rsidRPr="00C020BA">
        <w:rPr>
          <w:rFonts w:ascii="Arial" w:hAnsi="Arial" w:cs="Arial"/>
          <w:iCs/>
          <w:sz w:val="19"/>
          <w:szCs w:val="19"/>
        </w:rPr>
        <w:t xml:space="preserve"> report and for no other purpose.  To the fullest extent permitted by law, we do not accept or assume responsibility to anyone other than the </w:t>
      </w:r>
      <w:r w:rsidR="00201B4C" w:rsidRPr="00C020BA">
        <w:rPr>
          <w:rFonts w:ascii="Arial" w:hAnsi="Arial" w:cs="Arial"/>
          <w:iCs/>
          <w:sz w:val="19"/>
          <w:szCs w:val="19"/>
        </w:rPr>
        <w:t>Company</w:t>
      </w:r>
      <w:r w:rsidRPr="00C020BA">
        <w:rPr>
          <w:rFonts w:ascii="Arial" w:hAnsi="Arial" w:cs="Arial"/>
          <w:iCs/>
          <w:sz w:val="19"/>
          <w:szCs w:val="19"/>
        </w:rPr>
        <w:t xml:space="preserve"> and the </w:t>
      </w:r>
      <w:r w:rsidR="00201B4C" w:rsidRPr="00C020BA">
        <w:rPr>
          <w:rFonts w:ascii="Arial" w:hAnsi="Arial" w:cs="Arial"/>
          <w:iCs/>
          <w:sz w:val="19"/>
          <w:szCs w:val="19"/>
        </w:rPr>
        <w:t>Company</w:t>
      </w:r>
      <w:r w:rsidRPr="00C020BA">
        <w:rPr>
          <w:rFonts w:ascii="Arial" w:hAnsi="Arial" w:cs="Arial"/>
          <w:iCs/>
          <w:sz w:val="19"/>
          <w:szCs w:val="19"/>
        </w:rPr>
        <w:t>’s members as a body, for our audit work, for this report, or for the opinions we have formed.</w:t>
      </w:r>
    </w:p>
    <w:p w:rsidR="00314EC5" w:rsidRPr="00070D17" w:rsidRDefault="00314EC5" w:rsidP="00314EC5">
      <w:pPr>
        <w:spacing w:after="0"/>
        <w:jc w:val="left"/>
        <w:rPr>
          <w:rFonts w:ascii="Arial" w:hAnsi="Arial" w:cs="Arial"/>
          <w:iCs/>
          <w:sz w:val="19"/>
          <w:szCs w:val="19"/>
        </w:rPr>
      </w:pPr>
    </w:p>
    <w:p w:rsidR="00BD0581" w:rsidRDefault="00314EC5" w:rsidP="00314EC5">
      <w:pPr>
        <w:spacing w:after="0"/>
        <w:jc w:val="left"/>
        <w:rPr>
          <w:rFonts w:ascii="Arial" w:hAnsi="Arial" w:cs="Arial"/>
          <w:b/>
          <w:iCs/>
          <w:szCs w:val="19"/>
        </w:rPr>
      </w:pPr>
      <w:r>
        <w:rPr>
          <w:rFonts w:ascii="Arial" w:hAnsi="Arial" w:cs="Arial"/>
          <w:b/>
          <w:iCs/>
          <w:szCs w:val="19"/>
        </w:rPr>
        <w:t>Respective R</w:t>
      </w:r>
      <w:r w:rsidR="00BD0581" w:rsidRPr="00314EC5">
        <w:rPr>
          <w:rFonts w:ascii="Arial" w:hAnsi="Arial" w:cs="Arial"/>
          <w:b/>
          <w:iCs/>
          <w:szCs w:val="19"/>
        </w:rPr>
        <w:t>esponsibi</w:t>
      </w:r>
      <w:r>
        <w:rPr>
          <w:rFonts w:ascii="Arial" w:hAnsi="Arial" w:cs="Arial"/>
          <w:b/>
          <w:iCs/>
          <w:szCs w:val="19"/>
        </w:rPr>
        <w:t>lities of Directors and A</w:t>
      </w:r>
      <w:r w:rsidR="003D3752" w:rsidRPr="00314EC5">
        <w:rPr>
          <w:rFonts w:ascii="Arial" w:hAnsi="Arial" w:cs="Arial"/>
          <w:b/>
          <w:iCs/>
          <w:szCs w:val="19"/>
        </w:rPr>
        <w:t>uditor</w:t>
      </w:r>
    </w:p>
    <w:p w:rsidR="00314EC5" w:rsidRPr="00314EC5" w:rsidRDefault="00314EC5" w:rsidP="00314EC5">
      <w:pPr>
        <w:spacing w:after="0"/>
        <w:jc w:val="left"/>
        <w:rPr>
          <w:rFonts w:ascii="Arial" w:hAnsi="Arial" w:cs="Arial"/>
          <w:b/>
          <w:iCs/>
          <w:szCs w:val="19"/>
        </w:rPr>
      </w:pPr>
    </w:p>
    <w:p w:rsidR="00301E15" w:rsidRDefault="00BD0581" w:rsidP="00314EC5">
      <w:pPr>
        <w:tabs>
          <w:tab w:val="left" w:pos="9356"/>
        </w:tabs>
        <w:spacing w:after="0"/>
        <w:jc w:val="left"/>
        <w:rPr>
          <w:rFonts w:ascii="Arial" w:hAnsi="Arial" w:cs="Arial"/>
          <w:iCs/>
          <w:sz w:val="19"/>
          <w:szCs w:val="19"/>
        </w:rPr>
      </w:pPr>
      <w:r w:rsidRPr="00C020BA">
        <w:rPr>
          <w:rFonts w:ascii="Arial" w:hAnsi="Arial" w:cs="Arial"/>
          <w:iCs/>
          <w:sz w:val="19"/>
          <w:szCs w:val="19"/>
        </w:rPr>
        <w:t>As explained more fully in the Directors’ Responsibilities Statement, the director</w:t>
      </w:r>
      <w:r w:rsidR="00840197" w:rsidRPr="00C020BA">
        <w:rPr>
          <w:rFonts w:ascii="Arial" w:hAnsi="Arial" w:cs="Arial"/>
          <w:iCs/>
          <w:sz w:val="19"/>
          <w:szCs w:val="19"/>
        </w:rPr>
        <w:t>s are</w:t>
      </w:r>
      <w:r w:rsidRPr="00C020BA">
        <w:rPr>
          <w:rFonts w:ascii="Arial" w:hAnsi="Arial" w:cs="Arial"/>
          <w:iCs/>
          <w:sz w:val="19"/>
          <w:szCs w:val="19"/>
        </w:rPr>
        <w:t xml:space="preserve"> responsible for the preparation of the financial statements and for being satisfied that they give a true and fair view.  Our responsibility is to audit the financial statements </w:t>
      </w:r>
      <w:r w:rsidR="003D3752" w:rsidRPr="00C020BA">
        <w:rPr>
          <w:rFonts w:ascii="Arial" w:hAnsi="Arial" w:cs="Arial"/>
          <w:iCs/>
          <w:sz w:val="19"/>
          <w:szCs w:val="19"/>
        </w:rPr>
        <w:t xml:space="preserve">and express an opinion </w:t>
      </w:r>
      <w:r w:rsidRPr="00C020BA">
        <w:rPr>
          <w:rFonts w:ascii="Arial" w:hAnsi="Arial" w:cs="Arial"/>
          <w:iCs/>
          <w:sz w:val="19"/>
          <w:szCs w:val="19"/>
        </w:rPr>
        <w:t>in accordance with applicable law and International Standards on Auditing (UK and Ireland).  Those standards require us to comply with the Auditing Practices Board’</w:t>
      </w:r>
      <w:r w:rsidR="00BB0129" w:rsidRPr="00C020BA">
        <w:rPr>
          <w:rFonts w:ascii="Arial" w:hAnsi="Arial" w:cs="Arial"/>
          <w:iCs/>
          <w:sz w:val="19"/>
          <w:szCs w:val="19"/>
        </w:rPr>
        <w:t>s Ethical Standards for Auditor</w:t>
      </w:r>
      <w:r w:rsidR="00840197" w:rsidRPr="00C020BA">
        <w:rPr>
          <w:rFonts w:ascii="Arial" w:hAnsi="Arial" w:cs="Arial"/>
          <w:iCs/>
          <w:sz w:val="19"/>
          <w:szCs w:val="19"/>
        </w:rPr>
        <w:t>s</w:t>
      </w:r>
      <w:r w:rsidRPr="00C020BA">
        <w:rPr>
          <w:rFonts w:ascii="Arial" w:hAnsi="Arial" w:cs="Arial"/>
          <w:iCs/>
          <w:sz w:val="19"/>
          <w:szCs w:val="19"/>
        </w:rPr>
        <w:t>.</w:t>
      </w:r>
    </w:p>
    <w:p w:rsidR="00314EC5" w:rsidRPr="00070D17" w:rsidRDefault="00314EC5" w:rsidP="00314EC5">
      <w:pPr>
        <w:tabs>
          <w:tab w:val="left" w:pos="9356"/>
        </w:tabs>
        <w:spacing w:after="0"/>
        <w:jc w:val="left"/>
        <w:rPr>
          <w:rFonts w:ascii="Arial" w:hAnsi="Arial" w:cs="Arial"/>
          <w:sz w:val="19"/>
          <w:szCs w:val="19"/>
          <w:lang w:val="en-US"/>
        </w:rPr>
      </w:pPr>
    </w:p>
    <w:p w:rsidR="00BD0581" w:rsidRDefault="00314EC5" w:rsidP="00314EC5">
      <w:pPr>
        <w:spacing w:after="0"/>
        <w:jc w:val="left"/>
        <w:rPr>
          <w:rFonts w:ascii="Arial" w:hAnsi="Arial" w:cs="Arial"/>
          <w:b/>
          <w:iCs/>
          <w:szCs w:val="19"/>
        </w:rPr>
      </w:pPr>
      <w:r>
        <w:rPr>
          <w:rFonts w:ascii="Arial" w:hAnsi="Arial" w:cs="Arial"/>
          <w:b/>
          <w:iCs/>
          <w:szCs w:val="19"/>
        </w:rPr>
        <w:t>Scope of the Audit of the Financial S</w:t>
      </w:r>
      <w:r w:rsidR="00BD0581" w:rsidRPr="00314EC5">
        <w:rPr>
          <w:rFonts w:ascii="Arial" w:hAnsi="Arial" w:cs="Arial"/>
          <w:b/>
          <w:iCs/>
          <w:szCs w:val="19"/>
        </w:rPr>
        <w:t>tatements</w:t>
      </w:r>
    </w:p>
    <w:p w:rsidR="00314EC5" w:rsidRPr="00314EC5" w:rsidRDefault="00314EC5" w:rsidP="00314EC5">
      <w:pPr>
        <w:spacing w:after="0"/>
        <w:jc w:val="left"/>
        <w:rPr>
          <w:rFonts w:ascii="Arial" w:hAnsi="Arial" w:cs="Arial"/>
          <w:b/>
          <w:iCs/>
          <w:szCs w:val="19"/>
        </w:rPr>
      </w:pPr>
    </w:p>
    <w:p w:rsidR="004407B4" w:rsidRDefault="00BD0581" w:rsidP="00314EC5">
      <w:pPr>
        <w:spacing w:after="0"/>
        <w:jc w:val="left"/>
        <w:rPr>
          <w:rFonts w:ascii="Arial" w:hAnsi="Arial" w:cs="Arial"/>
          <w:iCs/>
          <w:sz w:val="19"/>
          <w:szCs w:val="19"/>
        </w:rPr>
      </w:pPr>
      <w:r w:rsidRPr="00C020BA">
        <w:rPr>
          <w:rFonts w:ascii="Arial" w:hAnsi="Arial" w:cs="Arial"/>
          <w:iCs/>
          <w:sz w:val="19"/>
          <w:szCs w:val="19"/>
        </w:rPr>
        <w:t xml:space="preserve">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w:t>
      </w:r>
      <w:r w:rsidR="00840197" w:rsidRPr="00C020BA">
        <w:rPr>
          <w:rFonts w:ascii="Arial" w:hAnsi="Arial" w:cs="Arial"/>
          <w:iCs/>
          <w:sz w:val="19"/>
          <w:szCs w:val="19"/>
        </w:rPr>
        <w:t>c</w:t>
      </w:r>
      <w:r w:rsidR="00201B4C" w:rsidRPr="00C020BA">
        <w:rPr>
          <w:rFonts w:ascii="Arial" w:hAnsi="Arial" w:cs="Arial"/>
          <w:iCs/>
          <w:sz w:val="19"/>
          <w:szCs w:val="19"/>
        </w:rPr>
        <w:t>ompany</w:t>
      </w:r>
      <w:r w:rsidRPr="00C020BA">
        <w:rPr>
          <w:rFonts w:ascii="Arial" w:hAnsi="Arial" w:cs="Arial"/>
          <w:iCs/>
          <w:sz w:val="19"/>
          <w:szCs w:val="19"/>
        </w:rPr>
        <w:t>’s circumstances and have been consistently applied and adequately disclosed; the reasonableness of significant accounting estimates made by the directors; and the overall presentation of the financial statements.</w:t>
      </w:r>
      <w:r w:rsidR="008109AB" w:rsidRPr="00C020BA">
        <w:rPr>
          <w:rFonts w:ascii="Arial" w:hAnsi="Arial" w:cs="Arial"/>
          <w:iCs/>
          <w:sz w:val="19"/>
          <w:szCs w:val="19"/>
        </w:rPr>
        <w:t xml:space="preserve">  In addition, we read all the financial and non-financial information in the annual report to identify material inconsistencies with the audited financial statements</w:t>
      </w:r>
      <w:r w:rsidR="00840197" w:rsidRPr="00C020BA">
        <w:rPr>
          <w:rFonts w:ascii="Arial" w:hAnsi="Arial" w:cs="Arial"/>
          <w:iCs/>
          <w:sz w:val="19"/>
          <w:szCs w:val="19"/>
        </w:rPr>
        <w:t xml:space="preserve"> and to identify any information that is apparently materially incorrect based on, or materially inconsistent with, the knowledge acquired by us in the course of performing the audit</w:t>
      </w:r>
      <w:r w:rsidR="008109AB" w:rsidRPr="00C020BA">
        <w:rPr>
          <w:rFonts w:ascii="Arial" w:hAnsi="Arial" w:cs="Arial"/>
          <w:iCs/>
          <w:sz w:val="19"/>
          <w:szCs w:val="19"/>
        </w:rPr>
        <w:t>.  If we become aware of any apparent material misstatements or inconsistencies we consider the implications for our report.</w:t>
      </w:r>
    </w:p>
    <w:p w:rsidR="00314EC5" w:rsidRPr="00070D17" w:rsidRDefault="00314EC5" w:rsidP="00314EC5">
      <w:pPr>
        <w:spacing w:after="0"/>
        <w:jc w:val="left"/>
        <w:rPr>
          <w:rFonts w:ascii="Arial" w:hAnsi="Arial" w:cs="Arial"/>
          <w:iCs/>
          <w:sz w:val="19"/>
          <w:szCs w:val="19"/>
        </w:rPr>
      </w:pPr>
    </w:p>
    <w:p w:rsidR="00B211E1" w:rsidRPr="00550144" w:rsidRDefault="00550144" w:rsidP="00314EC5">
      <w:pPr>
        <w:tabs>
          <w:tab w:val="num" w:pos="0"/>
        </w:tabs>
        <w:spacing w:after="0"/>
        <w:jc w:val="left"/>
        <w:rPr>
          <w:rFonts w:ascii="Arial" w:hAnsi="Arial" w:cs="Arial"/>
          <w:b/>
          <w:iCs/>
          <w:szCs w:val="19"/>
        </w:rPr>
      </w:pPr>
      <w:r w:rsidRPr="00550144">
        <w:rPr>
          <w:rFonts w:ascii="Arial" w:hAnsi="Arial" w:cs="Arial"/>
          <w:b/>
          <w:iCs/>
          <w:szCs w:val="19"/>
        </w:rPr>
        <w:t>Opinion on F</w:t>
      </w:r>
      <w:r w:rsidR="00B211E1" w:rsidRPr="00550144">
        <w:rPr>
          <w:rFonts w:ascii="Arial" w:hAnsi="Arial" w:cs="Arial"/>
          <w:b/>
          <w:iCs/>
          <w:szCs w:val="19"/>
        </w:rPr>
        <w:t xml:space="preserve">inancial </w:t>
      </w:r>
      <w:r w:rsidRPr="00550144">
        <w:rPr>
          <w:rFonts w:ascii="Arial" w:hAnsi="Arial" w:cs="Arial"/>
          <w:b/>
          <w:iCs/>
          <w:szCs w:val="19"/>
        </w:rPr>
        <w:t>S</w:t>
      </w:r>
      <w:r w:rsidR="00B211E1" w:rsidRPr="00550144">
        <w:rPr>
          <w:rFonts w:ascii="Arial" w:hAnsi="Arial" w:cs="Arial"/>
          <w:b/>
          <w:iCs/>
          <w:szCs w:val="19"/>
        </w:rPr>
        <w:t>tatements</w:t>
      </w:r>
    </w:p>
    <w:p w:rsidR="00314EC5" w:rsidRPr="00070D17" w:rsidRDefault="00314EC5" w:rsidP="00314EC5">
      <w:pPr>
        <w:tabs>
          <w:tab w:val="num" w:pos="0"/>
        </w:tabs>
        <w:spacing w:after="0"/>
        <w:jc w:val="left"/>
        <w:rPr>
          <w:rFonts w:ascii="Arial" w:hAnsi="Arial" w:cs="Arial"/>
          <w:b/>
          <w:iCs/>
          <w:sz w:val="19"/>
          <w:szCs w:val="19"/>
        </w:rPr>
      </w:pPr>
    </w:p>
    <w:p w:rsidR="00B211E1" w:rsidRPr="00C020BA" w:rsidRDefault="00B211E1" w:rsidP="00314EC5">
      <w:pPr>
        <w:tabs>
          <w:tab w:val="num" w:pos="0"/>
        </w:tabs>
        <w:spacing w:after="0"/>
        <w:jc w:val="left"/>
        <w:rPr>
          <w:rFonts w:ascii="Arial" w:hAnsi="Arial" w:cs="Arial"/>
          <w:iCs/>
          <w:sz w:val="19"/>
          <w:szCs w:val="19"/>
        </w:rPr>
      </w:pPr>
      <w:r w:rsidRPr="00C020BA">
        <w:rPr>
          <w:rFonts w:ascii="Arial" w:hAnsi="Arial" w:cs="Arial"/>
          <w:iCs/>
          <w:sz w:val="19"/>
          <w:szCs w:val="19"/>
        </w:rPr>
        <w:t>In our opinion the financial statements:</w:t>
      </w:r>
    </w:p>
    <w:p w:rsidR="00314EC5" w:rsidRPr="00C020BA" w:rsidRDefault="00314EC5" w:rsidP="00314EC5">
      <w:pPr>
        <w:tabs>
          <w:tab w:val="num" w:pos="0"/>
        </w:tabs>
        <w:spacing w:after="0"/>
        <w:jc w:val="left"/>
        <w:rPr>
          <w:rFonts w:ascii="Arial" w:hAnsi="Arial" w:cs="Arial"/>
          <w:iCs/>
          <w:sz w:val="19"/>
          <w:szCs w:val="19"/>
        </w:rPr>
      </w:pPr>
    </w:p>
    <w:p w:rsidR="00B211E1" w:rsidRPr="00C020BA" w:rsidRDefault="00B211E1" w:rsidP="00314EC5">
      <w:pPr>
        <w:numPr>
          <w:ilvl w:val="0"/>
          <w:numId w:val="17"/>
        </w:numPr>
        <w:spacing w:after="0"/>
        <w:ind w:left="480" w:hanging="480"/>
        <w:jc w:val="left"/>
        <w:rPr>
          <w:rFonts w:ascii="Arial" w:hAnsi="Arial" w:cs="Arial"/>
          <w:sz w:val="19"/>
          <w:szCs w:val="19"/>
        </w:rPr>
      </w:pPr>
      <w:r w:rsidRPr="00C020BA">
        <w:rPr>
          <w:rFonts w:ascii="Arial" w:hAnsi="Arial" w:cs="Arial"/>
          <w:sz w:val="19"/>
          <w:szCs w:val="19"/>
        </w:rPr>
        <w:t xml:space="preserve">give a true and fair view of the state of the </w:t>
      </w:r>
      <w:r w:rsidR="00840197" w:rsidRPr="00C020BA">
        <w:rPr>
          <w:rFonts w:ascii="Arial" w:hAnsi="Arial" w:cs="Arial"/>
          <w:sz w:val="19"/>
          <w:szCs w:val="19"/>
        </w:rPr>
        <w:t>c</w:t>
      </w:r>
      <w:r w:rsidR="00201B4C" w:rsidRPr="00C020BA">
        <w:rPr>
          <w:rFonts w:ascii="Arial" w:hAnsi="Arial" w:cs="Arial"/>
          <w:sz w:val="19"/>
          <w:szCs w:val="19"/>
        </w:rPr>
        <w:t>ompany</w:t>
      </w:r>
      <w:r w:rsidRPr="00C020BA">
        <w:rPr>
          <w:rFonts w:ascii="Arial" w:hAnsi="Arial" w:cs="Arial"/>
          <w:sz w:val="19"/>
          <w:szCs w:val="19"/>
        </w:rPr>
        <w:t xml:space="preserve">’s affairs as at </w:t>
      </w:r>
      <w:r w:rsidR="00CE7825" w:rsidRPr="00C020BA">
        <w:rPr>
          <w:rFonts w:ascii="Arial" w:hAnsi="Arial" w:cs="Arial"/>
          <w:sz w:val="19"/>
          <w:szCs w:val="19"/>
        </w:rPr>
        <w:fldChar w:fldCharType="begin"/>
      </w:r>
      <w:r w:rsidR="00CE7825" w:rsidRPr="00C020BA">
        <w:rPr>
          <w:rFonts w:ascii="Arial" w:hAnsi="Arial" w:cs="Arial"/>
          <w:sz w:val="19"/>
          <w:szCs w:val="19"/>
        </w:rPr>
        <w:instrText>Date_Year \* charformat</w:instrText>
      </w:r>
      <w:r w:rsidR="00CE7825" w:rsidRPr="00C020BA">
        <w:rPr>
          <w:rFonts w:ascii="Arial" w:hAnsi="Arial" w:cs="Arial"/>
          <w:sz w:val="19"/>
          <w:szCs w:val="19"/>
        </w:rPr>
        <w:fldChar w:fldCharType="separate"/>
      </w:r>
      <w:r w:rsidR="00263A0D" w:rsidRPr="00C020BA">
        <w:rPr>
          <w:rFonts w:ascii="Arial" w:hAnsi="Arial" w:cs="Arial"/>
          <w:sz w:val="19"/>
          <w:szCs w:val="19"/>
        </w:rPr>
        <w:t>31 March 201</w:t>
      </w:r>
      <w:r w:rsidR="00C020BA" w:rsidRPr="00C020BA">
        <w:rPr>
          <w:rFonts w:ascii="Arial" w:hAnsi="Arial" w:cs="Arial"/>
          <w:sz w:val="19"/>
          <w:szCs w:val="19"/>
        </w:rPr>
        <w:t>5</w:t>
      </w:r>
      <w:r w:rsidR="00CE7825" w:rsidRPr="00C020BA">
        <w:rPr>
          <w:rFonts w:ascii="Arial" w:hAnsi="Arial" w:cs="Arial"/>
          <w:sz w:val="19"/>
          <w:szCs w:val="19"/>
        </w:rPr>
        <w:fldChar w:fldCharType="end"/>
      </w:r>
      <w:r w:rsidRPr="00C020BA">
        <w:rPr>
          <w:rFonts w:ascii="Arial" w:hAnsi="Arial" w:cs="Arial"/>
          <w:sz w:val="19"/>
          <w:szCs w:val="19"/>
        </w:rPr>
        <w:t xml:space="preserve"> and of its </w:t>
      </w:r>
      <w:r w:rsidR="00E55DFA" w:rsidRPr="00C020BA">
        <w:rPr>
          <w:rFonts w:ascii="Arial" w:hAnsi="Arial" w:cs="Arial"/>
          <w:sz w:val="19"/>
          <w:szCs w:val="19"/>
        </w:rPr>
        <w:t>surplus</w:t>
      </w:r>
      <w:r w:rsidRPr="00C020BA">
        <w:rPr>
          <w:rFonts w:ascii="Arial" w:hAnsi="Arial" w:cs="Arial"/>
          <w:sz w:val="19"/>
          <w:szCs w:val="19"/>
        </w:rPr>
        <w:t xml:space="preserve"> for the year then ended; </w:t>
      </w:r>
    </w:p>
    <w:p w:rsidR="00B211E1" w:rsidRPr="00C020BA" w:rsidRDefault="00B211E1" w:rsidP="00314EC5">
      <w:pPr>
        <w:numPr>
          <w:ilvl w:val="0"/>
          <w:numId w:val="17"/>
        </w:numPr>
        <w:spacing w:after="0"/>
        <w:ind w:left="480" w:hanging="480"/>
        <w:jc w:val="left"/>
        <w:rPr>
          <w:rFonts w:ascii="Arial" w:hAnsi="Arial" w:cs="Arial"/>
          <w:sz w:val="19"/>
          <w:szCs w:val="19"/>
        </w:rPr>
      </w:pPr>
      <w:r w:rsidRPr="00C020BA">
        <w:rPr>
          <w:rFonts w:ascii="Arial" w:hAnsi="Arial" w:cs="Arial"/>
          <w:sz w:val="19"/>
          <w:szCs w:val="19"/>
        </w:rPr>
        <w:t>have been properly prepared in accordance with United Kingdom Generally Accepted Accounting Practice; and</w:t>
      </w:r>
    </w:p>
    <w:p w:rsidR="00B211E1" w:rsidRPr="00C020BA" w:rsidRDefault="00B211E1" w:rsidP="00314EC5">
      <w:pPr>
        <w:numPr>
          <w:ilvl w:val="0"/>
          <w:numId w:val="17"/>
        </w:numPr>
        <w:spacing w:after="0"/>
        <w:ind w:left="480" w:hanging="480"/>
        <w:jc w:val="left"/>
        <w:rPr>
          <w:rFonts w:ascii="Arial" w:hAnsi="Arial" w:cs="Arial"/>
          <w:sz w:val="19"/>
          <w:szCs w:val="19"/>
        </w:rPr>
      </w:pPr>
      <w:r w:rsidRPr="00C020BA">
        <w:rPr>
          <w:rFonts w:ascii="Arial" w:hAnsi="Arial" w:cs="Arial"/>
          <w:sz w:val="19"/>
          <w:szCs w:val="19"/>
        </w:rPr>
        <w:t>have been prepared in accordance with the requirements of the Companies Act 2006.</w:t>
      </w:r>
    </w:p>
    <w:p w:rsidR="00BE5A6A" w:rsidRPr="00070D17" w:rsidRDefault="00BE5A6A" w:rsidP="003A1BD9">
      <w:pPr>
        <w:spacing w:after="0"/>
        <w:jc w:val="left"/>
        <w:rPr>
          <w:rFonts w:ascii="Arial" w:hAnsi="Arial" w:cs="Arial"/>
          <w:b/>
          <w:iCs/>
          <w:sz w:val="19"/>
          <w:szCs w:val="19"/>
        </w:rPr>
      </w:pPr>
    </w:p>
    <w:p w:rsidR="00B211E1" w:rsidRDefault="00550144" w:rsidP="00550144">
      <w:pPr>
        <w:tabs>
          <w:tab w:val="num" w:pos="0"/>
        </w:tabs>
        <w:spacing w:after="0"/>
        <w:jc w:val="left"/>
        <w:rPr>
          <w:rFonts w:ascii="Arial" w:hAnsi="Arial" w:cs="Arial"/>
          <w:b/>
          <w:iCs/>
          <w:szCs w:val="19"/>
        </w:rPr>
      </w:pPr>
      <w:r>
        <w:rPr>
          <w:rFonts w:ascii="Arial" w:hAnsi="Arial" w:cs="Arial"/>
          <w:b/>
          <w:iCs/>
          <w:szCs w:val="19"/>
        </w:rPr>
        <w:t>Opinion on Other matter P</w:t>
      </w:r>
      <w:r w:rsidR="00B211E1" w:rsidRPr="00550144">
        <w:rPr>
          <w:rFonts w:ascii="Arial" w:hAnsi="Arial" w:cs="Arial"/>
          <w:b/>
          <w:iCs/>
          <w:szCs w:val="19"/>
        </w:rPr>
        <w:t>rescribed by the Companies Act 2006</w:t>
      </w:r>
    </w:p>
    <w:p w:rsidR="00550144" w:rsidRPr="00550144" w:rsidRDefault="00550144" w:rsidP="00550144">
      <w:pPr>
        <w:tabs>
          <w:tab w:val="num" w:pos="0"/>
        </w:tabs>
        <w:spacing w:after="0"/>
        <w:jc w:val="left"/>
        <w:rPr>
          <w:rFonts w:ascii="Arial" w:hAnsi="Arial" w:cs="Arial"/>
          <w:b/>
          <w:iCs/>
          <w:szCs w:val="19"/>
        </w:rPr>
      </w:pPr>
    </w:p>
    <w:p w:rsidR="00B211E1" w:rsidRPr="00070D17" w:rsidRDefault="00B211E1" w:rsidP="00550144">
      <w:pPr>
        <w:tabs>
          <w:tab w:val="num" w:pos="0"/>
        </w:tabs>
        <w:spacing w:after="0"/>
        <w:jc w:val="left"/>
        <w:rPr>
          <w:rFonts w:ascii="Arial" w:hAnsi="Arial" w:cs="Arial"/>
          <w:iCs/>
          <w:sz w:val="19"/>
          <w:szCs w:val="19"/>
        </w:rPr>
      </w:pPr>
      <w:r w:rsidRPr="00C020BA">
        <w:rPr>
          <w:rFonts w:ascii="Arial" w:hAnsi="Arial" w:cs="Arial"/>
          <w:iCs/>
          <w:sz w:val="19"/>
          <w:szCs w:val="19"/>
        </w:rPr>
        <w:t xml:space="preserve">In our opinion the information given in the </w:t>
      </w:r>
      <w:r w:rsidR="00840197" w:rsidRPr="00C020BA">
        <w:rPr>
          <w:rFonts w:ascii="Arial" w:hAnsi="Arial" w:cs="Arial"/>
          <w:iCs/>
          <w:sz w:val="19"/>
          <w:szCs w:val="19"/>
        </w:rPr>
        <w:t>Strategic</w:t>
      </w:r>
      <w:r w:rsidRPr="00C020BA">
        <w:rPr>
          <w:rFonts w:ascii="Arial" w:hAnsi="Arial" w:cs="Arial"/>
          <w:iCs/>
          <w:sz w:val="19"/>
          <w:szCs w:val="19"/>
        </w:rPr>
        <w:t xml:space="preserve"> Report</w:t>
      </w:r>
      <w:r w:rsidR="00840197" w:rsidRPr="00C020BA">
        <w:rPr>
          <w:rFonts w:ascii="Arial" w:hAnsi="Arial" w:cs="Arial"/>
          <w:iCs/>
          <w:sz w:val="19"/>
          <w:szCs w:val="19"/>
        </w:rPr>
        <w:t xml:space="preserve"> and the Directors’ Report</w:t>
      </w:r>
      <w:r w:rsidRPr="00C020BA">
        <w:rPr>
          <w:rFonts w:ascii="Arial" w:hAnsi="Arial" w:cs="Arial"/>
          <w:iCs/>
          <w:sz w:val="19"/>
          <w:szCs w:val="19"/>
        </w:rPr>
        <w:t xml:space="preserve"> for the financial year for which the financial statements are prepared is consistent with the financial statements.</w:t>
      </w:r>
    </w:p>
    <w:p w:rsidR="00B87C2E" w:rsidRPr="00070D17" w:rsidRDefault="00B87C2E"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022450" w:rsidP="00550144">
      <w:pPr>
        <w:spacing w:after="0"/>
        <w:jc w:val="left"/>
        <w:rPr>
          <w:rFonts w:ascii="Arial" w:hAnsi="Arial" w:cs="Arial"/>
          <w:b/>
          <w:iCs/>
          <w:sz w:val="19"/>
          <w:szCs w:val="19"/>
        </w:rPr>
      </w:pPr>
    </w:p>
    <w:p w:rsidR="00022450" w:rsidRDefault="00C020BA" w:rsidP="00550144">
      <w:pPr>
        <w:spacing w:after="0"/>
        <w:jc w:val="left"/>
        <w:rPr>
          <w:rFonts w:ascii="Arial" w:hAnsi="Arial" w:cs="Arial"/>
          <w:b/>
          <w:iCs/>
          <w:sz w:val="19"/>
          <w:szCs w:val="19"/>
        </w:rPr>
      </w:pPr>
      <w:r>
        <w:rPr>
          <w:rFonts w:ascii="Arial" w:hAnsi="Arial" w:cs="Arial"/>
          <w:b/>
          <w:iCs/>
          <w:sz w:val="19"/>
          <w:szCs w:val="19"/>
        </w:rPr>
        <w:lastRenderedPageBreak/>
        <w:t>Independent Auditor’s Report to the Members of Homes for Northumberland Limited (continued)</w:t>
      </w:r>
    </w:p>
    <w:p w:rsidR="00C020BA" w:rsidRDefault="00C020BA" w:rsidP="00550144">
      <w:pPr>
        <w:spacing w:after="0"/>
        <w:jc w:val="left"/>
        <w:rPr>
          <w:rFonts w:ascii="Arial" w:hAnsi="Arial" w:cs="Arial"/>
          <w:b/>
          <w:iCs/>
          <w:sz w:val="19"/>
          <w:szCs w:val="19"/>
        </w:rPr>
      </w:pPr>
    </w:p>
    <w:p w:rsidR="00BD0581" w:rsidRDefault="00550144" w:rsidP="00550144">
      <w:pPr>
        <w:spacing w:after="0"/>
        <w:jc w:val="left"/>
        <w:rPr>
          <w:rFonts w:ascii="Arial" w:hAnsi="Arial" w:cs="Arial"/>
          <w:b/>
          <w:iCs/>
          <w:sz w:val="19"/>
          <w:szCs w:val="19"/>
        </w:rPr>
      </w:pPr>
      <w:r>
        <w:rPr>
          <w:rFonts w:ascii="Arial" w:hAnsi="Arial" w:cs="Arial"/>
          <w:b/>
          <w:iCs/>
          <w:sz w:val="19"/>
          <w:szCs w:val="19"/>
        </w:rPr>
        <w:t>Matters on Which we are Required to Report by E</w:t>
      </w:r>
      <w:r w:rsidR="00BD0581" w:rsidRPr="00070D17">
        <w:rPr>
          <w:rFonts w:ascii="Arial" w:hAnsi="Arial" w:cs="Arial"/>
          <w:b/>
          <w:iCs/>
          <w:sz w:val="19"/>
          <w:szCs w:val="19"/>
        </w:rPr>
        <w:t>xception</w:t>
      </w:r>
    </w:p>
    <w:p w:rsidR="00550144" w:rsidRPr="00070D17" w:rsidRDefault="00550144" w:rsidP="00550144">
      <w:pPr>
        <w:spacing w:after="0"/>
        <w:jc w:val="left"/>
        <w:rPr>
          <w:rFonts w:ascii="Arial" w:hAnsi="Arial" w:cs="Arial"/>
          <w:b/>
          <w:iCs/>
          <w:sz w:val="19"/>
          <w:szCs w:val="19"/>
        </w:rPr>
      </w:pPr>
    </w:p>
    <w:p w:rsidR="00BD0581" w:rsidRPr="00C020BA" w:rsidRDefault="00BD0581" w:rsidP="00550144">
      <w:pPr>
        <w:spacing w:after="0"/>
        <w:jc w:val="left"/>
        <w:rPr>
          <w:rFonts w:ascii="Arial" w:hAnsi="Arial" w:cs="Arial"/>
          <w:iCs/>
          <w:sz w:val="19"/>
          <w:szCs w:val="19"/>
        </w:rPr>
      </w:pPr>
      <w:r w:rsidRPr="00C020BA">
        <w:rPr>
          <w:rFonts w:ascii="Arial" w:hAnsi="Arial" w:cs="Arial"/>
          <w:iCs/>
          <w:sz w:val="19"/>
          <w:szCs w:val="19"/>
        </w:rPr>
        <w:t>We have nothing to report in respect of the following matters where the Companies Act 2006 requires us to report to you if, in our opinion:</w:t>
      </w:r>
    </w:p>
    <w:p w:rsidR="00550144" w:rsidRPr="00C020BA" w:rsidRDefault="00550144" w:rsidP="00550144">
      <w:pPr>
        <w:spacing w:after="0"/>
        <w:jc w:val="left"/>
        <w:rPr>
          <w:rFonts w:ascii="Arial" w:hAnsi="Arial" w:cs="Arial"/>
          <w:iCs/>
          <w:sz w:val="19"/>
          <w:szCs w:val="19"/>
        </w:rPr>
      </w:pPr>
    </w:p>
    <w:p w:rsidR="00BD0581" w:rsidRPr="00C020BA" w:rsidRDefault="00BD0581" w:rsidP="00550144">
      <w:pPr>
        <w:numPr>
          <w:ilvl w:val="0"/>
          <w:numId w:val="14"/>
        </w:numPr>
        <w:spacing w:after="0"/>
        <w:ind w:left="600" w:hanging="600"/>
        <w:jc w:val="left"/>
        <w:rPr>
          <w:rFonts w:ascii="Arial" w:hAnsi="Arial" w:cs="Arial"/>
          <w:sz w:val="19"/>
          <w:szCs w:val="19"/>
        </w:rPr>
      </w:pPr>
      <w:r w:rsidRPr="00C020BA">
        <w:rPr>
          <w:rFonts w:ascii="Arial" w:hAnsi="Arial" w:cs="Arial"/>
          <w:sz w:val="19"/>
          <w:szCs w:val="19"/>
        </w:rPr>
        <w:t>adequate accounting records have not been kept, or returns adequate for our audit have not been received from branches not visited by us; or</w:t>
      </w:r>
    </w:p>
    <w:p w:rsidR="00BD0581" w:rsidRPr="00C020BA" w:rsidRDefault="00BD0581" w:rsidP="00550144">
      <w:pPr>
        <w:numPr>
          <w:ilvl w:val="0"/>
          <w:numId w:val="14"/>
        </w:numPr>
        <w:spacing w:after="0"/>
        <w:ind w:left="600" w:hanging="600"/>
        <w:jc w:val="left"/>
        <w:rPr>
          <w:rFonts w:ascii="Arial" w:hAnsi="Arial" w:cs="Arial"/>
          <w:sz w:val="19"/>
          <w:szCs w:val="19"/>
        </w:rPr>
      </w:pPr>
      <w:r w:rsidRPr="00C020BA">
        <w:rPr>
          <w:rFonts w:ascii="Arial" w:hAnsi="Arial" w:cs="Arial"/>
          <w:sz w:val="19"/>
          <w:szCs w:val="19"/>
        </w:rPr>
        <w:t>the financial statements are not in agreement with the accounting records and returns; or</w:t>
      </w:r>
    </w:p>
    <w:p w:rsidR="00BD0581" w:rsidRPr="00C020BA" w:rsidRDefault="00BD0581" w:rsidP="00550144">
      <w:pPr>
        <w:numPr>
          <w:ilvl w:val="0"/>
          <w:numId w:val="14"/>
        </w:numPr>
        <w:spacing w:after="0"/>
        <w:ind w:left="600" w:hanging="600"/>
        <w:jc w:val="left"/>
        <w:rPr>
          <w:rFonts w:ascii="Arial" w:hAnsi="Arial" w:cs="Arial"/>
          <w:sz w:val="19"/>
          <w:szCs w:val="19"/>
        </w:rPr>
      </w:pPr>
      <w:r w:rsidRPr="00C020BA">
        <w:rPr>
          <w:rFonts w:ascii="Arial" w:hAnsi="Arial" w:cs="Arial"/>
          <w:sz w:val="19"/>
          <w:szCs w:val="19"/>
        </w:rPr>
        <w:t>certain disclosures of directors’ remuneration specified by law are not made; or</w:t>
      </w:r>
    </w:p>
    <w:p w:rsidR="00BD0581" w:rsidRPr="00C020BA" w:rsidRDefault="00BD0581" w:rsidP="00B62345">
      <w:pPr>
        <w:numPr>
          <w:ilvl w:val="0"/>
          <w:numId w:val="14"/>
        </w:numPr>
        <w:spacing w:after="0"/>
        <w:ind w:left="600" w:hanging="600"/>
        <w:jc w:val="left"/>
        <w:rPr>
          <w:rFonts w:ascii="Arial" w:hAnsi="Arial" w:cs="Arial"/>
          <w:sz w:val="19"/>
          <w:szCs w:val="19"/>
        </w:rPr>
      </w:pPr>
      <w:r w:rsidRPr="00C020BA">
        <w:rPr>
          <w:rFonts w:ascii="Arial" w:hAnsi="Arial" w:cs="Arial"/>
          <w:sz w:val="19"/>
          <w:szCs w:val="19"/>
        </w:rPr>
        <w:t>we have not received all the information and explan</w:t>
      </w:r>
      <w:r w:rsidR="00652827" w:rsidRPr="00C020BA">
        <w:rPr>
          <w:rFonts w:ascii="Arial" w:hAnsi="Arial" w:cs="Arial"/>
          <w:sz w:val="19"/>
          <w:szCs w:val="19"/>
        </w:rPr>
        <w:t>ations we require for our audit</w:t>
      </w:r>
      <w:r w:rsidR="00B62345" w:rsidRPr="00C020BA">
        <w:rPr>
          <w:rFonts w:ascii="Arial" w:hAnsi="Arial" w:cs="Arial"/>
          <w:sz w:val="19"/>
          <w:szCs w:val="19"/>
        </w:rPr>
        <w:t xml:space="preserve">. </w:t>
      </w:r>
    </w:p>
    <w:p w:rsidR="00B87C2E" w:rsidRPr="00C020BA" w:rsidRDefault="00B87C2E" w:rsidP="003A1BD9">
      <w:pPr>
        <w:spacing w:after="0"/>
        <w:rPr>
          <w:rFonts w:ascii="Arial" w:hAnsi="Arial" w:cs="Arial"/>
          <w:iCs/>
          <w:sz w:val="19"/>
          <w:szCs w:val="19"/>
        </w:rPr>
      </w:pPr>
    </w:p>
    <w:p w:rsidR="00B87C2E" w:rsidRPr="00C020BA" w:rsidRDefault="00B87C2E" w:rsidP="003A1BD9">
      <w:pPr>
        <w:spacing w:after="0"/>
        <w:rPr>
          <w:rFonts w:ascii="Arial" w:hAnsi="Arial" w:cs="Arial"/>
          <w:iCs/>
          <w:sz w:val="19"/>
          <w:szCs w:val="19"/>
        </w:rPr>
      </w:pPr>
    </w:p>
    <w:p w:rsidR="004E3E84" w:rsidRPr="00C020BA" w:rsidRDefault="004E3E84" w:rsidP="003A1BD9">
      <w:pPr>
        <w:spacing w:after="0"/>
        <w:rPr>
          <w:rFonts w:ascii="Arial" w:hAnsi="Arial" w:cs="Arial"/>
          <w:iCs/>
          <w:sz w:val="19"/>
          <w:szCs w:val="19"/>
        </w:rPr>
      </w:pPr>
    </w:p>
    <w:p w:rsidR="00550144" w:rsidRPr="00C020BA" w:rsidRDefault="00550144" w:rsidP="003A1BD9">
      <w:pPr>
        <w:spacing w:after="0"/>
        <w:rPr>
          <w:rFonts w:ascii="Arial" w:hAnsi="Arial" w:cs="Arial"/>
          <w:iCs/>
          <w:sz w:val="19"/>
          <w:szCs w:val="19"/>
        </w:rPr>
      </w:pPr>
    </w:p>
    <w:p w:rsidR="00BD0581" w:rsidRPr="00C020BA" w:rsidRDefault="00A638B1" w:rsidP="003A1BD9">
      <w:pPr>
        <w:spacing w:after="0"/>
        <w:rPr>
          <w:rFonts w:ascii="Arial" w:hAnsi="Arial" w:cs="Arial"/>
          <w:iCs/>
          <w:sz w:val="19"/>
          <w:szCs w:val="19"/>
        </w:rPr>
      </w:pPr>
      <w:r w:rsidRPr="00C020BA">
        <w:rPr>
          <w:rFonts w:ascii="Arial" w:hAnsi="Arial" w:cs="Arial"/>
          <w:iCs/>
          <w:sz w:val="19"/>
          <w:szCs w:val="19"/>
        </w:rPr>
        <w:t>Paul Thomson A</w:t>
      </w:r>
      <w:r w:rsidR="00855E08" w:rsidRPr="00C020BA">
        <w:rPr>
          <w:rFonts w:ascii="Arial" w:hAnsi="Arial" w:cs="Arial"/>
          <w:iCs/>
          <w:sz w:val="19"/>
          <w:szCs w:val="19"/>
        </w:rPr>
        <w:t>CA</w:t>
      </w:r>
      <w:r w:rsidR="00BD0581" w:rsidRPr="00C020BA">
        <w:rPr>
          <w:rFonts w:ascii="Arial" w:hAnsi="Arial" w:cs="Arial"/>
          <w:iCs/>
          <w:sz w:val="19"/>
          <w:szCs w:val="19"/>
        </w:rPr>
        <w:t xml:space="preserve"> (Senior </w:t>
      </w:r>
      <w:r w:rsidR="00B62345" w:rsidRPr="00C020BA">
        <w:rPr>
          <w:rFonts w:ascii="Arial" w:hAnsi="Arial" w:cs="Arial"/>
          <w:iCs/>
          <w:sz w:val="19"/>
          <w:szCs w:val="19"/>
        </w:rPr>
        <w:t>s</w:t>
      </w:r>
      <w:r w:rsidR="00BD0581" w:rsidRPr="00C020BA">
        <w:rPr>
          <w:rFonts w:ascii="Arial" w:hAnsi="Arial" w:cs="Arial"/>
          <w:iCs/>
          <w:sz w:val="19"/>
          <w:szCs w:val="19"/>
        </w:rPr>
        <w:t xml:space="preserve">tatutory </w:t>
      </w:r>
      <w:r w:rsidR="00B62345" w:rsidRPr="00C020BA">
        <w:rPr>
          <w:rFonts w:ascii="Arial" w:hAnsi="Arial" w:cs="Arial"/>
          <w:iCs/>
          <w:sz w:val="19"/>
          <w:szCs w:val="19"/>
        </w:rPr>
        <w:t>a</w:t>
      </w:r>
      <w:r w:rsidR="00BD0581" w:rsidRPr="00C020BA">
        <w:rPr>
          <w:rFonts w:ascii="Arial" w:hAnsi="Arial" w:cs="Arial"/>
          <w:iCs/>
          <w:sz w:val="19"/>
          <w:szCs w:val="19"/>
        </w:rPr>
        <w:t>uditor)</w:t>
      </w:r>
    </w:p>
    <w:p w:rsidR="00BD0581" w:rsidRPr="00C020BA" w:rsidRDefault="00BD0581" w:rsidP="003A1BD9">
      <w:pPr>
        <w:spacing w:after="0"/>
        <w:rPr>
          <w:rFonts w:ascii="Arial" w:hAnsi="Arial" w:cs="Arial"/>
          <w:iCs/>
          <w:sz w:val="19"/>
          <w:szCs w:val="19"/>
        </w:rPr>
      </w:pPr>
      <w:r w:rsidRPr="00C020BA">
        <w:rPr>
          <w:rFonts w:ascii="Arial" w:hAnsi="Arial" w:cs="Arial"/>
          <w:iCs/>
          <w:sz w:val="19"/>
          <w:szCs w:val="19"/>
        </w:rPr>
        <w:t>for and on behalf of Deloitte LLP</w:t>
      </w:r>
    </w:p>
    <w:p w:rsidR="00BD0581" w:rsidRPr="00C020BA" w:rsidRDefault="00BD0581" w:rsidP="003A1BD9">
      <w:pPr>
        <w:spacing w:after="0"/>
        <w:rPr>
          <w:rFonts w:ascii="Arial" w:hAnsi="Arial" w:cs="Arial"/>
          <w:sz w:val="19"/>
          <w:szCs w:val="19"/>
        </w:rPr>
      </w:pPr>
      <w:r w:rsidRPr="00C020BA">
        <w:rPr>
          <w:rFonts w:ascii="Arial" w:hAnsi="Arial" w:cs="Arial"/>
          <w:iCs/>
          <w:sz w:val="19"/>
          <w:szCs w:val="19"/>
        </w:rPr>
        <w:t>Chartered Acc</w:t>
      </w:r>
      <w:r w:rsidR="003D3752" w:rsidRPr="00C020BA">
        <w:rPr>
          <w:rFonts w:ascii="Arial" w:hAnsi="Arial" w:cs="Arial"/>
          <w:iCs/>
          <w:sz w:val="19"/>
          <w:szCs w:val="19"/>
        </w:rPr>
        <w:t>ountants and Statutory Auditor</w:t>
      </w:r>
    </w:p>
    <w:p w:rsidR="00BD0581" w:rsidRDefault="00BD0581" w:rsidP="003A1BD9">
      <w:pPr>
        <w:spacing w:after="0"/>
        <w:rPr>
          <w:rFonts w:ascii="Arial" w:hAnsi="Arial" w:cs="Arial"/>
          <w:iCs/>
          <w:sz w:val="19"/>
          <w:szCs w:val="19"/>
        </w:rPr>
      </w:pPr>
      <w:r w:rsidRPr="00C020BA">
        <w:rPr>
          <w:rFonts w:ascii="Arial" w:hAnsi="Arial" w:cs="Arial"/>
          <w:iCs/>
          <w:sz w:val="19"/>
          <w:szCs w:val="19"/>
        </w:rPr>
        <w:t>Newcastle</w:t>
      </w:r>
      <w:r w:rsidR="00B62345" w:rsidRPr="00C020BA">
        <w:rPr>
          <w:rFonts w:ascii="Arial" w:hAnsi="Arial" w:cs="Arial"/>
          <w:iCs/>
          <w:sz w:val="19"/>
          <w:szCs w:val="19"/>
        </w:rPr>
        <w:t>-</w:t>
      </w:r>
      <w:r w:rsidRPr="00C020BA">
        <w:rPr>
          <w:rFonts w:ascii="Arial" w:hAnsi="Arial" w:cs="Arial"/>
          <w:iCs/>
          <w:sz w:val="19"/>
          <w:szCs w:val="19"/>
        </w:rPr>
        <w:t>upon</w:t>
      </w:r>
      <w:r w:rsidR="00B62345" w:rsidRPr="00C020BA">
        <w:rPr>
          <w:rFonts w:ascii="Arial" w:hAnsi="Arial" w:cs="Arial"/>
          <w:iCs/>
          <w:sz w:val="19"/>
          <w:szCs w:val="19"/>
        </w:rPr>
        <w:t>-</w:t>
      </w:r>
      <w:r w:rsidRPr="00C020BA">
        <w:rPr>
          <w:rFonts w:ascii="Arial" w:hAnsi="Arial" w:cs="Arial"/>
          <w:iCs/>
          <w:sz w:val="19"/>
          <w:szCs w:val="19"/>
        </w:rPr>
        <w:t>Tyne, U</w:t>
      </w:r>
      <w:r w:rsidR="00B62345" w:rsidRPr="00C020BA">
        <w:rPr>
          <w:rFonts w:ascii="Arial" w:hAnsi="Arial" w:cs="Arial"/>
          <w:iCs/>
          <w:sz w:val="19"/>
          <w:szCs w:val="19"/>
        </w:rPr>
        <w:t>K</w:t>
      </w:r>
    </w:p>
    <w:p w:rsidR="00550144" w:rsidRPr="00070D17" w:rsidRDefault="00550144" w:rsidP="003A1BD9">
      <w:pPr>
        <w:spacing w:after="0"/>
        <w:rPr>
          <w:rFonts w:ascii="Arial" w:hAnsi="Arial" w:cs="Arial"/>
          <w:sz w:val="19"/>
          <w:szCs w:val="19"/>
        </w:rPr>
      </w:pPr>
    </w:p>
    <w:p w:rsidR="00BD0581" w:rsidRPr="00070D17" w:rsidRDefault="00BD0581" w:rsidP="003A1BD9">
      <w:pPr>
        <w:spacing w:after="0"/>
        <w:rPr>
          <w:rFonts w:ascii="Arial" w:hAnsi="Arial" w:cs="Arial"/>
          <w:iCs/>
          <w:sz w:val="19"/>
          <w:szCs w:val="19"/>
        </w:rPr>
      </w:pPr>
    </w:p>
    <w:p w:rsidR="00A638B1" w:rsidRPr="00070D17" w:rsidRDefault="00A638B1" w:rsidP="003A1BD9">
      <w:pPr>
        <w:spacing w:after="0"/>
        <w:rPr>
          <w:rFonts w:ascii="Arial" w:hAnsi="Arial" w:cs="Arial"/>
          <w:sz w:val="19"/>
          <w:szCs w:val="19"/>
        </w:rPr>
      </w:pPr>
    </w:p>
    <w:p w:rsidR="00490A92" w:rsidRDefault="00490A92" w:rsidP="003A1BD9">
      <w:pPr>
        <w:rPr>
          <w:rFonts w:ascii="Arial" w:hAnsi="Arial" w:cs="Arial"/>
          <w:sz w:val="19"/>
          <w:szCs w:val="19"/>
        </w:rPr>
      </w:pPr>
    </w:p>
    <w:p w:rsidR="00550144" w:rsidRPr="00070D17" w:rsidRDefault="00550144" w:rsidP="003A1BD9">
      <w:pPr>
        <w:rPr>
          <w:rFonts w:ascii="Arial" w:hAnsi="Arial" w:cs="Arial"/>
          <w:sz w:val="19"/>
          <w:szCs w:val="19"/>
        </w:rPr>
        <w:sectPr w:rsidR="00550144" w:rsidRPr="00070D17" w:rsidSect="000C2F5B">
          <w:headerReference w:type="even" r:id="rId54"/>
          <w:headerReference w:type="default" r:id="rId55"/>
          <w:footerReference w:type="default" r:id="rId56"/>
          <w:headerReference w:type="first" r:id="rId57"/>
          <w:footerReference w:type="first" r:id="rId58"/>
          <w:pgSz w:w="11907" w:h="16834" w:code="9"/>
          <w:pgMar w:top="1418" w:right="1077" w:bottom="1134" w:left="851" w:header="567" w:footer="851" w:gutter="0"/>
          <w:pgNumType w:start="1"/>
          <w:cols w:space="720"/>
          <w:titlePg/>
          <w:docGrid w:linePitch="272"/>
        </w:sectPr>
      </w:pPr>
    </w:p>
    <w:tbl>
      <w:tblPr>
        <w:tblW w:w="9498" w:type="dxa"/>
        <w:tblLayout w:type="fixed"/>
        <w:tblCellMar>
          <w:left w:w="28" w:type="dxa"/>
          <w:right w:w="28" w:type="dxa"/>
        </w:tblCellMar>
        <w:tblLook w:val="0000" w:firstRow="0" w:lastRow="0" w:firstColumn="0" w:lastColumn="0" w:noHBand="0" w:noVBand="0"/>
      </w:tblPr>
      <w:tblGrid>
        <w:gridCol w:w="4281"/>
        <w:gridCol w:w="681"/>
        <w:gridCol w:w="1134"/>
        <w:gridCol w:w="1134"/>
        <w:gridCol w:w="1134"/>
        <w:gridCol w:w="1134"/>
      </w:tblGrid>
      <w:tr w:rsidR="006D4766" w:rsidRPr="00070D17" w:rsidTr="006D4766">
        <w:trPr>
          <w:cantSplit/>
        </w:trPr>
        <w:tc>
          <w:tcPr>
            <w:tcW w:w="4281" w:type="dxa"/>
          </w:tcPr>
          <w:p w:rsidR="006D4766" w:rsidRPr="00C46A29" w:rsidRDefault="006D4766" w:rsidP="003A1BD9">
            <w:pPr>
              <w:pStyle w:val="Tnormal"/>
              <w:rPr>
                <w:rFonts w:ascii="Arial" w:hAnsi="Arial" w:cs="Arial"/>
                <w:sz w:val="19"/>
                <w:szCs w:val="19"/>
                <w:highlight w:val="yellow"/>
              </w:rPr>
            </w:pPr>
          </w:p>
          <w:p w:rsidR="00866217" w:rsidRPr="00C46A29" w:rsidRDefault="00866217" w:rsidP="003A1BD9">
            <w:pPr>
              <w:pStyle w:val="Tnormal"/>
              <w:rPr>
                <w:rFonts w:ascii="Arial" w:hAnsi="Arial" w:cs="Arial"/>
                <w:sz w:val="19"/>
                <w:szCs w:val="19"/>
                <w:highlight w:val="yellow"/>
              </w:rPr>
            </w:pPr>
          </w:p>
        </w:tc>
        <w:tc>
          <w:tcPr>
            <w:tcW w:w="681" w:type="dxa"/>
          </w:tcPr>
          <w:p w:rsidR="006D4766" w:rsidRPr="00C46A29" w:rsidRDefault="006D4766" w:rsidP="003A1BD9">
            <w:pPr>
              <w:pStyle w:val="Tdec"/>
              <w:tabs>
                <w:tab w:val="clear" w:pos="993"/>
                <w:tab w:val="decimal" w:pos="539"/>
              </w:tabs>
              <w:jc w:val="left"/>
              <w:rPr>
                <w:rFonts w:ascii="Arial" w:hAnsi="Arial" w:cs="Arial"/>
                <w:b/>
                <w:sz w:val="19"/>
                <w:szCs w:val="19"/>
                <w:highlight w:val="yellow"/>
              </w:rPr>
            </w:pPr>
            <w:r w:rsidRPr="00411081">
              <w:rPr>
                <w:rFonts w:ascii="Arial" w:hAnsi="Arial" w:cs="Arial"/>
                <w:b/>
                <w:sz w:val="19"/>
                <w:szCs w:val="19"/>
              </w:rPr>
              <w:t>Note</w:t>
            </w: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D87A34" w:rsidRDefault="00411081" w:rsidP="003A1BD9">
            <w:pPr>
              <w:pStyle w:val="Thead"/>
              <w:rPr>
                <w:rFonts w:ascii="Arial" w:hAnsi="Arial" w:cs="Arial"/>
                <w:sz w:val="19"/>
                <w:szCs w:val="19"/>
              </w:rPr>
            </w:pPr>
            <w:r w:rsidRPr="00D87A34">
              <w:rPr>
                <w:rFonts w:ascii="Arial" w:hAnsi="Arial" w:cs="Arial"/>
                <w:sz w:val="19"/>
                <w:szCs w:val="19"/>
              </w:rPr>
              <w:t>2015</w:t>
            </w:r>
          </w:p>
          <w:p w:rsidR="00A638B1" w:rsidRPr="00D87A34" w:rsidRDefault="00A638B1" w:rsidP="003A1BD9">
            <w:pPr>
              <w:pStyle w:val="Thead"/>
              <w:rPr>
                <w:rFonts w:ascii="Arial" w:hAnsi="Arial" w:cs="Arial"/>
                <w:sz w:val="19"/>
                <w:szCs w:val="19"/>
              </w:rPr>
            </w:pPr>
            <w:r w:rsidRPr="00D87A34">
              <w:rPr>
                <w:rFonts w:ascii="Arial" w:hAnsi="Arial" w:cs="Arial"/>
                <w:sz w:val="19"/>
                <w:szCs w:val="19"/>
              </w:rPr>
              <w:t>£000</w:t>
            </w:r>
          </w:p>
        </w:tc>
        <w:tc>
          <w:tcPr>
            <w:tcW w:w="1134" w:type="dxa"/>
          </w:tcPr>
          <w:p w:rsidR="006D4766" w:rsidRPr="00411081" w:rsidRDefault="00411081" w:rsidP="003A1BD9">
            <w:pPr>
              <w:pStyle w:val="Thead"/>
              <w:rPr>
                <w:rFonts w:ascii="Arial" w:hAnsi="Arial" w:cs="Arial"/>
                <w:sz w:val="19"/>
                <w:szCs w:val="19"/>
              </w:rPr>
            </w:pPr>
            <w:r w:rsidRPr="00411081">
              <w:rPr>
                <w:rFonts w:ascii="Arial" w:hAnsi="Arial" w:cs="Arial"/>
                <w:sz w:val="19"/>
                <w:szCs w:val="19"/>
              </w:rPr>
              <w:t>2014</w:t>
            </w:r>
          </w:p>
          <w:p w:rsidR="00A638B1" w:rsidRPr="00411081" w:rsidRDefault="00A638B1" w:rsidP="003A1BD9">
            <w:pPr>
              <w:pStyle w:val="Thead"/>
              <w:rPr>
                <w:rFonts w:ascii="Arial" w:hAnsi="Arial" w:cs="Arial"/>
                <w:sz w:val="19"/>
                <w:szCs w:val="19"/>
              </w:rPr>
            </w:pPr>
            <w:r w:rsidRPr="00411081">
              <w:rPr>
                <w:rFonts w:ascii="Arial" w:hAnsi="Arial" w:cs="Arial"/>
                <w:sz w:val="19"/>
                <w:szCs w:val="19"/>
              </w:rPr>
              <w:t>£000</w:t>
            </w:r>
          </w:p>
        </w:tc>
      </w:tr>
      <w:tr w:rsidR="006D4766" w:rsidRPr="00070D17" w:rsidTr="006D4766">
        <w:trPr>
          <w:cantSplit/>
        </w:trPr>
        <w:tc>
          <w:tcPr>
            <w:tcW w:w="4281" w:type="dxa"/>
          </w:tcPr>
          <w:p w:rsidR="006D4766" w:rsidRPr="00C46A29" w:rsidRDefault="006D4766" w:rsidP="003A1BD9">
            <w:pPr>
              <w:pStyle w:val="B0"/>
              <w:spacing w:line="240" w:lineRule="auto"/>
              <w:rPr>
                <w:rFonts w:ascii="Arial" w:hAnsi="Arial" w:cs="Arial"/>
                <w:sz w:val="19"/>
                <w:szCs w:val="19"/>
                <w:highlight w:val="yellow"/>
              </w:rPr>
            </w:pPr>
          </w:p>
        </w:tc>
        <w:tc>
          <w:tcPr>
            <w:tcW w:w="681" w:type="dxa"/>
          </w:tcPr>
          <w:p w:rsidR="006D4766" w:rsidRPr="00C46A29" w:rsidRDefault="006D4766" w:rsidP="003A1BD9">
            <w:pPr>
              <w:pStyle w:val="B0"/>
              <w:spacing w:line="240" w:lineRule="auto"/>
              <w:rPr>
                <w:rFonts w:ascii="Arial" w:hAnsi="Arial" w:cs="Arial"/>
                <w:sz w:val="19"/>
                <w:szCs w:val="19"/>
                <w:highlight w:val="yellow"/>
              </w:rPr>
            </w:pPr>
          </w:p>
        </w:tc>
        <w:tc>
          <w:tcPr>
            <w:tcW w:w="1134" w:type="dxa"/>
          </w:tcPr>
          <w:p w:rsidR="006D4766" w:rsidRPr="00C46A29" w:rsidRDefault="006D4766" w:rsidP="003A1BD9">
            <w:pPr>
              <w:pStyle w:val="B0"/>
              <w:spacing w:line="240" w:lineRule="auto"/>
              <w:rPr>
                <w:rFonts w:ascii="Arial" w:hAnsi="Arial" w:cs="Arial"/>
                <w:sz w:val="19"/>
                <w:szCs w:val="19"/>
                <w:highlight w:val="yellow"/>
              </w:rPr>
            </w:pPr>
          </w:p>
        </w:tc>
        <w:tc>
          <w:tcPr>
            <w:tcW w:w="1134" w:type="dxa"/>
          </w:tcPr>
          <w:p w:rsidR="006D4766" w:rsidRPr="00C46A29" w:rsidRDefault="006D4766" w:rsidP="003A1BD9">
            <w:pPr>
              <w:pStyle w:val="B0"/>
              <w:spacing w:line="240" w:lineRule="auto"/>
              <w:rPr>
                <w:rFonts w:ascii="Arial" w:hAnsi="Arial" w:cs="Arial"/>
                <w:sz w:val="19"/>
                <w:szCs w:val="19"/>
                <w:highlight w:val="yellow"/>
              </w:rPr>
            </w:pPr>
          </w:p>
        </w:tc>
        <w:tc>
          <w:tcPr>
            <w:tcW w:w="1134" w:type="dxa"/>
          </w:tcPr>
          <w:p w:rsidR="006D4766" w:rsidRPr="00BC2CD5" w:rsidRDefault="006D4766" w:rsidP="003A1BD9">
            <w:pPr>
              <w:pStyle w:val="B0"/>
              <w:spacing w:line="240" w:lineRule="auto"/>
              <w:rPr>
                <w:rFonts w:ascii="Arial" w:hAnsi="Arial" w:cs="Arial"/>
                <w:sz w:val="19"/>
                <w:szCs w:val="19"/>
              </w:rPr>
            </w:pPr>
          </w:p>
        </w:tc>
        <w:tc>
          <w:tcPr>
            <w:tcW w:w="1134" w:type="dxa"/>
          </w:tcPr>
          <w:p w:rsidR="006D4766" w:rsidRPr="00411081" w:rsidRDefault="006D4766" w:rsidP="003A1BD9">
            <w:pPr>
              <w:pStyle w:val="B0"/>
              <w:spacing w:line="240" w:lineRule="auto"/>
              <w:rPr>
                <w:rFonts w:ascii="Arial" w:hAnsi="Arial" w:cs="Arial"/>
                <w:sz w:val="19"/>
                <w:szCs w:val="19"/>
              </w:rPr>
            </w:pPr>
          </w:p>
        </w:tc>
      </w:tr>
      <w:tr w:rsidR="006D4766" w:rsidRPr="00070D17" w:rsidTr="006D4766">
        <w:trPr>
          <w:cantSplit/>
        </w:trPr>
        <w:tc>
          <w:tcPr>
            <w:tcW w:w="4281" w:type="dxa"/>
          </w:tcPr>
          <w:p w:rsidR="006D4766" w:rsidRPr="00411081" w:rsidRDefault="006D4766" w:rsidP="003A1BD9">
            <w:pPr>
              <w:pStyle w:val="Tnormal"/>
              <w:rPr>
                <w:rFonts w:ascii="Arial" w:hAnsi="Arial" w:cs="Arial"/>
                <w:sz w:val="19"/>
                <w:szCs w:val="19"/>
              </w:rPr>
            </w:pPr>
            <w:r w:rsidRPr="00411081">
              <w:rPr>
                <w:rFonts w:ascii="Arial" w:hAnsi="Arial" w:cs="Arial"/>
                <w:b/>
                <w:sz w:val="19"/>
                <w:szCs w:val="19"/>
              </w:rPr>
              <w:t>TURNOVER</w:t>
            </w:r>
          </w:p>
        </w:tc>
        <w:tc>
          <w:tcPr>
            <w:tcW w:w="681" w:type="dxa"/>
          </w:tcPr>
          <w:p w:rsidR="006D4766" w:rsidRPr="003517C6" w:rsidRDefault="00EF0B10" w:rsidP="003A1BD9">
            <w:pPr>
              <w:pStyle w:val="Tnote"/>
              <w:rPr>
                <w:rFonts w:ascii="Arial" w:hAnsi="Arial" w:cs="Arial"/>
                <w:sz w:val="19"/>
                <w:szCs w:val="19"/>
              </w:rPr>
            </w:pPr>
            <w:r w:rsidRPr="003517C6">
              <w:rPr>
                <w:rFonts w:ascii="Arial" w:hAnsi="Arial" w:cs="Arial"/>
                <w:sz w:val="19"/>
                <w:szCs w:val="19"/>
              </w:rPr>
              <w:t>2</w:t>
            </w: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BC2CD5" w:rsidRDefault="006F067F" w:rsidP="003A1BD9">
            <w:pPr>
              <w:pStyle w:val="Tdec"/>
              <w:rPr>
                <w:rFonts w:ascii="Arial" w:hAnsi="Arial" w:cs="Arial"/>
                <w:sz w:val="19"/>
                <w:szCs w:val="19"/>
              </w:rPr>
            </w:pPr>
            <w:r w:rsidRPr="00BC2CD5">
              <w:rPr>
                <w:rFonts w:ascii="Arial" w:hAnsi="Arial" w:cs="Arial"/>
                <w:sz w:val="19"/>
                <w:szCs w:val="19"/>
              </w:rPr>
              <w:t>11,</w:t>
            </w:r>
            <w:r w:rsidR="00834E1F" w:rsidRPr="00BC2CD5">
              <w:rPr>
                <w:rFonts w:ascii="Arial" w:hAnsi="Arial" w:cs="Arial"/>
                <w:sz w:val="19"/>
                <w:szCs w:val="19"/>
              </w:rPr>
              <w:t>526</w:t>
            </w:r>
          </w:p>
        </w:tc>
        <w:tc>
          <w:tcPr>
            <w:tcW w:w="1134" w:type="dxa"/>
          </w:tcPr>
          <w:p w:rsidR="006D4766" w:rsidRPr="00411081" w:rsidRDefault="00A638B1" w:rsidP="003A1BD9">
            <w:pPr>
              <w:pStyle w:val="Tdec"/>
              <w:rPr>
                <w:rFonts w:ascii="Arial" w:hAnsi="Arial" w:cs="Arial"/>
                <w:sz w:val="19"/>
                <w:szCs w:val="19"/>
              </w:rPr>
            </w:pPr>
            <w:r w:rsidRPr="00411081">
              <w:rPr>
                <w:rFonts w:ascii="Arial" w:hAnsi="Arial" w:cs="Arial"/>
                <w:sz w:val="19"/>
                <w:szCs w:val="19"/>
              </w:rPr>
              <w:t>11,</w:t>
            </w:r>
            <w:r w:rsidR="00411081" w:rsidRPr="00411081">
              <w:rPr>
                <w:rFonts w:ascii="Arial" w:hAnsi="Arial" w:cs="Arial"/>
                <w:sz w:val="19"/>
                <w:szCs w:val="19"/>
              </w:rPr>
              <w:t>190</w:t>
            </w:r>
          </w:p>
        </w:tc>
      </w:tr>
      <w:tr w:rsidR="006D4766" w:rsidRPr="00070D17" w:rsidTr="006D4766">
        <w:trPr>
          <w:cantSplit/>
        </w:trPr>
        <w:tc>
          <w:tcPr>
            <w:tcW w:w="4281" w:type="dxa"/>
          </w:tcPr>
          <w:p w:rsidR="006D4766" w:rsidRPr="00411081" w:rsidRDefault="00A638B1" w:rsidP="003A1BD9">
            <w:pPr>
              <w:pStyle w:val="Tnormal"/>
              <w:rPr>
                <w:rFonts w:ascii="Arial" w:hAnsi="Arial" w:cs="Arial"/>
                <w:sz w:val="19"/>
                <w:szCs w:val="19"/>
              </w:rPr>
            </w:pPr>
            <w:r w:rsidRPr="00411081">
              <w:rPr>
                <w:rFonts w:ascii="Arial" w:hAnsi="Arial" w:cs="Arial"/>
                <w:sz w:val="19"/>
                <w:szCs w:val="19"/>
              </w:rPr>
              <w:t>Operating costs</w:t>
            </w:r>
          </w:p>
        </w:tc>
        <w:tc>
          <w:tcPr>
            <w:tcW w:w="681" w:type="dxa"/>
          </w:tcPr>
          <w:p w:rsidR="006D4766" w:rsidRPr="003517C6" w:rsidRDefault="00A638B1" w:rsidP="003A1BD9">
            <w:pPr>
              <w:pStyle w:val="Tnote"/>
              <w:rPr>
                <w:rFonts w:ascii="Arial" w:hAnsi="Arial" w:cs="Arial"/>
                <w:sz w:val="19"/>
                <w:szCs w:val="19"/>
              </w:rPr>
            </w:pPr>
            <w:r w:rsidRPr="003517C6">
              <w:rPr>
                <w:rFonts w:ascii="Arial" w:hAnsi="Arial" w:cs="Arial"/>
                <w:sz w:val="19"/>
                <w:szCs w:val="19"/>
              </w:rPr>
              <w:t>2</w:t>
            </w: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BC2CD5" w:rsidRDefault="00BC2CD5" w:rsidP="003A1BD9">
            <w:pPr>
              <w:pStyle w:val="Tdec"/>
              <w:rPr>
                <w:rFonts w:ascii="Arial" w:hAnsi="Arial" w:cs="Arial"/>
                <w:sz w:val="19"/>
                <w:szCs w:val="19"/>
              </w:rPr>
            </w:pPr>
            <w:r w:rsidRPr="00BC2CD5">
              <w:rPr>
                <w:rFonts w:ascii="Arial" w:hAnsi="Arial" w:cs="Arial"/>
                <w:sz w:val="19"/>
                <w:szCs w:val="19"/>
              </w:rPr>
              <w:t>(17,704</w:t>
            </w:r>
            <w:r w:rsidR="006F067F" w:rsidRPr="00BC2CD5">
              <w:rPr>
                <w:rFonts w:ascii="Arial" w:hAnsi="Arial" w:cs="Arial"/>
                <w:sz w:val="19"/>
                <w:szCs w:val="19"/>
              </w:rPr>
              <w:t>)</w:t>
            </w:r>
          </w:p>
        </w:tc>
        <w:tc>
          <w:tcPr>
            <w:tcW w:w="1134" w:type="dxa"/>
          </w:tcPr>
          <w:p w:rsidR="006D4766" w:rsidRPr="00411081" w:rsidRDefault="00411081" w:rsidP="003A1BD9">
            <w:pPr>
              <w:pStyle w:val="Tdec"/>
              <w:rPr>
                <w:rFonts w:ascii="Arial" w:hAnsi="Arial" w:cs="Arial"/>
                <w:sz w:val="19"/>
                <w:szCs w:val="19"/>
              </w:rPr>
            </w:pPr>
            <w:r w:rsidRPr="00411081">
              <w:rPr>
                <w:rFonts w:ascii="Arial" w:hAnsi="Arial" w:cs="Arial"/>
                <w:sz w:val="19"/>
                <w:szCs w:val="19"/>
              </w:rPr>
              <w:t>(13,827</w:t>
            </w:r>
            <w:r w:rsidR="00A638B1" w:rsidRPr="00411081">
              <w:rPr>
                <w:rFonts w:ascii="Arial" w:hAnsi="Arial" w:cs="Arial"/>
                <w:sz w:val="19"/>
                <w:szCs w:val="19"/>
              </w:rPr>
              <w:t>)</w:t>
            </w:r>
          </w:p>
        </w:tc>
      </w:tr>
      <w:tr w:rsidR="006D4766" w:rsidRPr="00070D17" w:rsidTr="006D4766">
        <w:trPr>
          <w:cantSplit/>
        </w:trPr>
        <w:tc>
          <w:tcPr>
            <w:tcW w:w="4281" w:type="dxa"/>
          </w:tcPr>
          <w:p w:rsidR="006D4766" w:rsidRPr="00411081" w:rsidRDefault="006D4766" w:rsidP="003A1BD9">
            <w:pPr>
              <w:pStyle w:val="Tnormal"/>
              <w:rPr>
                <w:rFonts w:ascii="Arial" w:hAnsi="Arial" w:cs="Arial"/>
                <w:sz w:val="19"/>
                <w:szCs w:val="19"/>
              </w:rPr>
            </w:pPr>
          </w:p>
        </w:tc>
        <w:tc>
          <w:tcPr>
            <w:tcW w:w="681" w:type="dxa"/>
          </w:tcPr>
          <w:p w:rsidR="006D4766" w:rsidRPr="00C46A29" w:rsidRDefault="006D4766" w:rsidP="003A1BD9">
            <w:pPr>
              <w:pStyle w:val="Tnote"/>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BC2CD5" w:rsidRDefault="006D4766" w:rsidP="003A1BD9">
            <w:pPr>
              <w:pStyle w:val="S9"/>
              <w:spacing w:line="240" w:lineRule="auto"/>
              <w:rPr>
                <w:rFonts w:ascii="Arial" w:hAnsi="Arial" w:cs="Arial"/>
                <w:sz w:val="19"/>
                <w:szCs w:val="19"/>
              </w:rPr>
            </w:pPr>
          </w:p>
        </w:tc>
        <w:tc>
          <w:tcPr>
            <w:tcW w:w="1134" w:type="dxa"/>
          </w:tcPr>
          <w:p w:rsidR="006D4766" w:rsidRPr="00411081" w:rsidRDefault="006D4766" w:rsidP="003A1BD9">
            <w:pPr>
              <w:pStyle w:val="S9"/>
              <w:spacing w:line="240" w:lineRule="auto"/>
              <w:rPr>
                <w:rFonts w:ascii="Arial" w:hAnsi="Arial" w:cs="Arial"/>
                <w:sz w:val="19"/>
                <w:szCs w:val="19"/>
              </w:rPr>
            </w:pPr>
          </w:p>
        </w:tc>
      </w:tr>
      <w:tr w:rsidR="006D4766" w:rsidRPr="00070D17" w:rsidTr="006D4766">
        <w:trPr>
          <w:cantSplit/>
        </w:trPr>
        <w:tc>
          <w:tcPr>
            <w:tcW w:w="4281" w:type="dxa"/>
          </w:tcPr>
          <w:p w:rsidR="006D4766" w:rsidRPr="00411081" w:rsidRDefault="006D4766" w:rsidP="003A1BD9">
            <w:pPr>
              <w:pStyle w:val="Tnormal"/>
              <w:rPr>
                <w:rFonts w:ascii="Arial" w:hAnsi="Arial" w:cs="Arial"/>
                <w:b/>
                <w:sz w:val="19"/>
                <w:szCs w:val="19"/>
              </w:rPr>
            </w:pPr>
            <w:r w:rsidRPr="00411081">
              <w:rPr>
                <w:rFonts w:ascii="Arial" w:hAnsi="Arial" w:cs="Arial"/>
                <w:b/>
                <w:sz w:val="19"/>
                <w:szCs w:val="19"/>
              </w:rPr>
              <w:t xml:space="preserve">GROSS </w:t>
            </w:r>
            <w:r w:rsidR="00DC3C01" w:rsidRPr="00411081">
              <w:rPr>
                <w:rFonts w:ascii="Arial" w:hAnsi="Arial" w:cs="Arial"/>
                <w:b/>
                <w:sz w:val="19"/>
                <w:szCs w:val="19"/>
              </w:rPr>
              <w:t>DEFICIT</w:t>
            </w:r>
          </w:p>
        </w:tc>
        <w:tc>
          <w:tcPr>
            <w:tcW w:w="681" w:type="dxa"/>
          </w:tcPr>
          <w:p w:rsidR="006D4766" w:rsidRPr="00C46A29" w:rsidRDefault="006D4766" w:rsidP="003A1BD9">
            <w:pPr>
              <w:pStyle w:val="Tnote"/>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BC2CD5" w:rsidRDefault="00BC2CD5" w:rsidP="003A1BD9">
            <w:pPr>
              <w:pStyle w:val="Tdec"/>
              <w:rPr>
                <w:rFonts w:ascii="Arial" w:hAnsi="Arial" w:cs="Arial"/>
                <w:sz w:val="19"/>
                <w:szCs w:val="19"/>
              </w:rPr>
            </w:pPr>
            <w:r w:rsidRPr="00BC2CD5">
              <w:rPr>
                <w:rFonts w:ascii="Arial" w:hAnsi="Arial" w:cs="Arial"/>
                <w:sz w:val="19"/>
                <w:szCs w:val="19"/>
              </w:rPr>
              <w:t>(6,178</w:t>
            </w:r>
            <w:r w:rsidR="006F067F" w:rsidRPr="00BC2CD5">
              <w:rPr>
                <w:rFonts w:ascii="Arial" w:hAnsi="Arial" w:cs="Arial"/>
                <w:sz w:val="19"/>
                <w:szCs w:val="19"/>
              </w:rPr>
              <w:t>)</w:t>
            </w:r>
          </w:p>
        </w:tc>
        <w:tc>
          <w:tcPr>
            <w:tcW w:w="1134" w:type="dxa"/>
          </w:tcPr>
          <w:p w:rsidR="006D4766" w:rsidRPr="00411081" w:rsidRDefault="00411081" w:rsidP="003A1BD9">
            <w:pPr>
              <w:pStyle w:val="Tdec"/>
              <w:rPr>
                <w:rFonts w:ascii="Arial" w:hAnsi="Arial" w:cs="Arial"/>
                <w:sz w:val="19"/>
                <w:szCs w:val="19"/>
              </w:rPr>
            </w:pPr>
            <w:r w:rsidRPr="00411081">
              <w:rPr>
                <w:rFonts w:ascii="Arial" w:hAnsi="Arial" w:cs="Arial"/>
                <w:sz w:val="19"/>
                <w:szCs w:val="19"/>
              </w:rPr>
              <w:t>(2,637</w:t>
            </w:r>
            <w:r w:rsidR="00A638B1" w:rsidRPr="00411081">
              <w:rPr>
                <w:rFonts w:ascii="Arial" w:hAnsi="Arial" w:cs="Arial"/>
                <w:sz w:val="19"/>
                <w:szCs w:val="19"/>
              </w:rPr>
              <w:t>)</w:t>
            </w:r>
          </w:p>
        </w:tc>
      </w:tr>
      <w:tr w:rsidR="006D4766" w:rsidRPr="00070D17" w:rsidTr="006D4766">
        <w:trPr>
          <w:cantSplit/>
        </w:trPr>
        <w:tc>
          <w:tcPr>
            <w:tcW w:w="4281" w:type="dxa"/>
          </w:tcPr>
          <w:p w:rsidR="006D4766" w:rsidRPr="00411081" w:rsidRDefault="006D4766" w:rsidP="003A1BD9">
            <w:pPr>
              <w:pStyle w:val="Tnormal"/>
              <w:rPr>
                <w:rFonts w:ascii="Arial" w:hAnsi="Arial" w:cs="Arial"/>
                <w:sz w:val="19"/>
                <w:szCs w:val="19"/>
              </w:rPr>
            </w:pPr>
          </w:p>
        </w:tc>
        <w:tc>
          <w:tcPr>
            <w:tcW w:w="681" w:type="dxa"/>
          </w:tcPr>
          <w:p w:rsidR="006D4766" w:rsidRPr="00C46A29" w:rsidRDefault="006D4766" w:rsidP="003A1BD9">
            <w:pPr>
              <w:pStyle w:val="Tnote"/>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BC2CD5" w:rsidRDefault="006D4766" w:rsidP="003A1BD9">
            <w:pPr>
              <w:pStyle w:val="Tdec"/>
              <w:rPr>
                <w:rFonts w:ascii="Arial" w:hAnsi="Arial" w:cs="Arial"/>
                <w:sz w:val="19"/>
                <w:szCs w:val="19"/>
              </w:rPr>
            </w:pPr>
          </w:p>
        </w:tc>
        <w:tc>
          <w:tcPr>
            <w:tcW w:w="1134" w:type="dxa"/>
          </w:tcPr>
          <w:p w:rsidR="006D4766" w:rsidRPr="00411081" w:rsidRDefault="006D4766" w:rsidP="003A1BD9">
            <w:pPr>
              <w:pStyle w:val="Tdec"/>
              <w:rPr>
                <w:rFonts w:ascii="Arial" w:hAnsi="Arial" w:cs="Arial"/>
                <w:sz w:val="19"/>
                <w:szCs w:val="19"/>
              </w:rPr>
            </w:pPr>
          </w:p>
        </w:tc>
      </w:tr>
      <w:tr w:rsidR="006D4766" w:rsidRPr="00070D17" w:rsidTr="006D4766">
        <w:trPr>
          <w:cantSplit/>
        </w:trPr>
        <w:tc>
          <w:tcPr>
            <w:tcW w:w="4281" w:type="dxa"/>
          </w:tcPr>
          <w:p w:rsidR="006D4766" w:rsidRPr="00411081" w:rsidRDefault="00723338" w:rsidP="003A1BD9">
            <w:pPr>
              <w:pStyle w:val="Tnormal"/>
              <w:rPr>
                <w:rFonts w:ascii="Arial" w:hAnsi="Arial" w:cs="Arial"/>
                <w:sz w:val="19"/>
                <w:szCs w:val="19"/>
              </w:rPr>
            </w:pPr>
            <w:r w:rsidRPr="00411081">
              <w:rPr>
                <w:rFonts w:ascii="Arial" w:hAnsi="Arial" w:cs="Arial"/>
                <w:sz w:val="19"/>
                <w:szCs w:val="19"/>
              </w:rPr>
              <w:t>Other operating income</w:t>
            </w:r>
          </w:p>
        </w:tc>
        <w:tc>
          <w:tcPr>
            <w:tcW w:w="681" w:type="dxa"/>
          </w:tcPr>
          <w:p w:rsidR="006D4766" w:rsidRPr="00C46A29" w:rsidRDefault="00A638B1" w:rsidP="003A1BD9">
            <w:pPr>
              <w:pStyle w:val="Tnote"/>
              <w:rPr>
                <w:rFonts w:ascii="Arial" w:hAnsi="Arial" w:cs="Arial"/>
                <w:sz w:val="19"/>
                <w:szCs w:val="19"/>
                <w:highlight w:val="yellow"/>
              </w:rPr>
            </w:pPr>
            <w:r w:rsidRPr="003517C6">
              <w:rPr>
                <w:rFonts w:ascii="Arial" w:hAnsi="Arial" w:cs="Arial"/>
                <w:sz w:val="19"/>
                <w:szCs w:val="19"/>
              </w:rPr>
              <w:t>2</w:t>
            </w: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BC2CD5" w:rsidRDefault="00834E1F" w:rsidP="003A1BD9">
            <w:pPr>
              <w:pStyle w:val="Tdec"/>
              <w:rPr>
                <w:rFonts w:ascii="Arial" w:hAnsi="Arial" w:cs="Arial"/>
                <w:sz w:val="19"/>
                <w:szCs w:val="19"/>
              </w:rPr>
            </w:pPr>
            <w:r w:rsidRPr="00BC2CD5">
              <w:rPr>
                <w:rFonts w:ascii="Arial" w:hAnsi="Arial" w:cs="Arial"/>
                <w:sz w:val="19"/>
                <w:szCs w:val="19"/>
              </w:rPr>
              <w:t>7,652</w:t>
            </w:r>
          </w:p>
        </w:tc>
        <w:tc>
          <w:tcPr>
            <w:tcW w:w="1134" w:type="dxa"/>
          </w:tcPr>
          <w:p w:rsidR="006D4766" w:rsidRPr="00411081" w:rsidRDefault="00411081" w:rsidP="003A1BD9">
            <w:pPr>
              <w:pStyle w:val="Tdec"/>
              <w:rPr>
                <w:rFonts w:ascii="Arial" w:hAnsi="Arial" w:cs="Arial"/>
                <w:sz w:val="19"/>
                <w:szCs w:val="19"/>
              </w:rPr>
            </w:pPr>
            <w:r w:rsidRPr="00411081">
              <w:rPr>
                <w:rFonts w:ascii="Arial" w:hAnsi="Arial" w:cs="Arial"/>
                <w:sz w:val="19"/>
                <w:szCs w:val="19"/>
              </w:rPr>
              <w:t>3,136</w:t>
            </w:r>
          </w:p>
        </w:tc>
      </w:tr>
      <w:tr w:rsidR="006D4766" w:rsidRPr="00070D17" w:rsidTr="006D4766">
        <w:trPr>
          <w:cantSplit/>
        </w:trPr>
        <w:tc>
          <w:tcPr>
            <w:tcW w:w="4281" w:type="dxa"/>
          </w:tcPr>
          <w:p w:rsidR="006D4766" w:rsidRPr="00411081" w:rsidRDefault="006D4766" w:rsidP="003A1BD9">
            <w:pPr>
              <w:pStyle w:val="Tnormal"/>
              <w:rPr>
                <w:rFonts w:ascii="Arial" w:hAnsi="Arial" w:cs="Arial"/>
                <w:b/>
                <w:sz w:val="19"/>
                <w:szCs w:val="19"/>
              </w:rPr>
            </w:pPr>
          </w:p>
        </w:tc>
        <w:tc>
          <w:tcPr>
            <w:tcW w:w="681" w:type="dxa"/>
          </w:tcPr>
          <w:p w:rsidR="006D4766" w:rsidRPr="00C46A29" w:rsidRDefault="006D4766" w:rsidP="003A1BD9">
            <w:pPr>
              <w:pStyle w:val="Tnote"/>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BC2CD5" w:rsidRDefault="006D4766" w:rsidP="003A1BD9">
            <w:pPr>
              <w:pStyle w:val="S9"/>
              <w:spacing w:line="240" w:lineRule="auto"/>
              <w:rPr>
                <w:rFonts w:ascii="Arial" w:hAnsi="Arial" w:cs="Arial"/>
                <w:sz w:val="19"/>
                <w:szCs w:val="19"/>
              </w:rPr>
            </w:pPr>
          </w:p>
        </w:tc>
        <w:tc>
          <w:tcPr>
            <w:tcW w:w="1134" w:type="dxa"/>
          </w:tcPr>
          <w:p w:rsidR="006D4766" w:rsidRPr="00411081" w:rsidRDefault="006D4766" w:rsidP="003A1BD9">
            <w:pPr>
              <w:pStyle w:val="S9"/>
              <w:spacing w:line="240" w:lineRule="auto"/>
              <w:rPr>
                <w:rFonts w:ascii="Arial" w:hAnsi="Arial" w:cs="Arial"/>
                <w:sz w:val="19"/>
                <w:szCs w:val="19"/>
              </w:rPr>
            </w:pPr>
          </w:p>
        </w:tc>
      </w:tr>
      <w:tr w:rsidR="006D4766" w:rsidRPr="00070D17" w:rsidTr="006D4766">
        <w:trPr>
          <w:cantSplit/>
        </w:trPr>
        <w:tc>
          <w:tcPr>
            <w:tcW w:w="4281" w:type="dxa"/>
          </w:tcPr>
          <w:p w:rsidR="006D4766" w:rsidRPr="00411081" w:rsidRDefault="006D4766" w:rsidP="003A1BD9">
            <w:pPr>
              <w:pStyle w:val="Tnormal"/>
              <w:rPr>
                <w:rFonts w:ascii="Arial" w:hAnsi="Arial" w:cs="Arial"/>
                <w:b/>
                <w:sz w:val="19"/>
                <w:szCs w:val="19"/>
              </w:rPr>
            </w:pPr>
            <w:r w:rsidRPr="00411081">
              <w:rPr>
                <w:rFonts w:ascii="Arial" w:hAnsi="Arial" w:cs="Arial"/>
                <w:b/>
                <w:sz w:val="19"/>
                <w:szCs w:val="19"/>
              </w:rPr>
              <w:t xml:space="preserve">OPERATING </w:t>
            </w:r>
            <w:r w:rsidR="00DC3C01" w:rsidRPr="00411081">
              <w:rPr>
                <w:rFonts w:ascii="Arial" w:hAnsi="Arial" w:cs="Arial"/>
                <w:b/>
                <w:sz w:val="19"/>
                <w:szCs w:val="19"/>
              </w:rPr>
              <w:t>SURPLUS</w:t>
            </w:r>
            <w:r w:rsidR="00EE0A45" w:rsidRPr="00411081">
              <w:rPr>
                <w:rFonts w:ascii="Arial" w:hAnsi="Arial" w:cs="Arial"/>
                <w:b/>
                <w:sz w:val="19"/>
                <w:szCs w:val="19"/>
              </w:rPr>
              <w:t>/(DEFICIT)</w:t>
            </w:r>
          </w:p>
        </w:tc>
        <w:tc>
          <w:tcPr>
            <w:tcW w:w="681" w:type="dxa"/>
          </w:tcPr>
          <w:p w:rsidR="006D4766" w:rsidRPr="00C46A29" w:rsidRDefault="006D4766" w:rsidP="003A1BD9">
            <w:pPr>
              <w:pStyle w:val="Tnote"/>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BC2CD5" w:rsidRDefault="00834E1F" w:rsidP="003A1BD9">
            <w:pPr>
              <w:pStyle w:val="Tdec"/>
              <w:rPr>
                <w:rFonts w:ascii="Arial" w:hAnsi="Arial" w:cs="Arial"/>
                <w:sz w:val="19"/>
                <w:szCs w:val="19"/>
              </w:rPr>
            </w:pPr>
            <w:r w:rsidRPr="00BC2CD5">
              <w:rPr>
                <w:rFonts w:ascii="Arial" w:hAnsi="Arial" w:cs="Arial"/>
                <w:sz w:val="19"/>
                <w:szCs w:val="19"/>
              </w:rPr>
              <w:t>1,4</w:t>
            </w:r>
            <w:r w:rsidR="00BC2CD5" w:rsidRPr="00BC2CD5">
              <w:rPr>
                <w:rFonts w:ascii="Arial" w:hAnsi="Arial" w:cs="Arial"/>
                <w:sz w:val="19"/>
                <w:szCs w:val="19"/>
              </w:rPr>
              <w:t>74</w:t>
            </w:r>
          </w:p>
        </w:tc>
        <w:tc>
          <w:tcPr>
            <w:tcW w:w="1134" w:type="dxa"/>
          </w:tcPr>
          <w:p w:rsidR="006D4766" w:rsidRPr="00411081" w:rsidRDefault="00411081" w:rsidP="003A1BD9">
            <w:pPr>
              <w:pStyle w:val="Tdec"/>
              <w:rPr>
                <w:rFonts w:ascii="Arial" w:hAnsi="Arial" w:cs="Arial"/>
                <w:sz w:val="19"/>
                <w:szCs w:val="19"/>
              </w:rPr>
            </w:pPr>
            <w:r w:rsidRPr="00411081">
              <w:rPr>
                <w:rFonts w:ascii="Arial" w:hAnsi="Arial" w:cs="Arial"/>
                <w:sz w:val="19"/>
                <w:szCs w:val="19"/>
              </w:rPr>
              <w:t>499</w:t>
            </w:r>
          </w:p>
        </w:tc>
      </w:tr>
      <w:tr w:rsidR="00A638B1" w:rsidRPr="00070D17" w:rsidTr="00A638B1">
        <w:trPr>
          <w:cantSplit/>
        </w:trPr>
        <w:tc>
          <w:tcPr>
            <w:tcW w:w="4281" w:type="dxa"/>
          </w:tcPr>
          <w:p w:rsidR="00A638B1" w:rsidRPr="00411081" w:rsidRDefault="00A638B1" w:rsidP="003A1BD9">
            <w:pPr>
              <w:pStyle w:val="Tnormal"/>
              <w:rPr>
                <w:rFonts w:ascii="Arial" w:hAnsi="Arial" w:cs="Arial"/>
                <w:sz w:val="19"/>
                <w:szCs w:val="19"/>
              </w:rPr>
            </w:pPr>
          </w:p>
        </w:tc>
        <w:tc>
          <w:tcPr>
            <w:tcW w:w="681" w:type="dxa"/>
          </w:tcPr>
          <w:p w:rsidR="00A638B1" w:rsidRPr="00C46A29" w:rsidRDefault="00A638B1" w:rsidP="003A1BD9">
            <w:pPr>
              <w:pStyle w:val="Tnote"/>
              <w:rPr>
                <w:rFonts w:ascii="Arial" w:hAnsi="Arial" w:cs="Arial"/>
                <w:sz w:val="19"/>
                <w:szCs w:val="19"/>
                <w:highlight w:val="yellow"/>
              </w:rPr>
            </w:pPr>
          </w:p>
        </w:tc>
        <w:tc>
          <w:tcPr>
            <w:tcW w:w="1134" w:type="dxa"/>
          </w:tcPr>
          <w:p w:rsidR="00A638B1" w:rsidRPr="00C46A29" w:rsidRDefault="00A638B1" w:rsidP="003A1BD9">
            <w:pPr>
              <w:pStyle w:val="Tdec"/>
              <w:rPr>
                <w:rFonts w:ascii="Arial" w:hAnsi="Arial" w:cs="Arial"/>
                <w:sz w:val="19"/>
                <w:szCs w:val="19"/>
                <w:highlight w:val="yellow"/>
              </w:rPr>
            </w:pPr>
          </w:p>
        </w:tc>
        <w:tc>
          <w:tcPr>
            <w:tcW w:w="1134" w:type="dxa"/>
          </w:tcPr>
          <w:p w:rsidR="00A638B1" w:rsidRPr="00C46A29" w:rsidRDefault="00A638B1" w:rsidP="003A1BD9">
            <w:pPr>
              <w:pStyle w:val="Tdec"/>
              <w:rPr>
                <w:rFonts w:ascii="Arial" w:hAnsi="Arial" w:cs="Arial"/>
                <w:sz w:val="19"/>
                <w:szCs w:val="19"/>
                <w:highlight w:val="yellow"/>
              </w:rPr>
            </w:pPr>
          </w:p>
        </w:tc>
        <w:tc>
          <w:tcPr>
            <w:tcW w:w="1134" w:type="dxa"/>
          </w:tcPr>
          <w:p w:rsidR="00A638B1" w:rsidRPr="00BC2CD5" w:rsidRDefault="00A638B1" w:rsidP="003A1BD9">
            <w:pPr>
              <w:pStyle w:val="Tdec"/>
              <w:rPr>
                <w:rFonts w:ascii="Arial" w:hAnsi="Arial" w:cs="Arial"/>
                <w:sz w:val="19"/>
                <w:szCs w:val="19"/>
              </w:rPr>
            </w:pPr>
          </w:p>
        </w:tc>
        <w:tc>
          <w:tcPr>
            <w:tcW w:w="1134" w:type="dxa"/>
          </w:tcPr>
          <w:p w:rsidR="00A638B1" w:rsidRPr="00411081" w:rsidRDefault="00A638B1" w:rsidP="003A1BD9">
            <w:pPr>
              <w:pStyle w:val="Tdec"/>
              <w:rPr>
                <w:rFonts w:ascii="Arial" w:hAnsi="Arial" w:cs="Arial"/>
                <w:sz w:val="19"/>
                <w:szCs w:val="19"/>
              </w:rPr>
            </w:pPr>
          </w:p>
        </w:tc>
      </w:tr>
      <w:tr w:rsidR="00A638B1" w:rsidRPr="00070D17" w:rsidTr="00A638B1">
        <w:trPr>
          <w:cantSplit/>
        </w:trPr>
        <w:tc>
          <w:tcPr>
            <w:tcW w:w="4281" w:type="dxa"/>
          </w:tcPr>
          <w:p w:rsidR="00A638B1" w:rsidRPr="00411081" w:rsidRDefault="00A638B1" w:rsidP="003A1BD9">
            <w:pPr>
              <w:pStyle w:val="Tnormal"/>
              <w:rPr>
                <w:rFonts w:ascii="Arial" w:hAnsi="Arial" w:cs="Arial"/>
                <w:sz w:val="19"/>
                <w:szCs w:val="19"/>
              </w:rPr>
            </w:pPr>
            <w:r w:rsidRPr="00411081">
              <w:rPr>
                <w:rFonts w:ascii="Arial" w:hAnsi="Arial" w:cs="Arial"/>
                <w:sz w:val="19"/>
                <w:szCs w:val="19"/>
              </w:rPr>
              <w:t xml:space="preserve">Interest </w:t>
            </w:r>
            <w:r w:rsidR="00F16068" w:rsidRPr="00411081">
              <w:rPr>
                <w:rFonts w:ascii="Arial" w:hAnsi="Arial" w:cs="Arial"/>
                <w:sz w:val="19"/>
                <w:szCs w:val="19"/>
              </w:rPr>
              <w:t>payable</w:t>
            </w:r>
            <w:r w:rsidRPr="00411081">
              <w:rPr>
                <w:rFonts w:ascii="Arial" w:hAnsi="Arial" w:cs="Arial"/>
                <w:sz w:val="19"/>
                <w:szCs w:val="19"/>
              </w:rPr>
              <w:t xml:space="preserve"> and similar charges</w:t>
            </w:r>
          </w:p>
        </w:tc>
        <w:tc>
          <w:tcPr>
            <w:tcW w:w="681" w:type="dxa"/>
          </w:tcPr>
          <w:p w:rsidR="00A638B1" w:rsidRPr="00EC6B60" w:rsidRDefault="00EC6B60" w:rsidP="003A1BD9">
            <w:pPr>
              <w:pStyle w:val="Tnote"/>
              <w:rPr>
                <w:rFonts w:ascii="Arial" w:hAnsi="Arial" w:cs="Arial"/>
                <w:sz w:val="19"/>
                <w:szCs w:val="19"/>
              </w:rPr>
            </w:pPr>
            <w:r w:rsidRPr="00EC6B60">
              <w:rPr>
                <w:rFonts w:ascii="Arial" w:hAnsi="Arial" w:cs="Arial"/>
                <w:sz w:val="19"/>
                <w:szCs w:val="19"/>
              </w:rPr>
              <w:t>6</w:t>
            </w:r>
          </w:p>
        </w:tc>
        <w:tc>
          <w:tcPr>
            <w:tcW w:w="1134" w:type="dxa"/>
          </w:tcPr>
          <w:p w:rsidR="00A638B1" w:rsidRPr="00EC6B60" w:rsidRDefault="00A638B1" w:rsidP="003A1BD9">
            <w:pPr>
              <w:pStyle w:val="Tdec"/>
              <w:rPr>
                <w:rFonts w:ascii="Arial" w:hAnsi="Arial" w:cs="Arial"/>
                <w:sz w:val="19"/>
                <w:szCs w:val="19"/>
              </w:rPr>
            </w:pPr>
          </w:p>
        </w:tc>
        <w:tc>
          <w:tcPr>
            <w:tcW w:w="1134" w:type="dxa"/>
          </w:tcPr>
          <w:p w:rsidR="00A638B1" w:rsidRPr="00C46A29" w:rsidRDefault="00A638B1" w:rsidP="003A1BD9">
            <w:pPr>
              <w:pStyle w:val="Tdec"/>
              <w:rPr>
                <w:rFonts w:ascii="Arial" w:hAnsi="Arial" w:cs="Arial"/>
                <w:sz w:val="19"/>
                <w:szCs w:val="19"/>
                <w:highlight w:val="yellow"/>
              </w:rPr>
            </w:pPr>
          </w:p>
        </w:tc>
        <w:tc>
          <w:tcPr>
            <w:tcW w:w="1134" w:type="dxa"/>
          </w:tcPr>
          <w:p w:rsidR="00A638B1" w:rsidRPr="00BC2CD5" w:rsidRDefault="00834E1F" w:rsidP="003A1BD9">
            <w:pPr>
              <w:pStyle w:val="Tdec"/>
              <w:rPr>
                <w:rFonts w:ascii="Arial" w:hAnsi="Arial" w:cs="Arial"/>
                <w:sz w:val="19"/>
                <w:szCs w:val="19"/>
              </w:rPr>
            </w:pPr>
            <w:r w:rsidRPr="00BC2CD5">
              <w:rPr>
                <w:rFonts w:ascii="Arial" w:hAnsi="Arial" w:cs="Arial"/>
                <w:sz w:val="19"/>
                <w:szCs w:val="19"/>
              </w:rPr>
              <w:t>(62</w:t>
            </w:r>
            <w:r w:rsidR="008C3C0A" w:rsidRPr="00BC2CD5">
              <w:rPr>
                <w:rFonts w:ascii="Arial" w:hAnsi="Arial" w:cs="Arial"/>
                <w:sz w:val="19"/>
                <w:szCs w:val="19"/>
              </w:rPr>
              <w:t>)</w:t>
            </w:r>
          </w:p>
        </w:tc>
        <w:tc>
          <w:tcPr>
            <w:tcW w:w="1134" w:type="dxa"/>
          </w:tcPr>
          <w:p w:rsidR="00A638B1" w:rsidRPr="00411081" w:rsidRDefault="00411081" w:rsidP="003A1BD9">
            <w:pPr>
              <w:pStyle w:val="Tdec"/>
              <w:rPr>
                <w:rFonts w:ascii="Arial" w:hAnsi="Arial" w:cs="Arial"/>
                <w:sz w:val="19"/>
                <w:szCs w:val="19"/>
              </w:rPr>
            </w:pPr>
            <w:r w:rsidRPr="00411081">
              <w:rPr>
                <w:rFonts w:ascii="Arial" w:hAnsi="Arial" w:cs="Arial"/>
                <w:sz w:val="19"/>
                <w:szCs w:val="19"/>
              </w:rPr>
              <w:t>(66</w:t>
            </w:r>
            <w:r w:rsidR="00A638B1" w:rsidRPr="00411081">
              <w:rPr>
                <w:rFonts w:ascii="Arial" w:hAnsi="Arial" w:cs="Arial"/>
                <w:sz w:val="19"/>
                <w:szCs w:val="19"/>
              </w:rPr>
              <w:t>)</w:t>
            </w:r>
          </w:p>
        </w:tc>
      </w:tr>
      <w:tr w:rsidR="00A638B1" w:rsidRPr="00070D17" w:rsidTr="00A638B1">
        <w:trPr>
          <w:cantSplit/>
        </w:trPr>
        <w:tc>
          <w:tcPr>
            <w:tcW w:w="4281" w:type="dxa"/>
          </w:tcPr>
          <w:p w:rsidR="00A638B1" w:rsidRPr="00411081" w:rsidRDefault="00A638B1" w:rsidP="003A1BD9">
            <w:pPr>
              <w:pStyle w:val="Tnormal"/>
              <w:rPr>
                <w:rFonts w:ascii="Arial" w:hAnsi="Arial" w:cs="Arial"/>
                <w:sz w:val="19"/>
                <w:szCs w:val="19"/>
              </w:rPr>
            </w:pPr>
            <w:r w:rsidRPr="00411081">
              <w:rPr>
                <w:rFonts w:ascii="Arial" w:hAnsi="Arial" w:cs="Arial"/>
                <w:sz w:val="19"/>
                <w:szCs w:val="19"/>
              </w:rPr>
              <w:t>Other finance (costs)/income</w:t>
            </w:r>
          </w:p>
        </w:tc>
        <w:tc>
          <w:tcPr>
            <w:tcW w:w="681" w:type="dxa"/>
          </w:tcPr>
          <w:p w:rsidR="00A638B1" w:rsidRPr="00EC6B60" w:rsidRDefault="00EC6B60" w:rsidP="003A1BD9">
            <w:pPr>
              <w:pStyle w:val="Tnote"/>
              <w:rPr>
                <w:rFonts w:ascii="Arial" w:hAnsi="Arial" w:cs="Arial"/>
                <w:sz w:val="19"/>
                <w:szCs w:val="19"/>
              </w:rPr>
            </w:pPr>
            <w:r w:rsidRPr="00EC6B60">
              <w:rPr>
                <w:rFonts w:ascii="Arial" w:hAnsi="Arial" w:cs="Arial"/>
                <w:sz w:val="19"/>
                <w:szCs w:val="19"/>
              </w:rPr>
              <w:t>7</w:t>
            </w:r>
          </w:p>
        </w:tc>
        <w:tc>
          <w:tcPr>
            <w:tcW w:w="1134" w:type="dxa"/>
          </w:tcPr>
          <w:p w:rsidR="00A638B1" w:rsidRPr="00EC6B60" w:rsidRDefault="00A638B1" w:rsidP="003A1BD9">
            <w:pPr>
              <w:pStyle w:val="Tdec"/>
              <w:rPr>
                <w:rFonts w:ascii="Arial" w:hAnsi="Arial" w:cs="Arial"/>
                <w:sz w:val="19"/>
                <w:szCs w:val="19"/>
              </w:rPr>
            </w:pPr>
          </w:p>
        </w:tc>
        <w:tc>
          <w:tcPr>
            <w:tcW w:w="1134" w:type="dxa"/>
          </w:tcPr>
          <w:p w:rsidR="00A638B1" w:rsidRPr="00C46A29" w:rsidRDefault="00A638B1" w:rsidP="003A1BD9">
            <w:pPr>
              <w:pStyle w:val="Tdec"/>
              <w:rPr>
                <w:rFonts w:ascii="Arial" w:hAnsi="Arial" w:cs="Arial"/>
                <w:sz w:val="19"/>
                <w:szCs w:val="19"/>
                <w:highlight w:val="yellow"/>
              </w:rPr>
            </w:pPr>
          </w:p>
        </w:tc>
        <w:tc>
          <w:tcPr>
            <w:tcW w:w="1134" w:type="dxa"/>
          </w:tcPr>
          <w:p w:rsidR="00A638B1" w:rsidRPr="00BC2CD5" w:rsidRDefault="00834E1F" w:rsidP="003A1BD9">
            <w:pPr>
              <w:pStyle w:val="Tdec"/>
              <w:rPr>
                <w:rFonts w:ascii="Arial" w:hAnsi="Arial" w:cs="Arial"/>
                <w:sz w:val="19"/>
                <w:szCs w:val="19"/>
              </w:rPr>
            </w:pPr>
            <w:r w:rsidRPr="00BC2CD5">
              <w:rPr>
                <w:rFonts w:ascii="Arial" w:hAnsi="Arial" w:cs="Arial"/>
                <w:sz w:val="19"/>
                <w:szCs w:val="19"/>
              </w:rPr>
              <w:t>300</w:t>
            </w:r>
          </w:p>
        </w:tc>
        <w:tc>
          <w:tcPr>
            <w:tcW w:w="1134" w:type="dxa"/>
          </w:tcPr>
          <w:p w:rsidR="00A638B1" w:rsidRPr="00411081" w:rsidRDefault="00411081" w:rsidP="003A1BD9">
            <w:pPr>
              <w:pStyle w:val="Tdec"/>
              <w:rPr>
                <w:rFonts w:ascii="Arial" w:hAnsi="Arial" w:cs="Arial"/>
                <w:sz w:val="19"/>
                <w:szCs w:val="19"/>
              </w:rPr>
            </w:pPr>
            <w:r w:rsidRPr="00411081">
              <w:rPr>
                <w:rFonts w:ascii="Arial" w:hAnsi="Arial" w:cs="Arial"/>
                <w:sz w:val="19"/>
                <w:szCs w:val="19"/>
              </w:rPr>
              <w:t>50</w:t>
            </w:r>
          </w:p>
        </w:tc>
      </w:tr>
      <w:tr w:rsidR="006D4766" w:rsidRPr="00070D17" w:rsidTr="006D4766">
        <w:trPr>
          <w:cantSplit/>
        </w:trPr>
        <w:tc>
          <w:tcPr>
            <w:tcW w:w="4281" w:type="dxa"/>
          </w:tcPr>
          <w:p w:rsidR="006D4766" w:rsidRPr="00411081" w:rsidRDefault="006D4766" w:rsidP="003A1BD9">
            <w:pPr>
              <w:pStyle w:val="Tnormal"/>
              <w:rPr>
                <w:rFonts w:ascii="Arial" w:hAnsi="Arial" w:cs="Arial"/>
                <w:sz w:val="19"/>
                <w:szCs w:val="19"/>
              </w:rPr>
            </w:pPr>
          </w:p>
        </w:tc>
        <w:tc>
          <w:tcPr>
            <w:tcW w:w="681" w:type="dxa"/>
          </w:tcPr>
          <w:p w:rsidR="006D4766" w:rsidRPr="00EC6B60" w:rsidRDefault="006D4766" w:rsidP="003A1BD9">
            <w:pPr>
              <w:pStyle w:val="Tnote"/>
              <w:rPr>
                <w:rFonts w:ascii="Arial" w:hAnsi="Arial" w:cs="Arial"/>
                <w:sz w:val="19"/>
                <w:szCs w:val="19"/>
              </w:rPr>
            </w:pPr>
          </w:p>
        </w:tc>
        <w:tc>
          <w:tcPr>
            <w:tcW w:w="1134" w:type="dxa"/>
          </w:tcPr>
          <w:p w:rsidR="006D4766" w:rsidRPr="00EC6B60" w:rsidRDefault="006D4766" w:rsidP="003A1BD9">
            <w:pPr>
              <w:pStyle w:val="Tdec"/>
              <w:rPr>
                <w:rFonts w:ascii="Arial" w:hAnsi="Arial" w:cs="Arial"/>
                <w:sz w:val="19"/>
                <w:szCs w:val="19"/>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BC2CD5" w:rsidRDefault="006D4766" w:rsidP="003A1BD9">
            <w:pPr>
              <w:pStyle w:val="S9"/>
              <w:tabs>
                <w:tab w:val="decimal" w:pos="992"/>
              </w:tabs>
              <w:spacing w:line="240" w:lineRule="auto"/>
              <w:rPr>
                <w:rFonts w:ascii="Arial" w:hAnsi="Arial" w:cs="Arial"/>
                <w:sz w:val="19"/>
                <w:szCs w:val="19"/>
              </w:rPr>
            </w:pPr>
          </w:p>
        </w:tc>
        <w:tc>
          <w:tcPr>
            <w:tcW w:w="1134" w:type="dxa"/>
          </w:tcPr>
          <w:p w:rsidR="006D4766" w:rsidRPr="00411081" w:rsidRDefault="006D4766" w:rsidP="003A1BD9">
            <w:pPr>
              <w:pStyle w:val="S9"/>
              <w:spacing w:line="240" w:lineRule="auto"/>
              <w:rPr>
                <w:rFonts w:ascii="Arial" w:hAnsi="Arial" w:cs="Arial"/>
                <w:sz w:val="19"/>
                <w:szCs w:val="19"/>
              </w:rPr>
            </w:pPr>
          </w:p>
        </w:tc>
      </w:tr>
      <w:tr w:rsidR="006D4766" w:rsidRPr="00070D17" w:rsidTr="006D4766">
        <w:trPr>
          <w:cantSplit/>
        </w:trPr>
        <w:tc>
          <w:tcPr>
            <w:tcW w:w="4281" w:type="dxa"/>
          </w:tcPr>
          <w:p w:rsidR="006D4766" w:rsidRPr="00411081" w:rsidRDefault="00DC3C01" w:rsidP="003A1BD9">
            <w:pPr>
              <w:pStyle w:val="Tnormal"/>
              <w:rPr>
                <w:rFonts w:ascii="Arial" w:hAnsi="Arial" w:cs="Arial"/>
                <w:sz w:val="19"/>
                <w:szCs w:val="19"/>
              </w:rPr>
            </w:pPr>
            <w:r w:rsidRPr="00411081">
              <w:rPr>
                <w:rFonts w:ascii="Arial" w:hAnsi="Arial" w:cs="Arial"/>
                <w:b/>
                <w:sz w:val="19"/>
                <w:szCs w:val="19"/>
              </w:rPr>
              <w:t>SURPLUS</w:t>
            </w:r>
            <w:r w:rsidR="008C3C0A" w:rsidRPr="00411081">
              <w:rPr>
                <w:rFonts w:ascii="Arial" w:hAnsi="Arial" w:cs="Arial"/>
                <w:b/>
                <w:sz w:val="19"/>
                <w:szCs w:val="19"/>
              </w:rPr>
              <w:t>/</w:t>
            </w:r>
            <w:r w:rsidR="009B1E7C" w:rsidRPr="00411081">
              <w:rPr>
                <w:rFonts w:ascii="Arial" w:hAnsi="Arial" w:cs="Arial"/>
                <w:b/>
                <w:sz w:val="19"/>
                <w:szCs w:val="19"/>
              </w:rPr>
              <w:t>(</w:t>
            </w:r>
            <w:r w:rsidRPr="00411081">
              <w:rPr>
                <w:rFonts w:ascii="Arial" w:hAnsi="Arial" w:cs="Arial"/>
                <w:b/>
                <w:sz w:val="19"/>
                <w:szCs w:val="19"/>
              </w:rPr>
              <w:t>DEFICIT</w:t>
            </w:r>
            <w:r w:rsidR="009B1E7C" w:rsidRPr="00411081">
              <w:rPr>
                <w:rFonts w:ascii="Arial" w:hAnsi="Arial" w:cs="Arial"/>
                <w:b/>
                <w:sz w:val="19"/>
                <w:szCs w:val="19"/>
              </w:rPr>
              <w:t>)</w:t>
            </w:r>
            <w:r w:rsidR="006D4766" w:rsidRPr="00411081">
              <w:rPr>
                <w:rFonts w:ascii="Arial" w:hAnsi="Arial" w:cs="Arial"/>
                <w:b/>
                <w:sz w:val="19"/>
                <w:szCs w:val="19"/>
              </w:rPr>
              <w:t xml:space="preserve"> ON ORDINARY ACTIVITIES BEFORE TAXATION</w:t>
            </w:r>
          </w:p>
        </w:tc>
        <w:tc>
          <w:tcPr>
            <w:tcW w:w="681" w:type="dxa"/>
          </w:tcPr>
          <w:p w:rsidR="00016ADA" w:rsidRPr="00EC6B60" w:rsidRDefault="00016ADA" w:rsidP="003A1BD9">
            <w:pPr>
              <w:pStyle w:val="Tnote"/>
              <w:rPr>
                <w:rFonts w:ascii="Arial" w:hAnsi="Arial" w:cs="Arial"/>
                <w:sz w:val="19"/>
                <w:szCs w:val="19"/>
              </w:rPr>
            </w:pPr>
          </w:p>
          <w:p w:rsidR="00A638B1" w:rsidRPr="00EC6B60" w:rsidRDefault="00EC6B60" w:rsidP="003A1BD9">
            <w:pPr>
              <w:pStyle w:val="Tnote"/>
              <w:rPr>
                <w:rFonts w:ascii="Arial" w:hAnsi="Arial" w:cs="Arial"/>
                <w:sz w:val="19"/>
                <w:szCs w:val="19"/>
              </w:rPr>
            </w:pPr>
            <w:r w:rsidRPr="00EC6B60">
              <w:rPr>
                <w:rFonts w:ascii="Arial" w:hAnsi="Arial" w:cs="Arial"/>
                <w:sz w:val="19"/>
                <w:szCs w:val="19"/>
              </w:rPr>
              <w:t>3</w:t>
            </w:r>
          </w:p>
        </w:tc>
        <w:tc>
          <w:tcPr>
            <w:tcW w:w="1134" w:type="dxa"/>
          </w:tcPr>
          <w:p w:rsidR="006D4766" w:rsidRPr="00EC6B60" w:rsidRDefault="006D4766" w:rsidP="003A1BD9">
            <w:pPr>
              <w:pStyle w:val="Tdec"/>
              <w:rPr>
                <w:rFonts w:ascii="Arial" w:hAnsi="Arial" w:cs="Arial"/>
                <w:sz w:val="19"/>
                <w:szCs w:val="19"/>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723338" w:rsidRPr="00BC2CD5" w:rsidRDefault="00723338" w:rsidP="003A1BD9">
            <w:pPr>
              <w:pStyle w:val="Tdec"/>
              <w:tabs>
                <w:tab w:val="clear" w:pos="993"/>
                <w:tab w:val="decimal" w:pos="992"/>
              </w:tabs>
              <w:rPr>
                <w:rFonts w:ascii="Arial" w:hAnsi="Arial" w:cs="Arial"/>
                <w:sz w:val="19"/>
                <w:szCs w:val="19"/>
              </w:rPr>
            </w:pPr>
          </w:p>
          <w:p w:rsidR="008C3C0A" w:rsidRPr="00BC2CD5" w:rsidRDefault="00834E1F" w:rsidP="003A1BD9">
            <w:pPr>
              <w:pStyle w:val="Tdec"/>
              <w:rPr>
                <w:rFonts w:ascii="Arial" w:hAnsi="Arial" w:cs="Arial"/>
                <w:sz w:val="19"/>
                <w:szCs w:val="19"/>
              </w:rPr>
            </w:pPr>
            <w:r w:rsidRPr="00BC2CD5">
              <w:rPr>
                <w:rFonts w:ascii="Arial" w:hAnsi="Arial" w:cs="Arial"/>
                <w:sz w:val="19"/>
                <w:szCs w:val="19"/>
              </w:rPr>
              <w:t>1,</w:t>
            </w:r>
            <w:r w:rsidR="00BC2CD5" w:rsidRPr="00BC2CD5">
              <w:rPr>
                <w:rFonts w:ascii="Arial" w:hAnsi="Arial" w:cs="Arial"/>
                <w:sz w:val="19"/>
                <w:szCs w:val="19"/>
              </w:rPr>
              <w:t>712</w:t>
            </w:r>
          </w:p>
        </w:tc>
        <w:tc>
          <w:tcPr>
            <w:tcW w:w="1134" w:type="dxa"/>
          </w:tcPr>
          <w:p w:rsidR="006D4766" w:rsidRPr="00411081" w:rsidRDefault="006D4766" w:rsidP="003A1BD9">
            <w:pPr>
              <w:pStyle w:val="Tdec"/>
              <w:rPr>
                <w:rFonts w:ascii="Arial" w:hAnsi="Arial" w:cs="Arial"/>
                <w:sz w:val="19"/>
                <w:szCs w:val="19"/>
              </w:rPr>
            </w:pPr>
          </w:p>
          <w:p w:rsidR="00A638B1" w:rsidRPr="00411081" w:rsidRDefault="00411081" w:rsidP="003A1BD9">
            <w:pPr>
              <w:pStyle w:val="Tdec"/>
              <w:rPr>
                <w:rFonts w:ascii="Arial" w:hAnsi="Arial" w:cs="Arial"/>
                <w:sz w:val="19"/>
                <w:szCs w:val="19"/>
              </w:rPr>
            </w:pPr>
            <w:r w:rsidRPr="00411081">
              <w:rPr>
                <w:rFonts w:ascii="Arial" w:hAnsi="Arial" w:cs="Arial"/>
                <w:sz w:val="19"/>
                <w:szCs w:val="19"/>
              </w:rPr>
              <w:t>483</w:t>
            </w:r>
          </w:p>
        </w:tc>
      </w:tr>
      <w:tr w:rsidR="006D4766" w:rsidRPr="00070D17" w:rsidTr="006D4766">
        <w:trPr>
          <w:cantSplit/>
        </w:trPr>
        <w:tc>
          <w:tcPr>
            <w:tcW w:w="4281" w:type="dxa"/>
          </w:tcPr>
          <w:p w:rsidR="006D4766" w:rsidRPr="00411081" w:rsidRDefault="006D4766" w:rsidP="003A1BD9">
            <w:pPr>
              <w:pStyle w:val="Tnormal"/>
              <w:rPr>
                <w:rFonts w:ascii="Arial" w:hAnsi="Arial" w:cs="Arial"/>
                <w:sz w:val="19"/>
                <w:szCs w:val="19"/>
              </w:rPr>
            </w:pPr>
          </w:p>
        </w:tc>
        <w:tc>
          <w:tcPr>
            <w:tcW w:w="681" w:type="dxa"/>
          </w:tcPr>
          <w:p w:rsidR="006D4766" w:rsidRPr="00EC6B60" w:rsidRDefault="006D4766" w:rsidP="003A1BD9">
            <w:pPr>
              <w:pStyle w:val="Tnote"/>
              <w:rPr>
                <w:rFonts w:ascii="Arial" w:hAnsi="Arial" w:cs="Arial"/>
                <w:sz w:val="19"/>
                <w:szCs w:val="19"/>
              </w:rPr>
            </w:pPr>
          </w:p>
        </w:tc>
        <w:tc>
          <w:tcPr>
            <w:tcW w:w="1134" w:type="dxa"/>
          </w:tcPr>
          <w:p w:rsidR="006D4766" w:rsidRPr="00EC6B60" w:rsidRDefault="006D4766" w:rsidP="003A1BD9">
            <w:pPr>
              <w:pStyle w:val="Tdec"/>
              <w:rPr>
                <w:rFonts w:ascii="Arial" w:hAnsi="Arial" w:cs="Arial"/>
                <w:sz w:val="19"/>
                <w:szCs w:val="19"/>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BC2CD5" w:rsidRDefault="006D4766" w:rsidP="003A1BD9">
            <w:pPr>
              <w:pStyle w:val="Tdec"/>
              <w:rPr>
                <w:rFonts w:ascii="Arial" w:hAnsi="Arial" w:cs="Arial"/>
                <w:sz w:val="19"/>
                <w:szCs w:val="19"/>
              </w:rPr>
            </w:pPr>
          </w:p>
        </w:tc>
        <w:tc>
          <w:tcPr>
            <w:tcW w:w="1134" w:type="dxa"/>
          </w:tcPr>
          <w:p w:rsidR="006D4766" w:rsidRPr="00411081" w:rsidRDefault="006D4766" w:rsidP="003A1BD9">
            <w:pPr>
              <w:pStyle w:val="Tdec"/>
              <w:rPr>
                <w:rFonts w:ascii="Arial" w:hAnsi="Arial" w:cs="Arial"/>
                <w:sz w:val="19"/>
                <w:szCs w:val="19"/>
              </w:rPr>
            </w:pPr>
          </w:p>
        </w:tc>
      </w:tr>
      <w:tr w:rsidR="006D4766" w:rsidRPr="00070D17" w:rsidTr="006D4766">
        <w:trPr>
          <w:cantSplit/>
        </w:trPr>
        <w:tc>
          <w:tcPr>
            <w:tcW w:w="4281" w:type="dxa"/>
          </w:tcPr>
          <w:p w:rsidR="006D4766" w:rsidRPr="00411081" w:rsidRDefault="00C020BA" w:rsidP="003A1BD9">
            <w:pPr>
              <w:pStyle w:val="Tnormal"/>
              <w:rPr>
                <w:rFonts w:ascii="Arial" w:hAnsi="Arial" w:cs="Arial"/>
                <w:sz w:val="19"/>
                <w:szCs w:val="19"/>
              </w:rPr>
            </w:pPr>
            <w:r>
              <w:rPr>
                <w:rFonts w:ascii="Arial" w:hAnsi="Arial" w:cs="Arial"/>
                <w:sz w:val="19"/>
                <w:szCs w:val="19"/>
              </w:rPr>
              <w:t>Tax on surplus</w:t>
            </w:r>
            <w:r w:rsidR="006D4766" w:rsidRPr="00411081">
              <w:rPr>
                <w:rFonts w:ascii="Arial" w:hAnsi="Arial" w:cs="Arial"/>
                <w:sz w:val="19"/>
                <w:szCs w:val="19"/>
              </w:rPr>
              <w:t xml:space="preserve"> on ordinary activities</w:t>
            </w:r>
          </w:p>
        </w:tc>
        <w:tc>
          <w:tcPr>
            <w:tcW w:w="681" w:type="dxa"/>
          </w:tcPr>
          <w:p w:rsidR="006D4766" w:rsidRPr="00EC6B60" w:rsidRDefault="00EC6B60" w:rsidP="003A1BD9">
            <w:pPr>
              <w:pStyle w:val="Tnote"/>
              <w:rPr>
                <w:rFonts w:ascii="Arial" w:hAnsi="Arial" w:cs="Arial"/>
                <w:sz w:val="19"/>
                <w:szCs w:val="19"/>
              </w:rPr>
            </w:pPr>
            <w:r w:rsidRPr="00EC6B60">
              <w:rPr>
                <w:rFonts w:ascii="Arial" w:hAnsi="Arial" w:cs="Arial"/>
                <w:sz w:val="19"/>
                <w:szCs w:val="19"/>
              </w:rPr>
              <w:t>8</w:t>
            </w:r>
          </w:p>
        </w:tc>
        <w:tc>
          <w:tcPr>
            <w:tcW w:w="1134" w:type="dxa"/>
          </w:tcPr>
          <w:p w:rsidR="006D4766" w:rsidRPr="00EC6B60" w:rsidRDefault="006D4766" w:rsidP="003A1BD9">
            <w:pPr>
              <w:pStyle w:val="Tdec"/>
              <w:rPr>
                <w:rFonts w:ascii="Arial" w:hAnsi="Arial" w:cs="Arial"/>
                <w:sz w:val="19"/>
                <w:szCs w:val="19"/>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BC2CD5" w:rsidRDefault="006A5A11" w:rsidP="003A1BD9">
            <w:pPr>
              <w:pStyle w:val="Tdec"/>
              <w:rPr>
                <w:rFonts w:ascii="Arial" w:hAnsi="Arial" w:cs="Arial"/>
                <w:sz w:val="19"/>
                <w:szCs w:val="19"/>
              </w:rPr>
            </w:pPr>
            <w:r w:rsidRPr="00BC2CD5">
              <w:rPr>
                <w:rFonts w:ascii="Arial" w:hAnsi="Arial" w:cs="Arial"/>
                <w:sz w:val="19"/>
                <w:szCs w:val="19"/>
              </w:rPr>
              <w:t>0</w:t>
            </w:r>
          </w:p>
        </w:tc>
        <w:tc>
          <w:tcPr>
            <w:tcW w:w="1134" w:type="dxa"/>
          </w:tcPr>
          <w:p w:rsidR="006D4766" w:rsidRPr="00411081" w:rsidRDefault="00411081" w:rsidP="003A1BD9">
            <w:pPr>
              <w:pStyle w:val="Tdec"/>
              <w:rPr>
                <w:rFonts w:ascii="Arial" w:hAnsi="Arial" w:cs="Arial"/>
                <w:sz w:val="19"/>
                <w:szCs w:val="19"/>
              </w:rPr>
            </w:pPr>
            <w:r w:rsidRPr="00411081">
              <w:rPr>
                <w:rFonts w:ascii="Arial" w:hAnsi="Arial" w:cs="Arial"/>
                <w:sz w:val="19"/>
                <w:szCs w:val="19"/>
              </w:rPr>
              <w:t>0</w:t>
            </w:r>
          </w:p>
        </w:tc>
      </w:tr>
      <w:tr w:rsidR="006D4766" w:rsidRPr="00070D17" w:rsidTr="008A639C">
        <w:trPr>
          <w:cantSplit/>
          <w:trHeight w:val="323"/>
        </w:trPr>
        <w:tc>
          <w:tcPr>
            <w:tcW w:w="4281" w:type="dxa"/>
          </w:tcPr>
          <w:p w:rsidR="006D4766" w:rsidRPr="00411081" w:rsidRDefault="006D4766" w:rsidP="003A1BD9">
            <w:pPr>
              <w:pStyle w:val="Tnormal"/>
              <w:rPr>
                <w:rFonts w:ascii="Arial" w:hAnsi="Arial" w:cs="Arial"/>
                <w:sz w:val="19"/>
                <w:szCs w:val="19"/>
              </w:rPr>
            </w:pPr>
          </w:p>
        </w:tc>
        <w:tc>
          <w:tcPr>
            <w:tcW w:w="681" w:type="dxa"/>
          </w:tcPr>
          <w:p w:rsidR="006D4766" w:rsidRPr="00EC6B60" w:rsidRDefault="006D4766" w:rsidP="003A1BD9">
            <w:pPr>
              <w:pStyle w:val="Tnote"/>
              <w:rPr>
                <w:rFonts w:ascii="Arial" w:hAnsi="Arial" w:cs="Arial"/>
                <w:sz w:val="19"/>
                <w:szCs w:val="19"/>
              </w:rPr>
            </w:pPr>
          </w:p>
        </w:tc>
        <w:tc>
          <w:tcPr>
            <w:tcW w:w="1134" w:type="dxa"/>
          </w:tcPr>
          <w:p w:rsidR="006D4766" w:rsidRPr="00EC6B60" w:rsidRDefault="006D4766" w:rsidP="003A1BD9">
            <w:pPr>
              <w:pStyle w:val="Tdec"/>
              <w:rPr>
                <w:rFonts w:ascii="Arial" w:hAnsi="Arial" w:cs="Arial"/>
                <w:sz w:val="19"/>
                <w:szCs w:val="19"/>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BC2CD5" w:rsidRDefault="006D4766" w:rsidP="003A1BD9">
            <w:pPr>
              <w:pStyle w:val="S9"/>
              <w:spacing w:line="240" w:lineRule="auto"/>
              <w:rPr>
                <w:rFonts w:ascii="Arial" w:hAnsi="Arial" w:cs="Arial"/>
                <w:sz w:val="19"/>
                <w:szCs w:val="19"/>
              </w:rPr>
            </w:pPr>
          </w:p>
        </w:tc>
        <w:tc>
          <w:tcPr>
            <w:tcW w:w="1134" w:type="dxa"/>
          </w:tcPr>
          <w:p w:rsidR="006D4766" w:rsidRPr="00411081" w:rsidRDefault="006D4766" w:rsidP="003A1BD9">
            <w:pPr>
              <w:pStyle w:val="S9"/>
              <w:spacing w:line="240" w:lineRule="auto"/>
              <w:rPr>
                <w:rFonts w:ascii="Arial" w:hAnsi="Arial" w:cs="Arial"/>
                <w:sz w:val="19"/>
                <w:szCs w:val="19"/>
              </w:rPr>
            </w:pPr>
          </w:p>
        </w:tc>
      </w:tr>
      <w:tr w:rsidR="006D4766" w:rsidRPr="00070D17" w:rsidTr="006D4766">
        <w:trPr>
          <w:cantSplit/>
        </w:trPr>
        <w:tc>
          <w:tcPr>
            <w:tcW w:w="4281" w:type="dxa"/>
          </w:tcPr>
          <w:p w:rsidR="006D4766" w:rsidRPr="00411081" w:rsidRDefault="00DC3C01" w:rsidP="003A1BD9">
            <w:pPr>
              <w:pStyle w:val="Tnormal"/>
              <w:rPr>
                <w:rFonts w:ascii="Arial" w:hAnsi="Arial" w:cs="Arial"/>
                <w:sz w:val="19"/>
                <w:szCs w:val="19"/>
              </w:rPr>
            </w:pPr>
            <w:r w:rsidRPr="00411081">
              <w:rPr>
                <w:rFonts w:ascii="Arial" w:hAnsi="Arial" w:cs="Arial"/>
                <w:b/>
                <w:sz w:val="19"/>
                <w:szCs w:val="19"/>
              </w:rPr>
              <w:t>SURPLUS</w:t>
            </w:r>
            <w:r w:rsidR="008C3C0A" w:rsidRPr="00411081">
              <w:rPr>
                <w:rFonts w:ascii="Arial" w:hAnsi="Arial" w:cs="Arial"/>
                <w:b/>
                <w:sz w:val="19"/>
                <w:szCs w:val="19"/>
              </w:rPr>
              <w:t>/</w:t>
            </w:r>
            <w:r w:rsidRPr="00411081">
              <w:rPr>
                <w:rFonts w:ascii="Arial" w:hAnsi="Arial" w:cs="Arial"/>
                <w:b/>
                <w:sz w:val="19"/>
                <w:szCs w:val="19"/>
              </w:rPr>
              <w:t>(DEFICIT)</w:t>
            </w:r>
            <w:r w:rsidR="006D4766" w:rsidRPr="00411081">
              <w:rPr>
                <w:rFonts w:ascii="Arial" w:hAnsi="Arial" w:cs="Arial"/>
                <w:b/>
                <w:sz w:val="19"/>
                <w:szCs w:val="19"/>
              </w:rPr>
              <w:t xml:space="preserve"> FOR THE FINANCIAL YEAR </w:t>
            </w:r>
          </w:p>
        </w:tc>
        <w:tc>
          <w:tcPr>
            <w:tcW w:w="681" w:type="dxa"/>
          </w:tcPr>
          <w:p w:rsidR="006D4766" w:rsidRPr="00EC6B60" w:rsidRDefault="00A638B1" w:rsidP="003A1BD9">
            <w:pPr>
              <w:pStyle w:val="Tnote"/>
              <w:rPr>
                <w:rFonts w:ascii="Arial" w:hAnsi="Arial" w:cs="Arial"/>
                <w:sz w:val="19"/>
                <w:szCs w:val="19"/>
              </w:rPr>
            </w:pPr>
            <w:r w:rsidRPr="00EC6B60">
              <w:rPr>
                <w:rFonts w:ascii="Arial" w:hAnsi="Arial" w:cs="Arial"/>
                <w:sz w:val="19"/>
                <w:szCs w:val="19"/>
              </w:rPr>
              <w:t>1</w:t>
            </w:r>
            <w:r w:rsidR="007149FC" w:rsidRPr="00EC6B60">
              <w:rPr>
                <w:rFonts w:ascii="Arial" w:hAnsi="Arial" w:cs="Arial"/>
                <w:sz w:val="19"/>
                <w:szCs w:val="19"/>
              </w:rPr>
              <w:t>6</w:t>
            </w:r>
          </w:p>
        </w:tc>
        <w:tc>
          <w:tcPr>
            <w:tcW w:w="1134" w:type="dxa"/>
          </w:tcPr>
          <w:p w:rsidR="006D4766" w:rsidRPr="00EC6B60" w:rsidRDefault="006D4766" w:rsidP="003A1BD9">
            <w:pPr>
              <w:pStyle w:val="Tdec"/>
              <w:rPr>
                <w:rFonts w:ascii="Arial" w:hAnsi="Arial" w:cs="Arial"/>
                <w:sz w:val="19"/>
                <w:szCs w:val="19"/>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BC2CD5" w:rsidRDefault="00834E1F" w:rsidP="003A1BD9">
            <w:pPr>
              <w:pStyle w:val="Tdec"/>
              <w:rPr>
                <w:rFonts w:ascii="Arial" w:hAnsi="Arial" w:cs="Arial"/>
                <w:sz w:val="19"/>
                <w:szCs w:val="19"/>
              </w:rPr>
            </w:pPr>
            <w:r w:rsidRPr="00BC2CD5">
              <w:rPr>
                <w:rFonts w:ascii="Arial" w:hAnsi="Arial" w:cs="Arial"/>
                <w:sz w:val="19"/>
                <w:szCs w:val="19"/>
              </w:rPr>
              <w:t>1,</w:t>
            </w:r>
            <w:r w:rsidR="00BC2CD5" w:rsidRPr="00BC2CD5">
              <w:rPr>
                <w:rFonts w:ascii="Arial" w:hAnsi="Arial" w:cs="Arial"/>
                <w:sz w:val="19"/>
                <w:szCs w:val="19"/>
              </w:rPr>
              <w:t>712</w:t>
            </w:r>
          </w:p>
        </w:tc>
        <w:tc>
          <w:tcPr>
            <w:tcW w:w="1134" w:type="dxa"/>
          </w:tcPr>
          <w:p w:rsidR="006D4766" w:rsidRPr="00411081" w:rsidRDefault="00411081" w:rsidP="003A1BD9">
            <w:pPr>
              <w:pStyle w:val="Tdec"/>
              <w:rPr>
                <w:rFonts w:ascii="Arial" w:hAnsi="Arial" w:cs="Arial"/>
                <w:sz w:val="19"/>
                <w:szCs w:val="19"/>
              </w:rPr>
            </w:pPr>
            <w:r w:rsidRPr="00411081">
              <w:rPr>
                <w:rFonts w:ascii="Arial" w:hAnsi="Arial" w:cs="Arial"/>
                <w:sz w:val="19"/>
                <w:szCs w:val="19"/>
              </w:rPr>
              <w:t>483</w:t>
            </w:r>
          </w:p>
        </w:tc>
      </w:tr>
      <w:tr w:rsidR="006D4766" w:rsidRPr="00070D17" w:rsidTr="006D4766">
        <w:trPr>
          <w:cantSplit/>
        </w:trPr>
        <w:tc>
          <w:tcPr>
            <w:tcW w:w="4281" w:type="dxa"/>
          </w:tcPr>
          <w:p w:rsidR="006D4766" w:rsidRPr="00411081" w:rsidRDefault="006D4766" w:rsidP="003A1BD9">
            <w:pPr>
              <w:pStyle w:val="Tnormal"/>
              <w:rPr>
                <w:rFonts w:ascii="Arial" w:hAnsi="Arial" w:cs="Arial"/>
                <w:sz w:val="19"/>
                <w:szCs w:val="19"/>
              </w:rPr>
            </w:pPr>
          </w:p>
        </w:tc>
        <w:tc>
          <w:tcPr>
            <w:tcW w:w="681" w:type="dxa"/>
          </w:tcPr>
          <w:p w:rsidR="006D4766" w:rsidRPr="00070D17" w:rsidRDefault="006D4766" w:rsidP="003A1BD9">
            <w:pPr>
              <w:pStyle w:val="Tnote"/>
              <w:rPr>
                <w:rFonts w:ascii="Arial" w:hAnsi="Arial" w:cs="Arial"/>
                <w:sz w:val="19"/>
                <w:szCs w:val="19"/>
              </w:rPr>
            </w:pPr>
          </w:p>
        </w:tc>
        <w:tc>
          <w:tcPr>
            <w:tcW w:w="1134" w:type="dxa"/>
          </w:tcPr>
          <w:p w:rsidR="006D4766" w:rsidRPr="00070D17" w:rsidRDefault="006D4766" w:rsidP="003A1BD9">
            <w:pPr>
              <w:pStyle w:val="Tdec"/>
              <w:rPr>
                <w:rFonts w:ascii="Arial" w:hAnsi="Arial" w:cs="Arial"/>
                <w:sz w:val="19"/>
                <w:szCs w:val="19"/>
              </w:rPr>
            </w:pPr>
          </w:p>
        </w:tc>
        <w:tc>
          <w:tcPr>
            <w:tcW w:w="1134" w:type="dxa"/>
          </w:tcPr>
          <w:p w:rsidR="006D4766" w:rsidRPr="00070D17" w:rsidRDefault="006D4766" w:rsidP="003A1BD9">
            <w:pPr>
              <w:pStyle w:val="Tdec"/>
              <w:rPr>
                <w:rFonts w:ascii="Arial" w:hAnsi="Arial" w:cs="Arial"/>
                <w:sz w:val="19"/>
                <w:szCs w:val="19"/>
              </w:rPr>
            </w:pPr>
          </w:p>
        </w:tc>
        <w:tc>
          <w:tcPr>
            <w:tcW w:w="1134" w:type="dxa"/>
          </w:tcPr>
          <w:p w:rsidR="006D4766" w:rsidRPr="00070D17" w:rsidRDefault="006D4766" w:rsidP="003A1BD9">
            <w:pPr>
              <w:pStyle w:val="D9"/>
              <w:spacing w:line="240" w:lineRule="auto"/>
              <w:rPr>
                <w:rFonts w:ascii="Arial" w:hAnsi="Arial" w:cs="Arial"/>
                <w:sz w:val="19"/>
                <w:szCs w:val="19"/>
              </w:rPr>
            </w:pPr>
          </w:p>
        </w:tc>
        <w:tc>
          <w:tcPr>
            <w:tcW w:w="1134" w:type="dxa"/>
          </w:tcPr>
          <w:p w:rsidR="006D4766" w:rsidRPr="00411081" w:rsidRDefault="006D4766" w:rsidP="003A1BD9">
            <w:pPr>
              <w:pStyle w:val="D9"/>
              <w:spacing w:line="240" w:lineRule="auto"/>
              <w:rPr>
                <w:rFonts w:ascii="Arial" w:hAnsi="Arial" w:cs="Arial"/>
                <w:sz w:val="19"/>
                <w:szCs w:val="19"/>
              </w:rPr>
            </w:pPr>
          </w:p>
        </w:tc>
      </w:tr>
    </w:tbl>
    <w:p w:rsidR="00490A92" w:rsidRPr="00070D17" w:rsidRDefault="00490A92" w:rsidP="003A1BD9">
      <w:pPr>
        <w:rPr>
          <w:rFonts w:ascii="Arial" w:hAnsi="Arial" w:cs="Arial"/>
          <w:sz w:val="19"/>
          <w:szCs w:val="19"/>
        </w:rPr>
      </w:pPr>
    </w:p>
    <w:p w:rsidR="00F86E54" w:rsidRPr="00070D17" w:rsidRDefault="008A58D2" w:rsidP="003A1BD9">
      <w:pPr>
        <w:jc w:val="left"/>
        <w:rPr>
          <w:rFonts w:ascii="Arial" w:hAnsi="Arial" w:cs="Arial"/>
          <w:sz w:val="19"/>
          <w:szCs w:val="19"/>
        </w:rPr>
      </w:pPr>
      <w:r w:rsidRPr="00C020BA">
        <w:rPr>
          <w:rFonts w:ascii="Arial" w:hAnsi="Arial" w:cs="Arial"/>
          <w:sz w:val="19"/>
          <w:szCs w:val="19"/>
        </w:rPr>
        <w:t xml:space="preserve">All activities derive </w:t>
      </w:r>
      <w:r w:rsidR="004D6620" w:rsidRPr="00C020BA">
        <w:rPr>
          <w:rFonts w:ascii="Arial" w:hAnsi="Arial" w:cs="Arial"/>
          <w:sz w:val="19"/>
          <w:szCs w:val="19"/>
        </w:rPr>
        <w:t xml:space="preserve">from </w:t>
      </w:r>
      <w:r w:rsidR="00B768B5" w:rsidRPr="00C020BA">
        <w:rPr>
          <w:rFonts w:ascii="Arial" w:hAnsi="Arial" w:cs="Arial"/>
          <w:sz w:val="19"/>
          <w:szCs w:val="19"/>
        </w:rPr>
        <w:t>continuing operations.</w:t>
      </w:r>
    </w:p>
    <w:p w:rsidR="00A638B1" w:rsidRPr="00070D17" w:rsidRDefault="00A638B1" w:rsidP="003A1BD9">
      <w:pPr>
        <w:jc w:val="left"/>
        <w:rPr>
          <w:rFonts w:ascii="Arial" w:hAnsi="Arial" w:cs="Arial"/>
          <w:sz w:val="19"/>
          <w:szCs w:val="19"/>
        </w:rPr>
      </w:pPr>
    </w:p>
    <w:p w:rsidR="00AD40AB" w:rsidRPr="00070D17" w:rsidRDefault="00AD40AB" w:rsidP="003A1BD9">
      <w:pPr>
        <w:spacing w:before="120"/>
        <w:rPr>
          <w:rFonts w:ascii="Arial" w:hAnsi="Arial" w:cs="Arial"/>
          <w:sz w:val="19"/>
          <w:szCs w:val="19"/>
        </w:rPr>
        <w:sectPr w:rsidR="00AD40AB" w:rsidRPr="00070D17" w:rsidSect="00270CEB">
          <w:headerReference w:type="even" r:id="rId59"/>
          <w:headerReference w:type="default" r:id="rId60"/>
          <w:headerReference w:type="first" r:id="rId61"/>
          <w:pgSz w:w="11907" w:h="16834" w:code="9"/>
          <w:pgMar w:top="1985" w:right="1077" w:bottom="1134" w:left="851" w:header="567" w:footer="851" w:gutter="0"/>
          <w:cols w:space="720"/>
        </w:sectPr>
      </w:pPr>
    </w:p>
    <w:tbl>
      <w:tblPr>
        <w:tblW w:w="9498" w:type="dxa"/>
        <w:tblLayout w:type="fixed"/>
        <w:tblCellMar>
          <w:left w:w="28" w:type="dxa"/>
          <w:right w:w="28" w:type="dxa"/>
        </w:tblCellMar>
        <w:tblLook w:val="0000" w:firstRow="0" w:lastRow="0" w:firstColumn="0" w:lastColumn="0" w:noHBand="0" w:noVBand="0"/>
      </w:tblPr>
      <w:tblGrid>
        <w:gridCol w:w="3828"/>
        <w:gridCol w:w="1134"/>
        <w:gridCol w:w="1134"/>
        <w:gridCol w:w="1134"/>
        <w:gridCol w:w="1134"/>
        <w:gridCol w:w="1134"/>
      </w:tblGrid>
      <w:tr w:rsidR="00F152D9" w:rsidRPr="00411081" w:rsidTr="00F152D9">
        <w:trPr>
          <w:cantSplit/>
        </w:trPr>
        <w:tc>
          <w:tcPr>
            <w:tcW w:w="3828" w:type="dxa"/>
          </w:tcPr>
          <w:p w:rsidR="00F152D9" w:rsidRPr="00070D17" w:rsidRDefault="00F152D9" w:rsidP="003A1BD9">
            <w:pPr>
              <w:pStyle w:val="Tnormal"/>
              <w:rPr>
                <w:rFonts w:ascii="Arial" w:hAnsi="Arial" w:cs="Arial"/>
                <w:sz w:val="19"/>
                <w:szCs w:val="19"/>
              </w:rPr>
            </w:pPr>
          </w:p>
        </w:tc>
        <w:tc>
          <w:tcPr>
            <w:tcW w:w="1134" w:type="dxa"/>
          </w:tcPr>
          <w:p w:rsidR="00866217" w:rsidRPr="00EC6B60" w:rsidRDefault="00866217" w:rsidP="003A1BD9">
            <w:pPr>
              <w:pStyle w:val="Thead"/>
              <w:rPr>
                <w:rFonts w:ascii="Arial" w:hAnsi="Arial" w:cs="Arial"/>
                <w:sz w:val="19"/>
                <w:szCs w:val="19"/>
              </w:rPr>
            </w:pPr>
          </w:p>
          <w:p w:rsidR="00866217" w:rsidRPr="00EC6B60" w:rsidRDefault="00866217" w:rsidP="003A1BD9">
            <w:pPr>
              <w:pStyle w:val="Thead"/>
              <w:rPr>
                <w:rFonts w:ascii="Arial" w:hAnsi="Arial" w:cs="Arial"/>
                <w:sz w:val="19"/>
                <w:szCs w:val="19"/>
              </w:rPr>
            </w:pPr>
          </w:p>
          <w:p w:rsidR="00F152D9" w:rsidRPr="00EC6B60" w:rsidRDefault="00F152D9" w:rsidP="003A1BD9">
            <w:pPr>
              <w:pStyle w:val="Thead"/>
              <w:rPr>
                <w:rFonts w:ascii="Arial" w:hAnsi="Arial" w:cs="Arial"/>
                <w:sz w:val="19"/>
                <w:szCs w:val="19"/>
              </w:rPr>
            </w:pPr>
            <w:r w:rsidRPr="00EC6B60">
              <w:rPr>
                <w:rFonts w:ascii="Arial" w:hAnsi="Arial" w:cs="Arial"/>
                <w:sz w:val="19"/>
                <w:szCs w:val="19"/>
              </w:rPr>
              <w:t>Note</w:t>
            </w: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866217" w:rsidRPr="00411081" w:rsidRDefault="00866217" w:rsidP="003A1BD9">
            <w:pPr>
              <w:pStyle w:val="Thead"/>
              <w:rPr>
                <w:rFonts w:ascii="Arial" w:hAnsi="Arial" w:cs="Arial"/>
                <w:sz w:val="19"/>
                <w:szCs w:val="19"/>
              </w:rPr>
            </w:pPr>
          </w:p>
          <w:p w:rsidR="00866217" w:rsidRPr="00411081" w:rsidRDefault="00866217" w:rsidP="003A1BD9">
            <w:pPr>
              <w:pStyle w:val="Thead"/>
              <w:rPr>
                <w:rFonts w:ascii="Arial" w:hAnsi="Arial" w:cs="Arial"/>
                <w:sz w:val="19"/>
                <w:szCs w:val="19"/>
              </w:rPr>
            </w:pPr>
          </w:p>
          <w:p w:rsidR="00F152D9" w:rsidRPr="00411081" w:rsidRDefault="00411081" w:rsidP="003A1BD9">
            <w:pPr>
              <w:pStyle w:val="Thead"/>
              <w:rPr>
                <w:rFonts w:ascii="Arial" w:hAnsi="Arial" w:cs="Arial"/>
                <w:sz w:val="19"/>
                <w:szCs w:val="19"/>
              </w:rPr>
            </w:pPr>
            <w:r w:rsidRPr="00411081">
              <w:rPr>
                <w:rFonts w:ascii="Arial" w:hAnsi="Arial" w:cs="Arial"/>
                <w:sz w:val="19"/>
                <w:szCs w:val="19"/>
              </w:rPr>
              <w:t>2015</w:t>
            </w:r>
          </w:p>
          <w:p w:rsidR="00F152D9" w:rsidRPr="00411081" w:rsidRDefault="00F152D9" w:rsidP="003A1BD9">
            <w:pPr>
              <w:pStyle w:val="Thead"/>
              <w:rPr>
                <w:rFonts w:ascii="Arial" w:hAnsi="Arial" w:cs="Arial"/>
                <w:sz w:val="19"/>
                <w:szCs w:val="19"/>
              </w:rPr>
            </w:pPr>
            <w:r w:rsidRPr="00411081">
              <w:rPr>
                <w:rFonts w:ascii="Arial" w:hAnsi="Arial" w:cs="Arial"/>
                <w:sz w:val="19"/>
                <w:szCs w:val="19"/>
              </w:rPr>
              <w:t>£000</w:t>
            </w:r>
          </w:p>
        </w:tc>
        <w:tc>
          <w:tcPr>
            <w:tcW w:w="1134" w:type="dxa"/>
          </w:tcPr>
          <w:p w:rsidR="00411081" w:rsidRPr="00411081" w:rsidRDefault="00411081" w:rsidP="003A1BD9">
            <w:pPr>
              <w:pStyle w:val="Thead"/>
              <w:rPr>
                <w:rFonts w:ascii="Arial" w:hAnsi="Arial" w:cs="Arial"/>
                <w:b w:val="0"/>
                <w:i/>
                <w:sz w:val="19"/>
                <w:szCs w:val="19"/>
              </w:rPr>
            </w:pPr>
          </w:p>
          <w:p w:rsidR="00411081" w:rsidRPr="00411081" w:rsidRDefault="00411081" w:rsidP="003A1BD9">
            <w:pPr>
              <w:pStyle w:val="Thead"/>
              <w:rPr>
                <w:rFonts w:ascii="Arial" w:hAnsi="Arial" w:cs="Arial"/>
                <w:b w:val="0"/>
                <w:i/>
                <w:sz w:val="19"/>
                <w:szCs w:val="19"/>
              </w:rPr>
            </w:pPr>
          </w:p>
          <w:p w:rsidR="00F152D9" w:rsidRPr="00411081" w:rsidRDefault="00411081" w:rsidP="003A1BD9">
            <w:pPr>
              <w:pStyle w:val="Thead"/>
              <w:rPr>
                <w:rFonts w:ascii="Arial" w:hAnsi="Arial" w:cs="Arial"/>
                <w:sz w:val="19"/>
                <w:szCs w:val="19"/>
              </w:rPr>
            </w:pPr>
            <w:r w:rsidRPr="00411081">
              <w:rPr>
                <w:rFonts w:ascii="Arial" w:hAnsi="Arial" w:cs="Arial"/>
                <w:sz w:val="19"/>
                <w:szCs w:val="19"/>
              </w:rPr>
              <w:t>2014</w:t>
            </w:r>
          </w:p>
          <w:p w:rsidR="00F152D9" w:rsidRPr="00411081" w:rsidRDefault="00F152D9" w:rsidP="003A1BD9">
            <w:pPr>
              <w:pStyle w:val="Thead"/>
              <w:rPr>
                <w:rFonts w:ascii="Arial" w:hAnsi="Arial" w:cs="Arial"/>
                <w:sz w:val="19"/>
                <w:szCs w:val="19"/>
              </w:rPr>
            </w:pPr>
            <w:r w:rsidRPr="00411081">
              <w:rPr>
                <w:rFonts w:ascii="Arial" w:hAnsi="Arial" w:cs="Arial"/>
                <w:sz w:val="19"/>
                <w:szCs w:val="19"/>
              </w:rPr>
              <w:t>£000</w:t>
            </w:r>
          </w:p>
        </w:tc>
      </w:tr>
      <w:tr w:rsidR="00F152D9" w:rsidRPr="00411081" w:rsidTr="00F152D9">
        <w:trPr>
          <w:cantSplit/>
        </w:trPr>
        <w:tc>
          <w:tcPr>
            <w:tcW w:w="3828" w:type="dxa"/>
          </w:tcPr>
          <w:p w:rsidR="00F152D9" w:rsidRPr="00411081" w:rsidRDefault="00F152D9" w:rsidP="003A1BD9">
            <w:pPr>
              <w:pStyle w:val="Tnormal"/>
              <w:rPr>
                <w:rFonts w:ascii="Arial" w:hAnsi="Arial" w:cs="Arial"/>
                <w:b/>
                <w:smallCaps/>
                <w:sz w:val="19"/>
                <w:szCs w:val="19"/>
              </w:rPr>
            </w:pPr>
            <w:r w:rsidRPr="00411081">
              <w:rPr>
                <w:rFonts w:ascii="Arial" w:hAnsi="Arial" w:cs="Arial"/>
                <w:b/>
                <w:sz w:val="19"/>
                <w:szCs w:val="19"/>
              </w:rPr>
              <w:t>FIXED ASSETS</w:t>
            </w: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F152D9" w:rsidP="003A1BD9">
            <w:pPr>
              <w:pStyle w:val="Tdec"/>
              <w:rPr>
                <w:rFonts w:ascii="Arial" w:hAnsi="Arial" w:cs="Arial"/>
                <w:sz w:val="19"/>
                <w:szCs w:val="19"/>
              </w:rPr>
            </w:pPr>
          </w:p>
        </w:tc>
        <w:tc>
          <w:tcPr>
            <w:tcW w:w="1134" w:type="dxa"/>
          </w:tcPr>
          <w:p w:rsidR="00F152D9" w:rsidRPr="00411081" w:rsidRDefault="00F152D9" w:rsidP="003A1BD9">
            <w:pPr>
              <w:pStyle w:val="Tdec"/>
              <w:rPr>
                <w:rFonts w:ascii="Arial" w:hAnsi="Arial" w:cs="Arial"/>
                <w:sz w:val="19"/>
                <w:szCs w:val="19"/>
              </w:rPr>
            </w:pPr>
          </w:p>
        </w:tc>
      </w:tr>
      <w:tr w:rsidR="00F152D9" w:rsidRPr="00411081" w:rsidTr="00F152D9">
        <w:trPr>
          <w:cantSplit/>
        </w:trPr>
        <w:tc>
          <w:tcPr>
            <w:tcW w:w="3828" w:type="dxa"/>
          </w:tcPr>
          <w:p w:rsidR="00F152D9" w:rsidRPr="00411081" w:rsidRDefault="00F152D9" w:rsidP="003A1BD9">
            <w:pPr>
              <w:pStyle w:val="Tnormal"/>
              <w:rPr>
                <w:rFonts w:ascii="Arial" w:hAnsi="Arial" w:cs="Arial"/>
                <w:sz w:val="19"/>
                <w:szCs w:val="19"/>
              </w:rPr>
            </w:pPr>
            <w:r w:rsidRPr="00411081">
              <w:rPr>
                <w:rFonts w:ascii="Arial" w:hAnsi="Arial" w:cs="Arial"/>
                <w:sz w:val="19"/>
                <w:szCs w:val="19"/>
              </w:rPr>
              <w:t>Tangible assets</w:t>
            </w:r>
          </w:p>
        </w:tc>
        <w:tc>
          <w:tcPr>
            <w:tcW w:w="1134" w:type="dxa"/>
          </w:tcPr>
          <w:p w:rsidR="00F152D9" w:rsidRPr="00EC6B60" w:rsidRDefault="00EC6B60" w:rsidP="003A1BD9">
            <w:pPr>
              <w:pStyle w:val="Tnote"/>
              <w:rPr>
                <w:rFonts w:ascii="Arial" w:hAnsi="Arial" w:cs="Arial"/>
                <w:sz w:val="19"/>
                <w:szCs w:val="19"/>
              </w:rPr>
            </w:pPr>
            <w:r w:rsidRPr="00EC6B60">
              <w:rPr>
                <w:rFonts w:ascii="Arial" w:hAnsi="Arial" w:cs="Arial"/>
                <w:sz w:val="19"/>
                <w:szCs w:val="19"/>
              </w:rPr>
              <w:t>9</w:t>
            </w: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8C3C0A" w:rsidP="003A1BD9">
            <w:pPr>
              <w:pStyle w:val="Tdec"/>
              <w:rPr>
                <w:rFonts w:ascii="Arial" w:hAnsi="Arial" w:cs="Arial"/>
                <w:sz w:val="19"/>
                <w:szCs w:val="19"/>
              </w:rPr>
            </w:pPr>
            <w:r w:rsidRPr="00D87A34">
              <w:rPr>
                <w:rFonts w:ascii="Arial" w:hAnsi="Arial" w:cs="Arial"/>
                <w:sz w:val="19"/>
                <w:szCs w:val="19"/>
              </w:rPr>
              <w:t>2,</w:t>
            </w:r>
            <w:r w:rsidR="00272B4B" w:rsidRPr="00D87A34">
              <w:rPr>
                <w:rFonts w:ascii="Arial" w:hAnsi="Arial" w:cs="Arial"/>
                <w:sz w:val="19"/>
                <w:szCs w:val="19"/>
              </w:rPr>
              <w:t>791</w:t>
            </w:r>
          </w:p>
        </w:tc>
        <w:tc>
          <w:tcPr>
            <w:tcW w:w="1134" w:type="dxa"/>
          </w:tcPr>
          <w:p w:rsidR="00F152D9" w:rsidRPr="00411081" w:rsidRDefault="00F152D9" w:rsidP="003A1BD9">
            <w:pPr>
              <w:pStyle w:val="Tdec"/>
              <w:rPr>
                <w:rFonts w:ascii="Arial" w:hAnsi="Arial" w:cs="Arial"/>
                <w:sz w:val="19"/>
                <w:szCs w:val="19"/>
              </w:rPr>
            </w:pPr>
            <w:r w:rsidRPr="00411081">
              <w:rPr>
                <w:rFonts w:ascii="Arial" w:hAnsi="Arial" w:cs="Arial"/>
                <w:sz w:val="19"/>
                <w:szCs w:val="19"/>
              </w:rPr>
              <w:t>2,</w:t>
            </w:r>
            <w:r w:rsidR="00411081" w:rsidRPr="00411081">
              <w:rPr>
                <w:rFonts w:ascii="Arial" w:hAnsi="Arial" w:cs="Arial"/>
                <w:sz w:val="19"/>
                <w:szCs w:val="19"/>
              </w:rPr>
              <w:t>849</w:t>
            </w:r>
          </w:p>
        </w:tc>
      </w:tr>
      <w:tr w:rsidR="00F152D9" w:rsidRPr="00411081" w:rsidTr="00F152D9">
        <w:trPr>
          <w:cantSplit/>
        </w:trPr>
        <w:tc>
          <w:tcPr>
            <w:tcW w:w="3828" w:type="dxa"/>
          </w:tcPr>
          <w:p w:rsidR="00F152D9" w:rsidRPr="00411081" w:rsidRDefault="00F152D9" w:rsidP="003A1BD9">
            <w:pPr>
              <w:pStyle w:val="Tnormal"/>
              <w:rPr>
                <w:rFonts w:ascii="Arial" w:hAnsi="Arial" w:cs="Arial"/>
                <w:b/>
                <w:sz w:val="19"/>
                <w:szCs w:val="19"/>
              </w:rPr>
            </w:pP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F152D9" w:rsidP="003A1BD9">
            <w:pPr>
              <w:pStyle w:val="Tdec"/>
              <w:rPr>
                <w:rFonts w:ascii="Arial" w:hAnsi="Arial" w:cs="Arial"/>
                <w:sz w:val="19"/>
                <w:szCs w:val="19"/>
              </w:rPr>
            </w:pPr>
          </w:p>
        </w:tc>
        <w:tc>
          <w:tcPr>
            <w:tcW w:w="1134" w:type="dxa"/>
          </w:tcPr>
          <w:p w:rsidR="00F152D9" w:rsidRPr="00411081" w:rsidRDefault="00F152D9" w:rsidP="003A1BD9">
            <w:pPr>
              <w:pStyle w:val="Tdec"/>
              <w:rPr>
                <w:rFonts w:ascii="Arial" w:hAnsi="Arial" w:cs="Arial"/>
                <w:sz w:val="19"/>
                <w:szCs w:val="19"/>
              </w:rPr>
            </w:pPr>
          </w:p>
        </w:tc>
      </w:tr>
      <w:tr w:rsidR="00F152D9" w:rsidRPr="00411081" w:rsidTr="00F152D9">
        <w:trPr>
          <w:cantSplit/>
        </w:trPr>
        <w:tc>
          <w:tcPr>
            <w:tcW w:w="3828" w:type="dxa"/>
          </w:tcPr>
          <w:p w:rsidR="00F152D9" w:rsidRPr="00411081" w:rsidRDefault="00F152D9" w:rsidP="003A1BD9">
            <w:pPr>
              <w:pStyle w:val="Tnormal"/>
              <w:rPr>
                <w:rFonts w:ascii="Arial" w:hAnsi="Arial" w:cs="Arial"/>
                <w:sz w:val="19"/>
                <w:szCs w:val="19"/>
              </w:rPr>
            </w:pPr>
            <w:r w:rsidRPr="00411081">
              <w:rPr>
                <w:rFonts w:ascii="Arial" w:hAnsi="Arial" w:cs="Arial"/>
                <w:b/>
                <w:sz w:val="19"/>
                <w:szCs w:val="19"/>
              </w:rPr>
              <w:t>CURRENT ASSETS</w:t>
            </w: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F152D9" w:rsidP="003A1BD9">
            <w:pPr>
              <w:pStyle w:val="Tdec"/>
              <w:rPr>
                <w:rFonts w:ascii="Arial" w:hAnsi="Arial" w:cs="Arial"/>
                <w:sz w:val="19"/>
                <w:szCs w:val="19"/>
              </w:rPr>
            </w:pPr>
          </w:p>
        </w:tc>
        <w:tc>
          <w:tcPr>
            <w:tcW w:w="1134" w:type="dxa"/>
          </w:tcPr>
          <w:p w:rsidR="00F152D9" w:rsidRPr="00411081" w:rsidRDefault="00F152D9" w:rsidP="003A1BD9">
            <w:pPr>
              <w:pStyle w:val="Tdec"/>
              <w:rPr>
                <w:rFonts w:ascii="Arial" w:hAnsi="Arial" w:cs="Arial"/>
                <w:sz w:val="19"/>
                <w:szCs w:val="19"/>
              </w:rPr>
            </w:pPr>
          </w:p>
        </w:tc>
      </w:tr>
      <w:tr w:rsidR="00F152D9" w:rsidRPr="00411081" w:rsidTr="00F152D9">
        <w:trPr>
          <w:cantSplit/>
        </w:trPr>
        <w:tc>
          <w:tcPr>
            <w:tcW w:w="3828" w:type="dxa"/>
          </w:tcPr>
          <w:p w:rsidR="00F152D9" w:rsidRPr="00411081" w:rsidRDefault="00F152D9" w:rsidP="003A1BD9">
            <w:pPr>
              <w:pStyle w:val="Tnormal"/>
              <w:rPr>
                <w:rFonts w:ascii="Arial" w:hAnsi="Arial" w:cs="Arial"/>
                <w:sz w:val="19"/>
                <w:szCs w:val="19"/>
              </w:rPr>
            </w:pPr>
            <w:r w:rsidRPr="00411081">
              <w:rPr>
                <w:rFonts w:ascii="Arial" w:hAnsi="Arial" w:cs="Arial"/>
                <w:sz w:val="19"/>
                <w:szCs w:val="19"/>
              </w:rPr>
              <w:t>Stocks</w:t>
            </w:r>
          </w:p>
        </w:tc>
        <w:tc>
          <w:tcPr>
            <w:tcW w:w="1134" w:type="dxa"/>
          </w:tcPr>
          <w:p w:rsidR="00F152D9" w:rsidRPr="00EC6B60" w:rsidRDefault="00F152D9" w:rsidP="003A1BD9">
            <w:pPr>
              <w:pStyle w:val="Tnote"/>
              <w:rPr>
                <w:rFonts w:ascii="Arial" w:hAnsi="Arial" w:cs="Arial"/>
                <w:sz w:val="19"/>
                <w:szCs w:val="19"/>
              </w:rPr>
            </w:pPr>
            <w:r w:rsidRPr="00EC6B60">
              <w:rPr>
                <w:rFonts w:ascii="Arial" w:hAnsi="Arial" w:cs="Arial"/>
                <w:sz w:val="19"/>
                <w:szCs w:val="19"/>
              </w:rPr>
              <w:t>1</w:t>
            </w:r>
            <w:r w:rsidR="00EC6B60" w:rsidRPr="00EC6B60">
              <w:rPr>
                <w:rFonts w:ascii="Arial" w:hAnsi="Arial" w:cs="Arial"/>
                <w:sz w:val="19"/>
                <w:szCs w:val="19"/>
              </w:rPr>
              <w:t>0</w:t>
            </w: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272B4B" w:rsidP="003A1BD9">
            <w:pPr>
              <w:pStyle w:val="Tdec"/>
              <w:rPr>
                <w:rFonts w:ascii="Arial" w:hAnsi="Arial" w:cs="Arial"/>
                <w:sz w:val="19"/>
                <w:szCs w:val="19"/>
              </w:rPr>
            </w:pPr>
            <w:r w:rsidRPr="00D87A34">
              <w:rPr>
                <w:rFonts w:ascii="Arial" w:hAnsi="Arial" w:cs="Arial"/>
                <w:sz w:val="19"/>
                <w:szCs w:val="19"/>
              </w:rPr>
              <w:t>384</w:t>
            </w:r>
          </w:p>
        </w:tc>
        <w:tc>
          <w:tcPr>
            <w:tcW w:w="1134" w:type="dxa"/>
          </w:tcPr>
          <w:p w:rsidR="00F152D9" w:rsidRPr="00411081" w:rsidRDefault="00F152D9" w:rsidP="003A1BD9">
            <w:pPr>
              <w:pStyle w:val="Tdec"/>
              <w:rPr>
                <w:rFonts w:ascii="Arial" w:hAnsi="Arial" w:cs="Arial"/>
                <w:sz w:val="19"/>
                <w:szCs w:val="19"/>
              </w:rPr>
            </w:pPr>
            <w:r w:rsidRPr="00411081">
              <w:rPr>
                <w:rFonts w:ascii="Arial" w:hAnsi="Arial" w:cs="Arial"/>
                <w:sz w:val="19"/>
                <w:szCs w:val="19"/>
              </w:rPr>
              <w:t>2</w:t>
            </w:r>
            <w:r w:rsidR="00411081" w:rsidRPr="00411081">
              <w:rPr>
                <w:rFonts w:ascii="Arial" w:hAnsi="Arial" w:cs="Arial"/>
                <w:sz w:val="19"/>
                <w:szCs w:val="19"/>
              </w:rPr>
              <w:t>53</w:t>
            </w:r>
          </w:p>
        </w:tc>
      </w:tr>
      <w:tr w:rsidR="00F152D9" w:rsidRPr="00411081" w:rsidTr="00F152D9">
        <w:trPr>
          <w:cantSplit/>
        </w:trPr>
        <w:tc>
          <w:tcPr>
            <w:tcW w:w="3828" w:type="dxa"/>
          </w:tcPr>
          <w:p w:rsidR="00F152D9" w:rsidRPr="00411081" w:rsidRDefault="00F152D9" w:rsidP="003A1BD9">
            <w:pPr>
              <w:pStyle w:val="Tnormal"/>
              <w:rPr>
                <w:rFonts w:ascii="Arial" w:hAnsi="Arial" w:cs="Arial"/>
                <w:sz w:val="19"/>
                <w:szCs w:val="19"/>
              </w:rPr>
            </w:pPr>
            <w:r w:rsidRPr="00411081">
              <w:rPr>
                <w:rFonts w:ascii="Arial" w:hAnsi="Arial" w:cs="Arial"/>
                <w:sz w:val="19"/>
                <w:szCs w:val="19"/>
              </w:rPr>
              <w:t>Debtors</w:t>
            </w:r>
          </w:p>
        </w:tc>
        <w:tc>
          <w:tcPr>
            <w:tcW w:w="1134" w:type="dxa"/>
          </w:tcPr>
          <w:p w:rsidR="00F152D9" w:rsidRPr="00EC6B60" w:rsidRDefault="00F152D9" w:rsidP="003A1BD9">
            <w:pPr>
              <w:pStyle w:val="Tnote"/>
              <w:rPr>
                <w:rFonts w:ascii="Arial" w:hAnsi="Arial" w:cs="Arial"/>
                <w:sz w:val="19"/>
                <w:szCs w:val="19"/>
              </w:rPr>
            </w:pPr>
            <w:r w:rsidRPr="00EC6B60">
              <w:rPr>
                <w:rFonts w:ascii="Arial" w:hAnsi="Arial" w:cs="Arial"/>
                <w:sz w:val="19"/>
                <w:szCs w:val="19"/>
              </w:rPr>
              <w:t>1</w:t>
            </w:r>
            <w:r w:rsidR="00EC6B60" w:rsidRPr="00EC6B60">
              <w:rPr>
                <w:rFonts w:ascii="Arial" w:hAnsi="Arial" w:cs="Arial"/>
                <w:sz w:val="19"/>
                <w:szCs w:val="19"/>
              </w:rPr>
              <w:t>1</w:t>
            </w: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8C3C0A" w:rsidRPr="00D87A34" w:rsidRDefault="00272B4B" w:rsidP="003A1BD9">
            <w:pPr>
              <w:pStyle w:val="Tdec"/>
              <w:rPr>
                <w:rFonts w:ascii="Arial" w:hAnsi="Arial" w:cs="Arial"/>
                <w:sz w:val="19"/>
                <w:szCs w:val="19"/>
              </w:rPr>
            </w:pPr>
            <w:r w:rsidRPr="00D87A34">
              <w:rPr>
                <w:rFonts w:ascii="Arial" w:hAnsi="Arial" w:cs="Arial"/>
                <w:sz w:val="19"/>
                <w:szCs w:val="19"/>
              </w:rPr>
              <w:t>2,211</w:t>
            </w:r>
          </w:p>
        </w:tc>
        <w:tc>
          <w:tcPr>
            <w:tcW w:w="1134" w:type="dxa"/>
          </w:tcPr>
          <w:p w:rsidR="00F152D9" w:rsidRPr="00411081" w:rsidRDefault="00411081" w:rsidP="003A1BD9">
            <w:pPr>
              <w:pStyle w:val="Tdec"/>
              <w:rPr>
                <w:rFonts w:ascii="Arial" w:hAnsi="Arial" w:cs="Arial"/>
                <w:sz w:val="19"/>
                <w:szCs w:val="19"/>
              </w:rPr>
            </w:pPr>
            <w:r w:rsidRPr="00411081">
              <w:rPr>
                <w:rFonts w:ascii="Arial" w:hAnsi="Arial" w:cs="Arial"/>
                <w:sz w:val="19"/>
                <w:szCs w:val="19"/>
              </w:rPr>
              <w:t>2,759</w:t>
            </w:r>
          </w:p>
        </w:tc>
      </w:tr>
      <w:tr w:rsidR="00F152D9" w:rsidRPr="00411081" w:rsidTr="00F152D9">
        <w:trPr>
          <w:cantSplit/>
        </w:trPr>
        <w:tc>
          <w:tcPr>
            <w:tcW w:w="3828" w:type="dxa"/>
          </w:tcPr>
          <w:p w:rsidR="008C3C0A" w:rsidRPr="00411081" w:rsidRDefault="00272B4B" w:rsidP="003A1BD9">
            <w:pPr>
              <w:pStyle w:val="Tnormal"/>
              <w:ind w:left="0" w:firstLine="0"/>
              <w:rPr>
                <w:rFonts w:ascii="Arial" w:hAnsi="Arial" w:cs="Arial"/>
                <w:sz w:val="19"/>
                <w:szCs w:val="19"/>
              </w:rPr>
            </w:pPr>
            <w:r>
              <w:rPr>
                <w:rFonts w:ascii="Arial" w:hAnsi="Arial" w:cs="Arial"/>
                <w:sz w:val="19"/>
                <w:szCs w:val="19"/>
              </w:rPr>
              <w:t>Cash</w:t>
            </w:r>
          </w:p>
        </w:tc>
        <w:tc>
          <w:tcPr>
            <w:tcW w:w="1134" w:type="dxa"/>
          </w:tcPr>
          <w:p w:rsidR="00F152D9" w:rsidRPr="00EC6B60" w:rsidRDefault="00EC6B60" w:rsidP="003A1BD9">
            <w:pPr>
              <w:pStyle w:val="Tnote"/>
              <w:rPr>
                <w:rFonts w:ascii="Arial" w:hAnsi="Arial" w:cs="Arial"/>
                <w:sz w:val="19"/>
                <w:szCs w:val="19"/>
              </w:rPr>
            </w:pPr>
            <w:r w:rsidRPr="00EC6B60">
              <w:rPr>
                <w:rFonts w:ascii="Arial" w:hAnsi="Arial" w:cs="Arial"/>
                <w:sz w:val="19"/>
                <w:szCs w:val="19"/>
              </w:rPr>
              <w:t>12</w:t>
            </w: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272B4B" w:rsidP="00272B4B">
            <w:pPr>
              <w:pStyle w:val="S9"/>
              <w:spacing w:line="240" w:lineRule="auto"/>
              <w:jc w:val="right"/>
              <w:rPr>
                <w:rFonts w:ascii="Arial" w:hAnsi="Arial" w:cs="Arial"/>
                <w:sz w:val="19"/>
                <w:szCs w:val="19"/>
              </w:rPr>
            </w:pPr>
            <w:r w:rsidRPr="00D87A34">
              <w:rPr>
                <w:rFonts w:ascii="Arial" w:hAnsi="Arial" w:cs="Arial"/>
                <w:sz w:val="19"/>
                <w:szCs w:val="19"/>
              </w:rPr>
              <w:t>1,66</w:t>
            </w:r>
            <w:r w:rsidR="005300DC">
              <w:rPr>
                <w:rFonts w:ascii="Arial" w:hAnsi="Arial" w:cs="Arial"/>
                <w:sz w:val="19"/>
                <w:szCs w:val="19"/>
              </w:rPr>
              <w:t>6</w:t>
            </w:r>
          </w:p>
        </w:tc>
        <w:tc>
          <w:tcPr>
            <w:tcW w:w="1134" w:type="dxa"/>
          </w:tcPr>
          <w:p w:rsidR="00F152D9" w:rsidRPr="00411081" w:rsidRDefault="00272B4B" w:rsidP="00272B4B">
            <w:pPr>
              <w:pStyle w:val="S9"/>
              <w:spacing w:line="240" w:lineRule="auto"/>
              <w:jc w:val="right"/>
              <w:rPr>
                <w:rFonts w:ascii="Arial" w:hAnsi="Arial" w:cs="Arial"/>
                <w:sz w:val="19"/>
                <w:szCs w:val="19"/>
              </w:rPr>
            </w:pPr>
            <w:r>
              <w:rPr>
                <w:rFonts w:ascii="Arial" w:hAnsi="Arial" w:cs="Arial"/>
                <w:sz w:val="19"/>
                <w:szCs w:val="19"/>
              </w:rPr>
              <w:t>0</w:t>
            </w:r>
          </w:p>
        </w:tc>
      </w:tr>
      <w:tr w:rsidR="00F152D9" w:rsidRPr="00411081" w:rsidTr="00F152D9">
        <w:trPr>
          <w:cantSplit/>
        </w:trPr>
        <w:tc>
          <w:tcPr>
            <w:tcW w:w="3828" w:type="dxa"/>
          </w:tcPr>
          <w:p w:rsidR="00F152D9" w:rsidRPr="00411081" w:rsidRDefault="00F152D9" w:rsidP="003A1BD9">
            <w:pPr>
              <w:pStyle w:val="B0"/>
              <w:spacing w:line="240" w:lineRule="auto"/>
              <w:rPr>
                <w:rFonts w:ascii="Arial" w:hAnsi="Arial" w:cs="Arial"/>
                <w:sz w:val="19"/>
                <w:szCs w:val="19"/>
              </w:rPr>
            </w:pPr>
          </w:p>
        </w:tc>
        <w:tc>
          <w:tcPr>
            <w:tcW w:w="1134" w:type="dxa"/>
          </w:tcPr>
          <w:p w:rsidR="00F152D9" w:rsidRPr="00EC6B60" w:rsidRDefault="00F152D9" w:rsidP="003A1BD9">
            <w:pPr>
              <w:pStyle w:val="B0"/>
              <w:spacing w:line="240" w:lineRule="auto"/>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272B4B" w:rsidP="003A1BD9">
            <w:pPr>
              <w:pStyle w:val="Tdec"/>
              <w:rPr>
                <w:rFonts w:ascii="Arial" w:hAnsi="Arial" w:cs="Arial"/>
                <w:sz w:val="19"/>
                <w:szCs w:val="19"/>
              </w:rPr>
            </w:pPr>
            <w:r w:rsidRPr="00D87A34">
              <w:rPr>
                <w:rFonts w:ascii="Arial" w:hAnsi="Arial" w:cs="Arial"/>
                <w:sz w:val="19"/>
                <w:szCs w:val="19"/>
              </w:rPr>
              <w:t>4,2</w:t>
            </w:r>
            <w:r w:rsidR="005300DC">
              <w:rPr>
                <w:rFonts w:ascii="Arial" w:hAnsi="Arial" w:cs="Arial"/>
                <w:sz w:val="19"/>
                <w:szCs w:val="19"/>
              </w:rPr>
              <w:t>61</w:t>
            </w:r>
          </w:p>
        </w:tc>
        <w:tc>
          <w:tcPr>
            <w:tcW w:w="1134" w:type="dxa"/>
          </w:tcPr>
          <w:p w:rsidR="00F152D9" w:rsidRPr="00411081" w:rsidRDefault="00411081" w:rsidP="003A1BD9">
            <w:pPr>
              <w:pStyle w:val="Tdec"/>
              <w:rPr>
                <w:rFonts w:ascii="Arial" w:hAnsi="Arial" w:cs="Arial"/>
                <w:sz w:val="19"/>
                <w:szCs w:val="19"/>
              </w:rPr>
            </w:pPr>
            <w:r w:rsidRPr="00411081">
              <w:rPr>
                <w:rFonts w:ascii="Arial" w:hAnsi="Arial" w:cs="Arial"/>
                <w:sz w:val="19"/>
                <w:szCs w:val="19"/>
              </w:rPr>
              <w:t>3,012</w:t>
            </w:r>
          </w:p>
        </w:tc>
      </w:tr>
      <w:tr w:rsidR="00F152D9" w:rsidRPr="00411081" w:rsidTr="00F152D9">
        <w:trPr>
          <w:cantSplit/>
        </w:trPr>
        <w:tc>
          <w:tcPr>
            <w:tcW w:w="3828" w:type="dxa"/>
          </w:tcPr>
          <w:p w:rsidR="00F152D9" w:rsidRPr="00411081" w:rsidRDefault="00F152D9" w:rsidP="003A1BD9">
            <w:pPr>
              <w:pStyle w:val="Tnormal"/>
              <w:rPr>
                <w:rFonts w:ascii="Arial" w:hAnsi="Arial" w:cs="Arial"/>
                <w:sz w:val="19"/>
                <w:szCs w:val="19"/>
              </w:rPr>
            </w:pP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F152D9" w:rsidP="003A1BD9">
            <w:pPr>
              <w:pStyle w:val="Tdec"/>
              <w:rPr>
                <w:rFonts w:ascii="Arial" w:hAnsi="Arial" w:cs="Arial"/>
                <w:sz w:val="19"/>
                <w:szCs w:val="19"/>
              </w:rPr>
            </w:pPr>
          </w:p>
        </w:tc>
        <w:tc>
          <w:tcPr>
            <w:tcW w:w="1134" w:type="dxa"/>
          </w:tcPr>
          <w:p w:rsidR="00F152D9" w:rsidRPr="00411081" w:rsidRDefault="00F152D9" w:rsidP="003A1BD9">
            <w:pPr>
              <w:pStyle w:val="Tdec"/>
              <w:rPr>
                <w:rFonts w:ascii="Arial" w:hAnsi="Arial" w:cs="Arial"/>
                <w:sz w:val="19"/>
                <w:szCs w:val="19"/>
              </w:rPr>
            </w:pPr>
          </w:p>
        </w:tc>
      </w:tr>
      <w:tr w:rsidR="00F152D9" w:rsidRPr="00411081" w:rsidTr="00F152D9">
        <w:trPr>
          <w:cantSplit/>
        </w:trPr>
        <w:tc>
          <w:tcPr>
            <w:tcW w:w="3828" w:type="dxa"/>
          </w:tcPr>
          <w:p w:rsidR="00F152D9" w:rsidRPr="00411081" w:rsidRDefault="00F152D9" w:rsidP="003A1BD9">
            <w:pPr>
              <w:pStyle w:val="Tnormal"/>
              <w:rPr>
                <w:rFonts w:ascii="Arial" w:hAnsi="Arial" w:cs="Arial"/>
                <w:b/>
                <w:sz w:val="19"/>
                <w:szCs w:val="19"/>
              </w:rPr>
            </w:pPr>
            <w:r w:rsidRPr="00411081">
              <w:rPr>
                <w:rFonts w:ascii="Arial" w:hAnsi="Arial" w:cs="Arial"/>
                <w:b/>
                <w:sz w:val="19"/>
                <w:szCs w:val="19"/>
              </w:rPr>
              <w:t>CREDITORS: amounts falling due within one year</w:t>
            </w:r>
          </w:p>
        </w:tc>
        <w:tc>
          <w:tcPr>
            <w:tcW w:w="1134" w:type="dxa"/>
          </w:tcPr>
          <w:p w:rsidR="00F152D9" w:rsidRPr="00EC6B60" w:rsidRDefault="00F152D9" w:rsidP="003A1BD9">
            <w:pPr>
              <w:pStyle w:val="Tnote"/>
              <w:rPr>
                <w:rFonts w:ascii="Arial" w:hAnsi="Arial" w:cs="Arial"/>
                <w:sz w:val="19"/>
                <w:szCs w:val="19"/>
              </w:rPr>
            </w:pPr>
          </w:p>
          <w:p w:rsidR="00F152D9" w:rsidRPr="00EC6B60" w:rsidRDefault="00F152D9" w:rsidP="003A1BD9">
            <w:pPr>
              <w:pStyle w:val="Tnote"/>
              <w:rPr>
                <w:rFonts w:ascii="Arial" w:hAnsi="Arial" w:cs="Arial"/>
                <w:sz w:val="19"/>
                <w:szCs w:val="19"/>
              </w:rPr>
            </w:pPr>
            <w:r w:rsidRPr="00EC6B60">
              <w:rPr>
                <w:rFonts w:ascii="Arial" w:hAnsi="Arial" w:cs="Arial"/>
                <w:sz w:val="19"/>
                <w:szCs w:val="19"/>
              </w:rPr>
              <w:t>1</w:t>
            </w:r>
            <w:r w:rsidR="007149FC" w:rsidRPr="00EC6B60">
              <w:rPr>
                <w:rFonts w:ascii="Arial" w:hAnsi="Arial" w:cs="Arial"/>
                <w:sz w:val="19"/>
                <w:szCs w:val="19"/>
              </w:rPr>
              <w:t>3</w:t>
            </w: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F152D9" w:rsidP="003A1BD9">
            <w:pPr>
              <w:pStyle w:val="Tdec"/>
              <w:rPr>
                <w:rFonts w:ascii="Arial" w:hAnsi="Arial" w:cs="Arial"/>
                <w:sz w:val="19"/>
                <w:szCs w:val="19"/>
              </w:rPr>
            </w:pPr>
          </w:p>
          <w:p w:rsidR="008C3C0A" w:rsidRPr="00D87A34" w:rsidRDefault="008C3C0A" w:rsidP="00866217">
            <w:pPr>
              <w:pStyle w:val="Tdec"/>
              <w:rPr>
                <w:rFonts w:ascii="Arial" w:hAnsi="Arial" w:cs="Arial"/>
                <w:sz w:val="19"/>
                <w:szCs w:val="19"/>
              </w:rPr>
            </w:pPr>
            <w:r w:rsidRPr="00D87A34">
              <w:rPr>
                <w:rFonts w:ascii="Arial" w:hAnsi="Arial" w:cs="Arial"/>
                <w:sz w:val="19"/>
                <w:szCs w:val="19"/>
              </w:rPr>
              <w:t>(</w:t>
            </w:r>
            <w:r w:rsidR="00ED1840">
              <w:rPr>
                <w:rFonts w:ascii="Arial" w:hAnsi="Arial" w:cs="Arial"/>
                <w:sz w:val="19"/>
                <w:szCs w:val="19"/>
              </w:rPr>
              <w:t>2,766</w:t>
            </w:r>
            <w:r w:rsidRPr="00D87A34">
              <w:rPr>
                <w:rFonts w:ascii="Arial" w:hAnsi="Arial" w:cs="Arial"/>
                <w:sz w:val="19"/>
                <w:szCs w:val="19"/>
              </w:rPr>
              <w:t>)</w:t>
            </w:r>
          </w:p>
        </w:tc>
        <w:tc>
          <w:tcPr>
            <w:tcW w:w="1134" w:type="dxa"/>
          </w:tcPr>
          <w:p w:rsidR="00866217" w:rsidRPr="00411081" w:rsidRDefault="00866217" w:rsidP="003A1BD9">
            <w:pPr>
              <w:pStyle w:val="Tdec"/>
              <w:rPr>
                <w:rFonts w:ascii="Arial" w:hAnsi="Arial" w:cs="Arial"/>
                <w:sz w:val="19"/>
                <w:szCs w:val="19"/>
              </w:rPr>
            </w:pPr>
          </w:p>
          <w:p w:rsidR="00F152D9" w:rsidRPr="00411081" w:rsidRDefault="00F152D9" w:rsidP="00866217">
            <w:pPr>
              <w:pStyle w:val="Tdec"/>
              <w:rPr>
                <w:rFonts w:ascii="Arial" w:hAnsi="Arial" w:cs="Arial"/>
                <w:sz w:val="19"/>
                <w:szCs w:val="19"/>
              </w:rPr>
            </w:pPr>
            <w:r w:rsidRPr="00411081">
              <w:rPr>
                <w:rFonts w:ascii="Arial" w:hAnsi="Arial" w:cs="Arial"/>
                <w:sz w:val="19"/>
                <w:szCs w:val="19"/>
              </w:rPr>
              <w:t>(</w:t>
            </w:r>
            <w:r w:rsidR="00411081" w:rsidRPr="00411081">
              <w:rPr>
                <w:rFonts w:ascii="Arial" w:hAnsi="Arial" w:cs="Arial"/>
                <w:sz w:val="19"/>
                <w:szCs w:val="19"/>
              </w:rPr>
              <w:t>2,760</w:t>
            </w:r>
            <w:r w:rsidRPr="00411081">
              <w:rPr>
                <w:rFonts w:ascii="Arial" w:hAnsi="Arial" w:cs="Arial"/>
                <w:sz w:val="19"/>
                <w:szCs w:val="19"/>
              </w:rPr>
              <w:t>)</w:t>
            </w:r>
          </w:p>
        </w:tc>
      </w:tr>
      <w:tr w:rsidR="00F152D9" w:rsidRPr="00411081" w:rsidTr="00F152D9">
        <w:trPr>
          <w:cantSplit/>
          <w:trHeight w:val="325"/>
        </w:trPr>
        <w:tc>
          <w:tcPr>
            <w:tcW w:w="3828" w:type="dxa"/>
          </w:tcPr>
          <w:p w:rsidR="00F152D9" w:rsidRPr="00411081" w:rsidRDefault="00F152D9" w:rsidP="003A1BD9">
            <w:pPr>
              <w:pStyle w:val="B0"/>
              <w:spacing w:line="240" w:lineRule="auto"/>
              <w:rPr>
                <w:rFonts w:ascii="Arial" w:hAnsi="Arial" w:cs="Arial"/>
                <w:sz w:val="19"/>
                <w:szCs w:val="19"/>
              </w:rPr>
            </w:pPr>
          </w:p>
        </w:tc>
        <w:tc>
          <w:tcPr>
            <w:tcW w:w="1134" w:type="dxa"/>
          </w:tcPr>
          <w:p w:rsidR="00F152D9" w:rsidRPr="00EC6B60" w:rsidRDefault="00F152D9" w:rsidP="003A1BD9">
            <w:pPr>
              <w:pStyle w:val="B0"/>
              <w:spacing w:line="240" w:lineRule="auto"/>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F152D9" w:rsidP="003A1BD9">
            <w:pPr>
              <w:pStyle w:val="Tdec"/>
              <w:rPr>
                <w:rFonts w:ascii="Arial" w:hAnsi="Arial" w:cs="Arial"/>
                <w:sz w:val="19"/>
                <w:szCs w:val="19"/>
              </w:rPr>
            </w:pPr>
          </w:p>
        </w:tc>
        <w:tc>
          <w:tcPr>
            <w:tcW w:w="1134" w:type="dxa"/>
          </w:tcPr>
          <w:p w:rsidR="00F152D9" w:rsidRPr="00411081" w:rsidRDefault="00F152D9" w:rsidP="003A1BD9">
            <w:pPr>
              <w:pStyle w:val="Tdec"/>
              <w:rPr>
                <w:rFonts w:ascii="Arial" w:hAnsi="Arial" w:cs="Arial"/>
                <w:sz w:val="19"/>
                <w:szCs w:val="19"/>
              </w:rPr>
            </w:pPr>
          </w:p>
        </w:tc>
      </w:tr>
      <w:tr w:rsidR="00F152D9" w:rsidRPr="00411081" w:rsidTr="00F152D9">
        <w:trPr>
          <w:cantSplit/>
        </w:trPr>
        <w:tc>
          <w:tcPr>
            <w:tcW w:w="3828" w:type="dxa"/>
          </w:tcPr>
          <w:p w:rsidR="00F152D9" w:rsidRPr="00411081" w:rsidRDefault="00F152D9" w:rsidP="00866217">
            <w:pPr>
              <w:pStyle w:val="Tnormal"/>
              <w:rPr>
                <w:rFonts w:ascii="Arial" w:hAnsi="Arial" w:cs="Arial"/>
                <w:b/>
                <w:sz w:val="19"/>
                <w:szCs w:val="19"/>
              </w:rPr>
            </w:pPr>
            <w:r w:rsidRPr="00411081">
              <w:rPr>
                <w:rFonts w:ascii="Arial" w:hAnsi="Arial" w:cs="Arial"/>
                <w:b/>
                <w:sz w:val="19"/>
                <w:szCs w:val="19"/>
              </w:rPr>
              <w:t xml:space="preserve">NET CURRENT </w:t>
            </w:r>
            <w:r w:rsidR="00866217" w:rsidRPr="00411081">
              <w:rPr>
                <w:rFonts w:ascii="Arial" w:hAnsi="Arial" w:cs="Arial"/>
                <w:b/>
                <w:sz w:val="19"/>
                <w:szCs w:val="19"/>
              </w:rPr>
              <w:t>ASSETS</w:t>
            </w: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272B4B" w:rsidP="00866217">
            <w:pPr>
              <w:pStyle w:val="Tdec"/>
              <w:rPr>
                <w:rFonts w:ascii="Arial" w:hAnsi="Arial" w:cs="Arial"/>
                <w:sz w:val="19"/>
                <w:szCs w:val="19"/>
              </w:rPr>
            </w:pPr>
            <w:r w:rsidRPr="00D87A34">
              <w:rPr>
                <w:rFonts w:ascii="Arial" w:hAnsi="Arial" w:cs="Arial"/>
                <w:sz w:val="19"/>
                <w:szCs w:val="19"/>
              </w:rPr>
              <w:t>1,4</w:t>
            </w:r>
            <w:r w:rsidR="00ED1840">
              <w:rPr>
                <w:rFonts w:ascii="Arial" w:hAnsi="Arial" w:cs="Arial"/>
                <w:sz w:val="19"/>
                <w:szCs w:val="19"/>
              </w:rPr>
              <w:t>95</w:t>
            </w:r>
          </w:p>
        </w:tc>
        <w:tc>
          <w:tcPr>
            <w:tcW w:w="1134" w:type="dxa"/>
          </w:tcPr>
          <w:p w:rsidR="00F152D9" w:rsidRPr="00411081" w:rsidRDefault="00411081" w:rsidP="00866217">
            <w:pPr>
              <w:pStyle w:val="Tdec"/>
              <w:rPr>
                <w:rFonts w:ascii="Arial" w:hAnsi="Arial" w:cs="Arial"/>
                <w:sz w:val="19"/>
                <w:szCs w:val="19"/>
              </w:rPr>
            </w:pPr>
            <w:r w:rsidRPr="00411081">
              <w:rPr>
                <w:rFonts w:ascii="Arial" w:hAnsi="Arial" w:cs="Arial"/>
                <w:sz w:val="19"/>
                <w:szCs w:val="19"/>
              </w:rPr>
              <w:t>252</w:t>
            </w:r>
          </w:p>
        </w:tc>
      </w:tr>
      <w:tr w:rsidR="00F152D9" w:rsidRPr="00411081" w:rsidTr="00F152D9">
        <w:trPr>
          <w:cantSplit/>
        </w:trPr>
        <w:tc>
          <w:tcPr>
            <w:tcW w:w="3828" w:type="dxa"/>
          </w:tcPr>
          <w:p w:rsidR="00F152D9" w:rsidRPr="00411081" w:rsidRDefault="00F152D9" w:rsidP="003A1BD9">
            <w:pPr>
              <w:pStyle w:val="Tnormal"/>
              <w:rPr>
                <w:rFonts w:ascii="Arial" w:hAnsi="Arial" w:cs="Arial"/>
                <w:b/>
                <w:sz w:val="19"/>
                <w:szCs w:val="19"/>
              </w:rPr>
            </w:pP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F152D9" w:rsidP="003A1BD9">
            <w:pPr>
              <w:pStyle w:val="S9"/>
              <w:spacing w:line="240" w:lineRule="auto"/>
              <w:rPr>
                <w:rFonts w:ascii="Arial" w:hAnsi="Arial" w:cs="Arial"/>
                <w:sz w:val="19"/>
                <w:szCs w:val="19"/>
              </w:rPr>
            </w:pPr>
          </w:p>
        </w:tc>
        <w:tc>
          <w:tcPr>
            <w:tcW w:w="1134" w:type="dxa"/>
          </w:tcPr>
          <w:p w:rsidR="00F152D9" w:rsidRPr="00411081" w:rsidRDefault="00F152D9" w:rsidP="003A1BD9">
            <w:pPr>
              <w:pStyle w:val="S9"/>
              <w:spacing w:line="240" w:lineRule="auto"/>
              <w:rPr>
                <w:rFonts w:ascii="Arial" w:hAnsi="Arial" w:cs="Arial"/>
                <w:sz w:val="19"/>
                <w:szCs w:val="19"/>
              </w:rPr>
            </w:pPr>
          </w:p>
        </w:tc>
      </w:tr>
      <w:tr w:rsidR="00F152D9" w:rsidRPr="00411081" w:rsidTr="00F152D9">
        <w:trPr>
          <w:cantSplit/>
        </w:trPr>
        <w:tc>
          <w:tcPr>
            <w:tcW w:w="3828" w:type="dxa"/>
          </w:tcPr>
          <w:p w:rsidR="00F152D9" w:rsidRPr="00411081" w:rsidRDefault="00F152D9" w:rsidP="003A1BD9">
            <w:pPr>
              <w:pStyle w:val="Tnormal"/>
              <w:rPr>
                <w:rFonts w:ascii="Arial" w:hAnsi="Arial" w:cs="Arial"/>
                <w:b/>
                <w:sz w:val="19"/>
                <w:szCs w:val="19"/>
              </w:rPr>
            </w:pPr>
            <w:r w:rsidRPr="00411081">
              <w:rPr>
                <w:rFonts w:ascii="Arial" w:hAnsi="Arial" w:cs="Arial"/>
                <w:b/>
                <w:sz w:val="19"/>
                <w:szCs w:val="19"/>
              </w:rPr>
              <w:t>TOTAL ASSETS LESS CURRENT LIABILITIES</w:t>
            </w: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272B4B" w:rsidP="00866217">
            <w:pPr>
              <w:pStyle w:val="Tdec"/>
              <w:rPr>
                <w:rFonts w:ascii="Arial" w:hAnsi="Arial" w:cs="Arial"/>
                <w:sz w:val="19"/>
                <w:szCs w:val="19"/>
              </w:rPr>
            </w:pPr>
            <w:r w:rsidRPr="00D87A34">
              <w:rPr>
                <w:rFonts w:ascii="Arial" w:hAnsi="Arial" w:cs="Arial"/>
                <w:sz w:val="19"/>
                <w:szCs w:val="19"/>
              </w:rPr>
              <w:t>4,2</w:t>
            </w:r>
            <w:r w:rsidR="00ED1840">
              <w:rPr>
                <w:rFonts w:ascii="Arial" w:hAnsi="Arial" w:cs="Arial"/>
                <w:sz w:val="19"/>
                <w:szCs w:val="19"/>
              </w:rPr>
              <w:t>86</w:t>
            </w:r>
          </w:p>
        </w:tc>
        <w:tc>
          <w:tcPr>
            <w:tcW w:w="1134" w:type="dxa"/>
          </w:tcPr>
          <w:p w:rsidR="00F152D9" w:rsidRPr="00411081" w:rsidRDefault="00866217" w:rsidP="00866217">
            <w:pPr>
              <w:pStyle w:val="Tdec"/>
              <w:rPr>
                <w:rFonts w:ascii="Arial" w:hAnsi="Arial" w:cs="Arial"/>
                <w:sz w:val="19"/>
                <w:szCs w:val="19"/>
              </w:rPr>
            </w:pPr>
            <w:r w:rsidRPr="00411081">
              <w:rPr>
                <w:rFonts w:ascii="Arial" w:hAnsi="Arial" w:cs="Arial"/>
                <w:sz w:val="19"/>
                <w:szCs w:val="19"/>
              </w:rPr>
              <w:t>3,</w:t>
            </w:r>
            <w:r w:rsidR="00411081" w:rsidRPr="00411081">
              <w:rPr>
                <w:rFonts w:ascii="Arial" w:hAnsi="Arial" w:cs="Arial"/>
                <w:sz w:val="19"/>
                <w:szCs w:val="19"/>
              </w:rPr>
              <w:t>101</w:t>
            </w:r>
          </w:p>
        </w:tc>
      </w:tr>
      <w:tr w:rsidR="00F152D9" w:rsidRPr="00411081" w:rsidTr="00F152D9">
        <w:trPr>
          <w:cantSplit/>
        </w:trPr>
        <w:tc>
          <w:tcPr>
            <w:tcW w:w="3828" w:type="dxa"/>
          </w:tcPr>
          <w:p w:rsidR="00F152D9" w:rsidRPr="00411081" w:rsidRDefault="00F152D9" w:rsidP="003A1BD9">
            <w:pPr>
              <w:pStyle w:val="Tnormal"/>
              <w:rPr>
                <w:rFonts w:ascii="Arial" w:hAnsi="Arial" w:cs="Arial"/>
                <w:b/>
                <w:sz w:val="19"/>
                <w:szCs w:val="19"/>
              </w:rPr>
            </w:pP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F152D9" w:rsidP="003A1BD9">
            <w:pPr>
              <w:pStyle w:val="Tdec"/>
              <w:rPr>
                <w:rFonts w:ascii="Arial" w:hAnsi="Arial" w:cs="Arial"/>
                <w:sz w:val="19"/>
                <w:szCs w:val="19"/>
              </w:rPr>
            </w:pPr>
          </w:p>
        </w:tc>
        <w:tc>
          <w:tcPr>
            <w:tcW w:w="1134" w:type="dxa"/>
          </w:tcPr>
          <w:p w:rsidR="00F152D9" w:rsidRPr="00411081" w:rsidRDefault="00F152D9" w:rsidP="003A1BD9">
            <w:pPr>
              <w:pStyle w:val="Tdec"/>
              <w:rPr>
                <w:rFonts w:ascii="Arial" w:hAnsi="Arial" w:cs="Arial"/>
                <w:sz w:val="19"/>
                <w:szCs w:val="19"/>
              </w:rPr>
            </w:pPr>
          </w:p>
        </w:tc>
      </w:tr>
      <w:tr w:rsidR="00F152D9" w:rsidRPr="00411081" w:rsidTr="00F152D9">
        <w:trPr>
          <w:cantSplit/>
        </w:trPr>
        <w:tc>
          <w:tcPr>
            <w:tcW w:w="3828" w:type="dxa"/>
          </w:tcPr>
          <w:p w:rsidR="00F152D9" w:rsidRPr="00411081" w:rsidRDefault="00F152D9" w:rsidP="003A1BD9">
            <w:pPr>
              <w:pStyle w:val="Tnormal"/>
              <w:rPr>
                <w:rFonts w:ascii="Arial" w:hAnsi="Arial" w:cs="Arial"/>
                <w:b/>
                <w:sz w:val="19"/>
                <w:szCs w:val="19"/>
              </w:rPr>
            </w:pPr>
            <w:r w:rsidRPr="00411081">
              <w:rPr>
                <w:rFonts w:ascii="Arial" w:hAnsi="Arial" w:cs="Arial"/>
                <w:b/>
                <w:sz w:val="19"/>
                <w:szCs w:val="19"/>
              </w:rPr>
              <w:t>CREDITORS: amounts falling due after more than one year</w:t>
            </w:r>
          </w:p>
        </w:tc>
        <w:tc>
          <w:tcPr>
            <w:tcW w:w="1134" w:type="dxa"/>
          </w:tcPr>
          <w:p w:rsidR="00F152D9" w:rsidRPr="00EC6B60" w:rsidRDefault="00F152D9" w:rsidP="003A1BD9">
            <w:pPr>
              <w:pStyle w:val="Tnote"/>
              <w:rPr>
                <w:rFonts w:ascii="Arial" w:hAnsi="Arial" w:cs="Arial"/>
                <w:sz w:val="19"/>
                <w:szCs w:val="19"/>
              </w:rPr>
            </w:pPr>
          </w:p>
          <w:p w:rsidR="00F152D9" w:rsidRPr="00EC6B60" w:rsidRDefault="00F152D9" w:rsidP="003A1BD9">
            <w:pPr>
              <w:pStyle w:val="Tnote"/>
              <w:rPr>
                <w:rFonts w:ascii="Arial" w:hAnsi="Arial" w:cs="Arial"/>
                <w:sz w:val="19"/>
                <w:szCs w:val="19"/>
              </w:rPr>
            </w:pPr>
            <w:r w:rsidRPr="00EC6B60">
              <w:rPr>
                <w:rFonts w:ascii="Arial" w:hAnsi="Arial" w:cs="Arial"/>
                <w:sz w:val="19"/>
                <w:szCs w:val="19"/>
              </w:rPr>
              <w:t>1</w:t>
            </w:r>
            <w:r w:rsidR="007149FC" w:rsidRPr="00EC6B60">
              <w:rPr>
                <w:rFonts w:ascii="Arial" w:hAnsi="Arial" w:cs="Arial"/>
                <w:sz w:val="19"/>
                <w:szCs w:val="19"/>
              </w:rPr>
              <w:t>4</w:t>
            </w: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p w:rsidR="008C3C0A" w:rsidRPr="00C46A29" w:rsidRDefault="008C3C0A" w:rsidP="003A1BD9">
            <w:pPr>
              <w:pStyle w:val="Tdec"/>
              <w:rPr>
                <w:rFonts w:ascii="Arial" w:hAnsi="Arial" w:cs="Arial"/>
                <w:sz w:val="19"/>
                <w:szCs w:val="19"/>
                <w:highlight w:val="yellow"/>
              </w:rPr>
            </w:pPr>
          </w:p>
        </w:tc>
        <w:tc>
          <w:tcPr>
            <w:tcW w:w="1134" w:type="dxa"/>
          </w:tcPr>
          <w:p w:rsidR="00F152D9" w:rsidRPr="00D87A34" w:rsidRDefault="00F152D9" w:rsidP="003A1BD9">
            <w:pPr>
              <w:pStyle w:val="Tdec"/>
              <w:rPr>
                <w:rFonts w:ascii="Arial" w:hAnsi="Arial" w:cs="Arial"/>
                <w:sz w:val="19"/>
                <w:szCs w:val="19"/>
              </w:rPr>
            </w:pPr>
          </w:p>
          <w:p w:rsidR="008C3C0A" w:rsidRPr="00D87A34" w:rsidRDefault="008C3C0A" w:rsidP="00866217">
            <w:pPr>
              <w:pStyle w:val="Tdec"/>
              <w:rPr>
                <w:rFonts w:ascii="Arial" w:hAnsi="Arial" w:cs="Arial"/>
                <w:sz w:val="19"/>
                <w:szCs w:val="19"/>
              </w:rPr>
            </w:pPr>
            <w:r w:rsidRPr="00D87A34">
              <w:rPr>
                <w:rFonts w:ascii="Arial" w:hAnsi="Arial" w:cs="Arial"/>
                <w:sz w:val="19"/>
                <w:szCs w:val="19"/>
              </w:rPr>
              <w:t>(</w:t>
            </w:r>
            <w:r w:rsidR="00A600AF" w:rsidRPr="00D87A34">
              <w:rPr>
                <w:rFonts w:ascii="Arial" w:hAnsi="Arial" w:cs="Arial"/>
                <w:sz w:val="19"/>
                <w:szCs w:val="19"/>
              </w:rPr>
              <w:t>2,580</w:t>
            </w:r>
            <w:r w:rsidRPr="00D87A34">
              <w:rPr>
                <w:rFonts w:ascii="Arial" w:hAnsi="Arial" w:cs="Arial"/>
                <w:sz w:val="19"/>
                <w:szCs w:val="19"/>
              </w:rPr>
              <w:t>)</w:t>
            </w:r>
          </w:p>
        </w:tc>
        <w:tc>
          <w:tcPr>
            <w:tcW w:w="1134" w:type="dxa"/>
          </w:tcPr>
          <w:p w:rsidR="00F152D9" w:rsidRPr="00411081" w:rsidRDefault="00F152D9" w:rsidP="003A1BD9">
            <w:pPr>
              <w:pStyle w:val="Tdec"/>
              <w:rPr>
                <w:rFonts w:ascii="Arial" w:hAnsi="Arial" w:cs="Arial"/>
                <w:sz w:val="19"/>
                <w:szCs w:val="19"/>
              </w:rPr>
            </w:pPr>
          </w:p>
          <w:p w:rsidR="00F152D9" w:rsidRPr="00411081" w:rsidRDefault="00F152D9" w:rsidP="00866217">
            <w:pPr>
              <w:pStyle w:val="Tdec"/>
              <w:rPr>
                <w:rFonts w:ascii="Arial" w:hAnsi="Arial" w:cs="Arial"/>
                <w:sz w:val="19"/>
                <w:szCs w:val="19"/>
              </w:rPr>
            </w:pPr>
            <w:r w:rsidRPr="00411081">
              <w:rPr>
                <w:rFonts w:ascii="Arial" w:hAnsi="Arial" w:cs="Arial"/>
                <w:sz w:val="19"/>
                <w:szCs w:val="19"/>
              </w:rPr>
              <w:t>(</w:t>
            </w:r>
            <w:r w:rsidR="00866217" w:rsidRPr="00411081">
              <w:rPr>
                <w:rFonts w:ascii="Arial" w:hAnsi="Arial" w:cs="Arial"/>
                <w:sz w:val="19"/>
                <w:szCs w:val="19"/>
              </w:rPr>
              <w:t>3</w:t>
            </w:r>
            <w:r w:rsidRPr="00411081">
              <w:rPr>
                <w:rFonts w:ascii="Arial" w:hAnsi="Arial" w:cs="Arial"/>
                <w:sz w:val="19"/>
                <w:szCs w:val="19"/>
              </w:rPr>
              <w:t>,</w:t>
            </w:r>
            <w:r w:rsidR="00411081" w:rsidRPr="00411081">
              <w:rPr>
                <w:rFonts w:ascii="Arial" w:hAnsi="Arial" w:cs="Arial"/>
                <w:sz w:val="19"/>
                <w:szCs w:val="19"/>
              </w:rPr>
              <w:t>077</w:t>
            </w:r>
            <w:r w:rsidRPr="00411081">
              <w:rPr>
                <w:rFonts w:ascii="Arial" w:hAnsi="Arial" w:cs="Arial"/>
                <w:sz w:val="19"/>
                <w:szCs w:val="19"/>
              </w:rPr>
              <w:t>)</w:t>
            </w:r>
          </w:p>
        </w:tc>
      </w:tr>
      <w:tr w:rsidR="00F152D9" w:rsidRPr="00411081" w:rsidTr="00F152D9">
        <w:trPr>
          <w:cantSplit/>
        </w:trPr>
        <w:tc>
          <w:tcPr>
            <w:tcW w:w="3828" w:type="dxa"/>
          </w:tcPr>
          <w:p w:rsidR="00F152D9" w:rsidRPr="00411081" w:rsidRDefault="00F152D9" w:rsidP="003A1BD9">
            <w:pPr>
              <w:pStyle w:val="Tnormal"/>
              <w:rPr>
                <w:rFonts w:ascii="Arial" w:hAnsi="Arial" w:cs="Arial"/>
                <w:b/>
                <w:sz w:val="19"/>
                <w:szCs w:val="19"/>
              </w:rPr>
            </w:pP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F152D9" w:rsidP="003A1BD9">
            <w:pPr>
              <w:pStyle w:val="Tdec"/>
              <w:rPr>
                <w:rFonts w:ascii="Arial" w:hAnsi="Arial" w:cs="Arial"/>
                <w:sz w:val="19"/>
                <w:szCs w:val="19"/>
              </w:rPr>
            </w:pPr>
          </w:p>
        </w:tc>
        <w:tc>
          <w:tcPr>
            <w:tcW w:w="1134" w:type="dxa"/>
          </w:tcPr>
          <w:p w:rsidR="00F152D9" w:rsidRPr="00411081" w:rsidRDefault="00F152D9" w:rsidP="003A1BD9">
            <w:pPr>
              <w:pStyle w:val="Tdec"/>
              <w:rPr>
                <w:rFonts w:ascii="Arial" w:hAnsi="Arial" w:cs="Arial"/>
                <w:sz w:val="19"/>
                <w:szCs w:val="19"/>
              </w:rPr>
            </w:pPr>
          </w:p>
        </w:tc>
      </w:tr>
      <w:tr w:rsidR="00F152D9" w:rsidRPr="00411081" w:rsidTr="00F152D9">
        <w:trPr>
          <w:cantSplit/>
        </w:trPr>
        <w:tc>
          <w:tcPr>
            <w:tcW w:w="3828" w:type="dxa"/>
          </w:tcPr>
          <w:p w:rsidR="00F152D9" w:rsidRPr="00411081" w:rsidRDefault="00F152D9" w:rsidP="003A1BD9">
            <w:pPr>
              <w:pStyle w:val="Tnormal"/>
              <w:rPr>
                <w:rFonts w:ascii="Arial" w:hAnsi="Arial" w:cs="Arial"/>
                <w:sz w:val="19"/>
                <w:szCs w:val="19"/>
              </w:rPr>
            </w:pPr>
            <w:r w:rsidRPr="00411081">
              <w:rPr>
                <w:rFonts w:ascii="Arial" w:hAnsi="Arial" w:cs="Arial"/>
                <w:sz w:val="19"/>
                <w:szCs w:val="19"/>
              </w:rPr>
              <w:t>Net pension liability</w:t>
            </w:r>
          </w:p>
        </w:tc>
        <w:tc>
          <w:tcPr>
            <w:tcW w:w="1134" w:type="dxa"/>
          </w:tcPr>
          <w:p w:rsidR="00F152D9" w:rsidRPr="00EC6B60" w:rsidRDefault="00F152D9" w:rsidP="003A1BD9">
            <w:pPr>
              <w:pStyle w:val="Tnote"/>
              <w:rPr>
                <w:rFonts w:ascii="Arial" w:hAnsi="Arial" w:cs="Arial"/>
                <w:sz w:val="19"/>
                <w:szCs w:val="19"/>
              </w:rPr>
            </w:pPr>
            <w:r w:rsidRPr="00EC6B60">
              <w:rPr>
                <w:rFonts w:ascii="Arial" w:hAnsi="Arial" w:cs="Arial"/>
                <w:sz w:val="19"/>
                <w:szCs w:val="19"/>
              </w:rPr>
              <w:t>1</w:t>
            </w:r>
            <w:r w:rsidR="007149FC" w:rsidRPr="00EC6B60">
              <w:rPr>
                <w:rFonts w:ascii="Arial" w:hAnsi="Arial" w:cs="Arial"/>
                <w:sz w:val="19"/>
                <w:szCs w:val="19"/>
              </w:rPr>
              <w:t>8</w:t>
            </w: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8C3C0A" w:rsidP="003A1BD9">
            <w:pPr>
              <w:pStyle w:val="Tdec"/>
              <w:rPr>
                <w:rFonts w:ascii="Arial" w:hAnsi="Arial" w:cs="Arial"/>
                <w:sz w:val="19"/>
                <w:szCs w:val="19"/>
              </w:rPr>
            </w:pPr>
            <w:r w:rsidRPr="00D87A34">
              <w:rPr>
                <w:rFonts w:ascii="Arial" w:hAnsi="Arial" w:cs="Arial"/>
                <w:sz w:val="19"/>
                <w:szCs w:val="19"/>
              </w:rPr>
              <w:t>(</w:t>
            </w:r>
            <w:r w:rsidR="00272B4B" w:rsidRPr="00D87A34">
              <w:rPr>
                <w:rFonts w:ascii="Arial" w:hAnsi="Arial" w:cs="Arial"/>
                <w:sz w:val="19"/>
                <w:szCs w:val="19"/>
              </w:rPr>
              <w:t>7,080</w:t>
            </w:r>
            <w:r w:rsidRPr="00D87A34">
              <w:rPr>
                <w:rFonts w:ascii="Arial" w:hAnsi="Arial" w:cs="Arial"/>
                <w:sz w:val="19"/>
                <w:szCs w:val="19"/>
              </w:rPr>
              <w:t>)</w:t>
            </w:r>
          </w:p>
        </w:tc>
        <w:tc>
          <w:tcPr>
            <w:tcW w:w="1134" w:type="dxa"/>
          </w:tcPr>
          <w:p w:rsidR="00F152D9" w:rsidRPr="00411081" w:rsidRDefault="00411081" w:rsidP="003A1BD9">
            <w:pPr>
              <w:pStyle w:val="Tdec"/>
              <w:rPr>
                <w:rFonts w:ascii="Arial" w:hAnsi="Arial" w:cs="Arial"/>
                <w:sz w:val="19"/>
                <w:szCs w:val="19"/>
              </w:rPr>
            </w:pPr>
            <w:r w:rsidRPr="00411081">
              <w:rPr>
                <w:rFonts w:ascii="Arial" w:hAnsi="Arial" w:cs="Arial"/>
                <w:sz w:val="19"/>
                <w:szCs w:val="19"/>
              </w:rPr>
              <w:t>(5,200</w:t>
            </w:r>
            <w:r w:rsidR="00F152D9" w:rsidRPr="00411081">
              <w:rPr>
                <w:rFonts w:ascii="Arial" w:hAnsi="Arial" w:cs="Arial"/>
                <w:sz w:val="19"/>
                <w:szCs w:val="19"/>
              </w:rPr>
              <w:t>)</w:t>
            </w:r>
          </w:p>
        </w:tc>
      </w:tr>
      <w:tr w:rsidR="00F152D9" w:rsidRPr="00411081" w:rsidTr="00F152D9">
        <w:trPr>
          <w:cantSplit/>
        </w:trPr>
        <w:tc>
          <w:tcPr>
            <w:tcW w:w="3828" w:type="dxa"/>
          </w:tcPr>
          <w:p w:rsidR="00F152D9" w:rsidRPr="00411081" w:rsidRDefault="00F152D9" w:rsidP="003A1BD9">
            <w:pPr>
              <w:pStyle w:val="Tnormal"/>
              <w:rPr>
                <w:rFonts w:ascii="Arial" w:hAnsi="Arial" w:cs="Arial"/>
                <w:sz w:val="19"/>
                <w:szCs w:val="19"/>
              </w:rPr>
            </w:pP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F152D9" w:rsidP="003A1BD9">
            <w:pPr>
              <w:pStyle w:val="S9"/>
              <w:spacing w:line="240" w:lineRule="auto"/>
              <w:rPr>
                <w:rFonts w:ascii="Arial" w:hAnsi="Arial" w:cs="Arial"/>
                <w:sz w:val="19"/>
                <w:szCs w:val="19"/>
              </w:rPr>
            </w:pPr>
          </w:p>
        </w:tc>
        <w:tc>
          <w:tcPr>
            <w:tcW w:w="1134" w:type="dxa"/>
          </w:tcPr>
          <w:p w:rsidR="00F152D9" w:rsidRPr="00411081" w:rsidRDefault="00F152D9" w:rsidP="003A1BD9">
            <w:pPr>
              <w:pStyle w:val="S9"/>
              <w:spacing w:line="240" w:lineRule="auto"/>
              <w:rPr>
                <w:rFonts w:ascii="Arial" w:hAnsi="Arial" w:cs="Arial"/>
                <w:sz w:val="19"/>
                <w:szCs w:val="19"/>
              </w:rPr>
            </w:pPr>
          </w:p>
        </w:tc>
      </w:tr>
      <w:tr w:rsidR="00F152D9" w:rsidRPr="00411081" w:rsidTr="00F152D9">
        <w:trPr>
          <w:cantSplit/>
        </w:trPr>
        <w:tc>
          <w:tcPr>
            <w:tcW w:w="3828" w:type="dxa"/>
          </w:tcPr>
          <w:p w:rsidR="00F152D9" w:rsidRPr="00411081" w:rsidRDefault="00F152D9" w:rsidP="00340DB8">
            <w:pPr>
              <w:pStyle w:val="Tnormal"/>
              <w:rPr>
                <w:rFonts w:ascii="Arial" w:hAnsi="Arial" w:cs="Arial"/>
                <w:sz w:val="19"/>
                <w:szCs w:val="19"/>
              </w:rPr>
            </w:pPr>
            <w:r w:rsidRPr="00411081">
              <w:rPr>
                <w:rFonts w:ascii="Arial" w:hAnsi="Arial" w:cs="Arial"/>
                <w:b/>
                <w:sz w:val="19"/>
                <w:szCs w:val="19"/>
              </w:rPr>
              <w:t xml:space="preserve">NET </w:t>
            </w:r>
            <w:r w:rsidR="00340DB8" w:rsidRPr="00411081">
              <w:rPr>
                <w:rFonts w:ascii="Arial" w:hAnsi="Arial" w:cs="Arial"/>
                <w:b/>
                <w:sz w:val="19"/>
                <w:szCs w:val="19"/>
              </w:rPr>
              <w:t>LIABILITIES</w:t>
            </w: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4028DF" w:rsidP="003A1BD9">
            <w:pPr>
              <w:pStyle w:val="Tdec"/>
              <w:rPr>
                <w:rFonts w:ascii="Arial" w:hAnsi="Arial" w:cs="Arial"/>
                <w:sz w:val="19"/>
                <w:szCs w:val="19"/>
              </w:rPr>
            </w:pPr>
            <w:r w:rsidRPr="00D87A34">
              <w:rPr>
                <w:rFonts w:ascii="Arial" w:hAnsi="Arial" w:cs="Arial"/>
                <w:sz w:val="19"/>
                <w:szCs w:val="19"/>
              </w:rPr>
              <w:t>(</w:t>
            </w:r>
            <w:r w:rsidR="006A5A11" w:rsidRPr="00D87A34">
              <w:rPr>
                <w:rFonts w:ascii="Arial" w:hAnsi="Arial" w:cs="Arial"/>
                <w:sz w:val="19"/>
                <w:szCs w:val="19"/>
              </w:rPr>
              <w:t>5</w:t>
            </w:r>
            <w:r w:rsidRPr="00D87A34">
              <w:rPr>
                <w:rFonts w:ascii="Arial" w:hAnsi="Arial" w:cs="Arial"/>
                <w:sz w:val="19"/>
                <w:szCs w:val="19"/>
              </w:rPr>
              <w:t>,</w:t>
            </w:r>
            <w:r w:rsidR="00ED1840">
              <w:rPr>
                <w:rFonts w:ascii="Arial" w:hAnsi="Arial" w:cs="Arial"/>
                <w:sz w:val="19"/>
                <w:szCs w:val="19"/>
              </w:rPr>
              <w:t>374</w:t>
            </w:r>
            <w:r w:rsidRPr="00D87A34">
              <w:rPr>
                <w:rFonts w:ascii="Arial" w:hAnsi="Arial" w:cs="Arial"/>
                <w:sz w:val="19"/>
                <w:szCs w:val="19"/>
              </w:rPr>
              <w:t>)</w:t>
            </w:r>
          </w:p>
        </w:tc>
        <w:tc>
          <w:tcPr>
            <w:tcW w:w="1134" w:type="dxa"/>
          </w:tcPr>
          <w:p w:rsidR="00F152D9" w:rsidRPr="00411081" w:rsidRDefault="00411081" w:rsidP="003A1BD9">
            <w:pPr>
              <w:pStyle w:val="Tdec"/>
              <w:rPr>
                <w:rFonts w:ascii="Arial" w:hAnsi="Arial" w:cs="Arial"/>
                <w:sz w:val="19"/>
                <w:szCs w:val="19"/>
              </w:rPr>
            </w:pPr>
            <w:r w:rsidRPr="00411081">
              <w:rPr>
                <w:rFonts w:ascii="Arial" w:hAnsi="Arial" w:cs="Arial"/>
                <w:sz w:val="19"/>
                <w:szCs w:val="19"/>
              </w:rPr>
              <w:t>(5,176</w:t>
            </w:r>
            <w:r w:rsidR="00F152D9" w:rsidRPr="00411081">
              <w:rPr>
                <w:rFonts w:ascii="Arial" w:hAnsi="Arial" w:cs="Arial"/>
                <w:sz w:val="19"/>
                <w:szCs w:val="19"/>
              </w:rPr>
              <w:t>)</w:t>
            </w:r>
          </w:p>
        </w:tc>
      </w:tr>
      <w:tr w:rsidR="00F152D9" w:rsidRPr="00411081" w:rsidTr="00F152D9">
        <w:trPr>
          <w:cantSplit/>
        </w:trPr>
        <w:tc>
          <w:tcPr>
            <w:tcW w:w="3828" w:type="dxa"/>
          </w:tcPr>
          <w:p w:rsidR="00F152D9" w:rsidRPr="00411081" w:rsidRDefault="00F152D9" w:rsidP="003A1BD9">
            <w:pPr>
              <w:pStyle w:val="Tnormal"/>
              <w:rPr>
                <w:rFonts w:ascii="Arial" w:hAnsi="Arial" w:cs="Arial"/>
                <w:b/>
                <w:sz w:val="19"/>
                <w:szCs w:val="19"/>
              </w:rPr>
            </w:pP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F152D9" w:rsidP="003A1BD9">
            <w:pPr>
              <w:pStyle w:val="D9"/>
              <w:spacing w:line="240" w:lineRule="auto"/>
              <w:rPr>
                <w:rFonts w:ascii="Arial" w:hAnsi="Arial" w:cs="Arial"/>
                <w:sz w:val="19"/>
                <w:szCs w:val="19"/>
              </w:rPr>
            </w:pPr>
          </w:p>
        </w:tc>
        <w:tc>
          <w:tcPr>
            <w:tcW w:w="1134" w:type="dxa"/>
          </w:tcPr>
          <w:p w:rsidR="00F152D9" w:rsidRPr="00411081" w:rsidRDefault="00F152D9" w:rsidP="003A1BD9">
            <w:pPr>
              <w:pStyle w:val="D9"/>
              <w:spacing w:line="240" w:lineRule="auto"/>
              <w:rPr>
                <w:rFonts w:ascii="Arial" w:hAnsi="Arial" w:cs="Arial"/>
                <w:sz w:val="19"/>
                <w:szCs w:val="19"/>
              </w:rPr>
            </w:pPr>
          </w:p>
        </w:tc>
      </w:tr>
      <w:tr w:rsidR="00F152D9" w:rsidRPr="00411081" w:rsidTr="00F152D9">
        <w:trPr>
          <w:cantSplit/>
        </w:trPr>
        <w:tc>
          <w:tcPr>
            <w:tcW w:w="3828" w:type="dxa"/>
          </w:tcPr>
          <w:p w:rsidR="00F152D9" w:rsidRPr="00411081" w:rsidRDefault="00F152D9" w:rsidP="003A1BD9">
            <w:pPr>
              <w:pStyle w:val="Tnormal"/>
              <w:rPr>
                <w:rFonts w:ascii="Arial" w:hAnsi="Arial" w:cs="Arial"/>
                <w:b/>
                <w:sz w:val="19"/>
                <w:szCs w:val="19"/>
              </w:rPr>
            </w:pPr>
            <w:r w:rsidRPr="00411081">
              <w:rPr>
                <w:rFonts w:ascii="Arial" w:hAnsi="Arial" w:cs="Arial"/>
                <w:b/>
                <w:sz w:val="19"/>
                <w:szCs w:val="19"/>
              </w:rPr>
              <w:t>RESERVES</w:t>
            </w: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F152D9" w:rsidP="003A1BD9">
            <w:pPr>
              <w:pStyle w:val="Tdec"/>
              <w:rPr>
                <w:rFonts w:ascii="Arial" w:hAnsi="Arial" w:cs="Arial"/>
                <w:sz w:val="19"/>
                <w:szCs w:val="19"/>
              </w:rPr>
            </w:pPr>
          </w:p>
        </w:tc>
        <w:tc>
          <w:tcPr>
            <w:tcW w:w="1134" w:type="dxa"/>
          </w:tcPr>
          <w:p w:rsidR="00F152D9" w:rsidRPr="00411081" w:rsidRDefault="00F152D9" w:rsidP="003A1BD9">
            <w:pPr>
              <w:pStyle w:val="Tdec"/>
              <w:rPr>
                <w:rFonts w:ascii="Arial" w:hAnsi="Arial" w:cs="Arial"/>
                <w:sz w:val="19"/>
                <w:szCs w:val="19"/>
              </w:rPr>
            </w:pPr>
          </w:p>
        </w:tc>
      </w:tr>
      <w:tr w:rsidR="00F152D9" w:rsidRPr="00411081" w:rsidTr="00F152D9">
        <w:trPr>
          <w:cantSplit/>
        </w:trPr>
        <w:tc>
          <w:tcPr>
            <w:tcW w:w="3828" w:type="dxa"/>
          </w:tcPr>
          <w:p w:rsidR="00F152D9" w:rsidRPr="00411081" w:rsidRDefault="00F152D9" w:rsidP="003A1BD9">
            <w:pPr>
              <w:pStyle w:val="Tnormal"/>
              <w:rPr>
                <w:rFonts w:ascii="Arial" w:hAnsi="Arial" w:cs="Arial"/>
                <w:b/>
                <w:sz w:val="19"/>
                <w:szCs w:val="19"/>
              </w:rPr>
            </w:pPr>
            <w:r w:rsidRPr="00411081">
              <w:rPr>
                <w:rFonts w:ascii="Arial" w:hAnsi="Arial" w:cs="Arial"/>
                <w:sz w:val="19"/>
                <w:szCs w:val="19"/>
              </w:rPr>
              <w:t>Income and expenditure account excluding pension costs</w:t>
            </w: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F152D9" w:rsidP="003A1BD9">
            <w:pPr>
              <w:pStyle w:val="Tdec"/>
              <w:rPr>
                <w:rFonts w:ascii="Arial" w:hAnsi="Arial" w:cs="Arial"/>
                <w:sz w:val="19"/>
                <w:szCs w:val="19"/>
              </w:rPr>
            </w:pPr>
          </w:p>
          <w:p w:rsidR="004028DF" w:rsidRPr="00D87A34" w:rsidRDefault="00272B4B" w:rsidP="003A1BD9">
            <w:pPr>
              <w:pStyle w:val="Tdec"/>
              <w:rPr>
                <w:rFonts w:ascii="Arial" w:hAnsi="Arial" w:cs="Arial"/>
                <w:sz w:val="19"/>
                <w:szCs w:val="19"/>
              </w:rPr>
            </w:pPr>
            <w:r w:rsidRPr="00D87A34">
              <w:rPr>
                <w:rFonts w:ascii="Arial" w:hAnsi="Arial" w:cs="Arial"/>
                <w:sz w:val="19"/>
                <w:szCs w:val="19"/>
              </w:rPr>
              <w:t>1,</w:t>
            </w:r>
            <w:r w:rsidR="00ED1840">
              <w:rPr>
                <w:rFonts w:ascii="Arial" w:hAnsi="Arial" w:cs="Arial"/>
                <w:sz w:val="19"/>
                <w:szCs w:val="19"/>
              </w:rPr>
              <w:t>706</w:t>
            </w:r>
          </w:p>
        </w:tc>
        <w:tc>
          <w:tcPr>
            <w:tcW w:w="1134" w:type="dxa"/>
          </w:tcPr>
          <w:p w:rsidR="00F152D9" w:rsidRPr="00411081" w:rsidRDefault="00F152D9" w:rsidP="003A1BD9">
            <w:pPr>
              <w:pStyle w:val="Tdec"/>
              <w:rPr>
                <w:rFonts w:ascii="Arial" w:hAnsi="Arial" w:cs="Arial"/>
                <w:sz w:val="19"/>
                <w:szCs w:val="19"/>
              </w:rPr>
            </w:pPr>
          </w:p>
          <w:p w:rsidR="00F152D9" w:rsidRPr="00411081" w:rsidRDefault="00411081" w:rsidP="003A1BD9">
            <w:pPr>
              <w:pStyle w:val="Tdec"/>
              <w:rPr>
                <w:rFonts w:ascii="Arial" w:hAnsi="Arial" w:cs="Arial"/>
                <w:sz w:val="19"/>
                <w:szCs w:val="19"/>
              </w:rPr>
            </w:pPr>
            <w:r w:rsidRPr="00411081">
              <w:rPr>
                <w:rFonts w:ascii="Arial" w:hAnsi="Arial" w:cs="Arial"/>
                <w:sz w:val="19"/>
                <w:szCs w:val="19"/>
              </w:rPr>
              <w:t>24</w:t>
            </w:r>
          </w:p>
        </w:tc>
      </w:tr>
      <w:tr w:rsidR="00F152D9" w:rsidRPr="00411081" w:rsidTr="00F152D9">
        <w:trPr>
          <w:cantSplit/>
        </w:trPr>
        <w:tc>
          <w:tcPr>
            <w:tcW w:w="3828" w:type="dxa"/>
          </w:tcPr>
          <w:p w:rsidR="00F152D9" w:rsidRPr="00411081" w:rsidRDefault="00F152D9" w:rsidP="003A1BD9">
            <w:pPr>
              <w:pStyle w:val="Tnormal"/>
              <w:rPr>
                <w:rFonts w:ascii="Arial" w:hAnsi="Arial" w:cs="Arial"/>
                <w:sz w:val="19"/>
                <w:szCs w:val="19"/>
              </w:rPr>
            </w:pPr>
            <w:r w:rsidRPr="00411081">
              <w:rPr>
                <w:rFonts w:ascii="Arial" w:hAnsi="Arial" w:cs="Arial"/>
                <w:sz w:val="19"/>
                <w:szCs w:val="19"/>
              </w:rPr>
              <w:t>Net pension liability</w:t>
            </w:r>
          </w:p>
        </w:tc>
        <w:tc>
          <w:tcPr>
            <w:tcW w:w="1134" w:type="dxa"/>
          </w:tcPr>
          <w:p w:rsidR="00F152D9" w:rsidRPr="00EC6B60" w:rsidRDefault="00F152D9" w:rsidP="003A1BD9">
            <w:pPr>
              <w:pStyle w:val="Tnote"/>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4028DF" w:rsidP="003A1BD9">
            <w:pPr>
              <w:pStyle w:val="Tdec"/>
              <w:rPr>
                <w:rFonts w:ascii="Arial" w:hAnsi="Arial" w:cs="Arial"/>
                <w:sz w:val="19"/>
                <w:szCs w:val="19"/>
              </w:rPr>
            </w:pPr>
            <w:r w:rsidRPr="00D87A34">
              <w:rPr>
                <w:rFonts w:ascii="Arial" w:hAnsi="Arial" w:cs="Arial"/>
                <w:sz w:val="19"/>
                <w:szCs w:val="19"/>
              </w:rPr>
              <w:t>(</w:t>
            </w:r>
            <w:r w:rsidR="00272B4B" w:rsidRPr="00D87A34">
              <w:rPr>
                <w:rFonts w:ascii="Arial" w:hAnsi="Arial" w:cs="Arial"/>
                <w:sz w:val="19"/>
                <w:szCs w:val="19"/>
              </w:rPr>
              <w:t>7,080</w:t>
            </w:r>
            <w:r w:rsidRPr="00D87A34">
              <w:rPr>
                <w:rFonts w:ascii="Arial" w:hAnsi="Arial" w:cs="Arial"/>
                <w:sz w:val="19"/>
                <w:szCs w:val="19"/>
              </w:rPr>
              <w:t>)</w:t>
            </w:r>
          </w:p>
        </w:tc>
        <w:tc>
          <w:tcPr>
            <w:tcW w:w="1134" w:type="dxa"/>
          </w:tcPr>
          <w:p w:rsidR="00F152D9" w:rsidRPr="00411081" w:rsidRDefault="00411081" w:rsidP="003A1BD9">
            <w:pPr>
              <w:pStyle w:val="Tdec"/>
              <w:rPr>
                <w:rFonts w:ascii="Arial" w:hAnsi="Arial" w:cs="Arial"/>
                <w:sz w:val="19"/>
                <w:szCs w:val="19"/>
              </w:rPr>
            </w:pPr>
            <w:r w:rsidRPr="00411081">
              <w:rPr>
                <w:rFonts w:ascii="Arial" w:hAnsi="Arial" w:cs="Arial"/>
                <w:sz w:val="19"/>
                <w:szCs w:val="19"/>
              </w:rPr>
              <w:t>(5,200</w:t>
            </w:r>
            <w:r w:rsidR="00F152D9" w:rsidRPr="00411081">
              <w:rPr>
                <w:rFonts w:ascii="Arial" w:hAnsi="Arial" w:cs="Arial"/>
                <w:sz w:val="19"/>
                <w:szCs w:val="19"/>
              </w:rPr>
              <w:t>)</w:t>
            </w:r>
          </w:p>
        </w:tc>
      </w:tr>
      <w:tr w:rsidR="00F152D9" w:rsidRPr="00411081" w:rsidTr="00F152D9">
        <w:trPr>
          <w:cantSplit/>
        </w:trPr>
        <w:tc>
          <w:tcPr>
            <w:tcW w:w="3828" w:type="dxa"/>
          </w:tcPr>
          <w:p w:rsidR="00F152D9" w:rsidRPr="00411081" w:rsidRDefault="00F152D9" w:rsidP="003A1BD9">
            <w:pPr>
              <w:pStyle w:val="B0"/>
              <w:spacing w:line="240" w:lineRule="auto"/>
              <w:rPr>
                <w:rFonts w:ascii="Arial" w:hAnsi="Arial" w:cs="Arial"/>
                <w:sz w:val="19"/>
                <w:szCs w:val="19"/>
              </w:rPr>
            </w:pPr>
          </w:p>
        </w:tc>
        <w:tc>
          <w:tcPr>
            <w:tcW w:w="1134" w:type="dxa"/>
          </w:tcPr>
          <w:p w:rsidR="00F152D9" w:rsidRPr="00EC6B60" w:rsidRDefault="00F152D9" w:rsidP="003A1BD9">
            <w:pPr>
              <w:pStyle w:val="B0"/>
              <w:spacing w:line="240" w:lineRule="auto"/>
              <w:rPr>
                <w:rFonts w:ascii="Arial" w:hAnsi="Arial" w:cs="Arial"/>
                <w:sz w:val="19"/>
                <w:szCs w:val="19"/>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F152D9" w:rsidP="003A1BD9">
            <w:pPr>
              <w:pStyle w:val="S9"/>
              <w:spacing w:line="240" w:lineRule="auto"/>
              <w:rPr>
                <w:rFonts w:ascii="Arial" w:hAnsi="Arial" w:cs="Arial"/>
                <w:sz w:val="19"/>
                <w:szCs w:val="19"/>
              </w:rPr>
            </w:pPr>
          </w:p>
        </w:tc>
        <w:tc>
          <w:tcPr>
            <w:tcW w:w="1134" w:type="dxa"/>
          </w:tcPr>
          <w:p w:rsidR="00F152D9" w:rsidRPr="00411081" w:rsidRDefault="00F152D9" w:rsidP="003A1BD9">
            <w:pPr>
              <w:pStyle w:val="S9"/>
              <w:spacing w:line="240" w:lineRule="auto"/>
              <w:rPr>
                <w:rFonts w:ascii="Arial" w:hAnsi="Arial" w:cs="Arial"/>
                <w:sz w:val="19"/>
                <w:szCs w:val="19"/>
              </w:rPr>
            </w:pPr>
          </w:p>
        </w:tc>
      </w:tr>
      <w:tr w:rsidR="00F152D9" w:rsidRPr="00411081" w:rsidTr="00F152D9">
        <w:trPr>
          <w:cantSplit/>
        </w:trPr>
        <w:tc>
          <w:tcPr>
            <w:tcW w:w="3828" w:type="dxa"/>
          </w:tcPr>
          <w:p w:rsidR="00F152D9" w:rsidRPr="00411081" w:rsidRDefault="00F152D9" w:rsidP="003A1BD9">
            <w:pPr>
              <w:pStyle w:val="Tnormal"/>
              <w:rPr>
                <w:rFonts w:ascii="Arial" w:hAnsi="Arial" w:cs="Arial"/>
                <w:sz w:val="19"/>
                <w:szCs w:val="19"/>
              </w:rPr>
            </w:pPr>
            <w:r w:rsidRPr="00411081">
              <w:rPr>
                <w:rFonts w:ascii="Arial" w:hAnsi="Arial" w:cs="Arial"/>
                <w:b/>
                <w:sz w:val="19"/>
                <w:szCs w:val="19"/>
              </w:rPr>
              <w:t>TOTAL RESERVES</w:t>
            </w:r>
          </w:p>
        </w:tc>
        <w:tc>
          <w:tcPr>
            <w:tcW w:w="1134" w:type="dxa"/>
          </w:tcPr>
          <w:p w:rsidR="00F152D9" w:rsidRPr="00EC6B60" w:rsidRDefault="00F152D9" w:rsidP="003A1BD9">
            <w:pPr>
              <w:pStyle w:val="Tnote"/>
              <w:rPr>
                <w:rFonts w:ascii="Arial" w:hAnsi="Arial" w:cs="Arial"/>
                <w:sz w:val="19"/>
                <w:szCs w:val="19"/>
              </w:rPr>
            </w:pPr>
            <w:r w:rsidRPr="00EC6B60">
              <w:rPr>
                <w:rFonts w:ascii="Arial" w:hAnsi="Arial" w:cs="Arial"/>
                <w:sz w:val="19"/>
                <w:szCs w:val="19"/>
              </w:rPr>
              <w:t>1</w:t>
            </w:r>
            <w:r w:rsidR="007149FC" w:rsidRPr="00EC6B60">
              <w:rPr>
                <w:rFonts w:ascii="Arial" w:hAnsi="Arial" w:cs="Arial"/>
                <w:sz w:val="19"/>
                <w:szCs w:val="19"/>
              </w:rPr>
              <w:t>6</w:t>
            </w:r>
            <w:r w:rsidR="00C020BA">
              <w:rPr>
                <w:rFonts w:ascii="Arial" w:hAnsi="Arial" w:cs="Arial"/>
                <w:sz w:val="19"/>
                <w:szCs w:val="19"/>
              </w:rPr>
              <w:t>, 17</w:t>
            </w: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D87A34" w:rsidRDefault="004028DF" w:rsidP="003A1BD9">
            <w:pPr>
              <w:pStyle w:val="Tdec"/>
              <w:rPr>
                <w:rFonts w:ascii="Arial" w:hAnsi="Arial" w:cs="Arial"/>
                <w:sz w:val="19"/>
                <w:szCs w:val="19"/>
              </w:rPr>
            </w:pPr>
            <w:r w:rsidRPr="00D87A34">
              <w:rPr>
                <w:rFonts w:ascii="Arial" w:hAnsi="Arial" w:cs="Arial"/>
                <w:sz w:val="19"/>
                <w:szCs w:val="19"/>
              </w:rPr>
              <w:t>(</w:t>
            </w:r>
            <w:r w:rsidR="00ED1840">
              <w:rPr>
                <w:rFonts w:ascii="Arial" w:hAnsi="Arial" w:cs="Arial"/>
                <w:sz w:val="19"/>
                <w:szCs w:val="19"/>
              </w:rPr>
              <w:t>5,374</w:t>
            </w:r>
            <w:r w:rsidRPr="00D87A34">
              <w:rPr>
                <w:rFonts w:ascii="Arial" w:hAnsi="Arial" w:cs="Arial"/>
                <w:sz w:val="19"/>
                <w:szCs w:val="19"/>
              </w:rPr>
              <w:t>)</w:t>
            </w:r>
          </w:p>
        </w:tc>
        <w:tc>
          <w:tcPr>
            <w:tcW w:w="1134" w:type="dxa"/>
          </w:tcPr>
          <w:p w:rsidR="00F152D9" w:rsidRPr="00411081" w:rsidRDefault="00411081" w:rsidP="003A1BD9">
            <w:pPr>
              <w:pStyle w:val="Tdec"/>
              <w:rPr>
                <w:rFonts w:ascii="Arial" w:hAnsi="Arial" w:cs="Arial"/>
                <w:sz w:val="19"/>
                <w:szCs w:val="19"/>
              </w:rPr>
            </w:pPr>
            <w:r w:rsidRPr="00411081">
              <w:rPr>
                <w:rFonts w:ascii="Arial" w:hAnsi="Arial" w:cs="Arial"/>
                <w:sz w:val="19"/>
                <w:szCs w:val="19"/>
              </w:rPr>
              <w:t>(5,176</w:t>
            </w:r>
            <w:r w:rsidR="00F16068" w:rsidRPr="00411081">
              <w:rPr>
                <w:rFonts w:ascii="Arial" w:hAnsi="Arial" w:cs="Arial"/>
                <w:sz w:val="19"/>
                <w:szCs w:val="19"/>
              </w:rPr>
              <w:t>)</w:t>
            </w:r>
          </w:p>
        </w:tc>
      </w:tr>
      <w:tr w:rsidR="00F152D9" w:rsidRPr="00C46A29" w:rsidTr="00F152D9">
        <w:trPr>
          <w:cantSplit/>
        </w:trPr>
        <w:tc>
          <w:tcPr>
            <w:tcW w:w="3828" w:type="dxa"/>
          </w:tcPr>
          <w:p w:rsidR="00F152D9" w:rsidRPr="00C46A29" w:rsidRDefault="00F152D9" w:rsidP="003A1BD9">
            <w:pPr>
              <w:pStyle w:val="B0"/>
              <w:spacing w:line="240" w:lineRule="auto"/>
              <w:rPr>
                <w:rFonts w:ascii="Arial" w:hAnsi="Arial" w:cs="Arial"/>
                <w:sz w:val="19"/>
                <w:szCs w:val="19"/>
                <w:highlight w:val="yellow"/>
              </w:rPr>
            </w:pPr>
          </w:p>
        </w:tc>
        <w:tc>
          <w:tcPr>
            <w:tcW w:w="1134" w:type="dxa"/>
          </w:tcPr>
          <w:p w:rsidR="00F152D9" w:rsidRPr="00C46A29" w:rsidRDefault="00F152D9" w:rsidP="003A1BD9">
            <w:pPr>
              <w:pStyle w:val="B0"/>
              <w:spacing w:line="240" w:lineRule="auto"/>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Tdec"/>
              <w:rPr>
                <w:rFonts w:ascii="Arial" w:hAnsi="Arial" w:cs="Arial"/>
                <w:sz w:val="19"/>
                <w:szCs w:val="19"/>
                <w:highlight w:val="yellow"/>
              </w:rPr>
            </w:pPr>
          </w:p>
        </w:tc>
        <w:tc>
          <w:tcPr>
            <w:tcW w:w="1134" w:type="dxa"/>
          </w:tcPr>
          <w:p w:rsidR="00F152D9" w:rsidRPr="00C46A29" w:rsidRDefault="00F152D9" w:rsidP="003A1BD9">
            <w:pPr>
              <w:pStyle w:val="D9"/>
              <w:spacing w:line="240" w:lineRule="auto"/>
              <w:rPr>
                <w:rFonts w:ascii="Arial" w:hAnsi="Arial" w:cs="Arial"/>
                <w:sz w:val="19"/>
                <w:szCs w:val="19"/>
                <w:highlight w:val="yellow"/>
              </w:rPr>
            </w:pPr>
          </w:p>
        </w:tc>
        <w:tc>
          <w:tcPr>
            <w:tcW w:w="1134" w:type="dxa"/>
          </w:tcPr>
          <w:p w:rsidR="00F152D9" w:rsidRPr="00C46A29" w:rsidRDefault="00F152D9" w:rsidP="003A1BD9">
            <w:pPr>
              <w:pStyle w:val="D9"/>
              <w:spacing w:line="240" w:lineRule="auto"/>
              <w:rPr>
                <w:rFonts w:ascii="Arial" w:hAnsi="Arial" w:cs="Arial"/>
                <w:sz w:val="19"/>
                <w:szCs w:val="19"/>
                <w:highlight w:val="yellow"/>
              </w:rPr>
            </w:pPr>
          </w:p>
        </w:tc>
      </w:tr>
    </w:tbl>
    <w:p w:rsidR="002D4A9D" w:rsidRPr="00C46A29" w:rsidRDefault="002D4A9D" w:rsidP="003A1BD9">
      <w:pPr>
        <w:pStyle w:val="List"/>
        <w:rPr>
          <w:rFonts w:ascii="Arial" w:hAnsi="Arial" w:cs="Arial"/>
          <w:sz w:val="19"/>
          <w:szCs w:val="19"/>
          <w:highlight w:val="yellow"/>
        </w:rPr>
      </w:pPr>
    </w:p>
    <w:p w:rsidR="00EC355A" w:rsidRPr="00C46A29" w:rsidRDefault="00766BF7" w:rsidP="00550144">
      <w:pPr>
        <w:pStyle w:val="List"/>
        <w:spacing w:after="0"/>
        <w:ind w:left="0" w:firstLine="0"/>
        <w:jc w:val="left"/>
        <w:rPr>
          <w:rFonts w:ascii="Arial" w:hAnsi="Arial" w:cs="Arial"/>
          <w:sz w:val="19"/>
          <w:szCs w:val="19"/>
          <w:highlight w:val="yellow"/>
        </w:rPr>
      </w:pPr>
      <w:bookmarkStart w:id="2" w:name="db"/>
      <w:bookmarkEnd w:id="2"/>
      <w:r w:rsidRPr="003517C6">
        <w:rPr>
          <w:rFonts w:ascii="Arial" w:hAnsi="Arial" w:cs="Arial"/>
          <w:sz w:val="19"/>
          <w:szCs w:val="19"/>
        </w:rPr>
        <w:t xml:space="preserve">The financial statements of </w:t>
      </w:r>
      <w:r w:rsidR="00F152D9" w:rsidRPr="003517C6">
        <w:rPr>
          <w:rFonts w:ascii="Arial" w:hAnsi="Arial" w:cs="Arial"/>
          <w:sz w:val="19"/>
          <w:szCs w:val="19"/>
        </w:rPr>
        <w:t>Homes for Northumberland Limited</w:t>
      </w:r>
      <w:r w:rsidRPr="003517C6">
        <w:rPr>
          <w:rFonts w:ascii="Arial" w:hAnsi="Arial" w:cs="Arial"/>
          <w:sz w:val="19"/>
          <w:szCs w:val="19"/>
        </w:rPr>
        <w:t xml:space="preserve">, registered number </w:t>
      </w:r>
      <w:r w:rsidR="00F152D9" w:rsidRPr="003517C6">
        <w:rPr>
          <w:rFonts w:ascii="Arial" w:hAnsi="Arial" w:cs="Arial"/>
          <w:sz w:val="19"/>
          <w:szCs w:val="19"/>
        </w:rPr>
        <w:t>04375380</w:t>
      </w:r>
      <w:r w:rsidRPr="003517C6">
        <w:rPr>
          <w:rFonts w:ascii="Arial" w:hAnsi="Arial" w:cs="Arial"/>
          <w:sz w:val="19"/>
          <w:szCs w:val="19"/>
        </w:rPr>
        <w:t>, were approved by the board of directors and</w:t>
      </w:r>
      <w:r w:rsidR="0075081A" w:rsidRPr="003517C6">
        <w:rPr>
          <w:rFonts w:ascii="Arial" w:hAnsi="Arial" w:cs="Arial"/>
          <w:sz w:val="19"/>
          <w:szCs w:val="19"/>
        </w:rPr>
        <w:t xml:space="preserve"> authorised for issue on</w:t>
      </w:r>
      <w:r w:rsidR="00F00A3F" w:rsidRPr="003517C6">
        <w:rPr>
          <w:rFonts w:ascii="Arial" w:hAnsi="Arial" w:cs="Arial"/>
          <w:sz w:val="19"/>
          <w:szCs w:val="19"/>
        </w:rPr>
        <w:t xml:space="preserve"> </w:t>
      </w:r>
      <w:r w:rsidR="00C717C4">
        <w:rPr>
          <w:rFonts w:ascii="Arial" w:hAnsi="Arial" w:cs="Arial"/>
          <w:sz w:val="19"/>
          <w:szCs w:val="19"/>
        </w:rPr>
        <w:t>19 October 2015.</w:t>
      </w:r>
    </w:p>
    <w:p w:rsidR="00550144" w:rsidRPr="00C46A29" w:rsidRDefault="00550144" w:rsidP="00550144">
      <w:pPr>
        <w:pStyle w:val="List"/>
        <w:spacing w:after="0"/>
        <w:ind w:left="0" w:firstLine="0"/>
        <w:jc w:val="left"/>
        <w:rPr>
          <w:rFonts w:ascii="Arial" w:hAnsi="Arial" w:cs="Arial"/>
          <w:sz w:val="19"/>
          <w:szCs w:val="19"/>
          <w:highlight w:val="yellow"/>
        </w:rPr>
      </w:pPr>
    </w:p>
    <w:p w:rsidR="00EC355A" w:rsidRPr="003517C6" w:rsidRDefault="00EC355A" w:rsidP="00550144">
      <w:pPr>
        <w:pStyle w:val="List"/>
        <w:spacing w:after="0"/>
        <w:jc w:val="left"/>
        <w:rPr>
          <w:rFonts w:ascii="Arial" w:hAnsi="Arial" w:cs="Arial"/>
          <w:sz w:val="19"/>
          <w:szCs w:val="19"/>
        </w:rPr>
      </w:pPr>
      <w:r w:rsidRPr="003517C6">
        <w:rPr>
          <w:rFonts w:ascii="Arial" w:hAnsi="Arial" w:cs="Arial"/>
          <w:sz w:val="19"/>
          <w:szCs w:val="19"/>
        </w:rPr>
        <w:t>Signed on</w:t>
      </w:r>
      <w:r w:rsidR="00A72408" w:rsidRPr="003517C6">
        <w:rPr>
          <w:rFonts w:ascii="Arial" w:hAnsi="Arial" w:cs="Arial"/>
          <w:sz w:val="19"/>
          <w:szCs w:val="19"/>
        </w:rPr>
        <w:t xml:space="preserve"> their</w:t>
      </w:r>
      <w:r w:rsidRPr="003517C6">
        <w:rPr>
          <w:rFonts w:ascii="Arial" w:hAnsi="Arial" w:cs="Arial"/>
          <w:sz w:val="19"/>
          <w:szCs w:val="19"/>
        </w:rPr>
        <w:t xml:space="preserve"> behalf </w:t>
      </w:r>
      <w:r w:rsidR="00A72408" w:rsidRPr="003517C6">
        <w:rPr>
          <w:rFonts w:ascii="Arial" w:hAnsi="Arial" w:cs="Arial"/>
          <w:sz w:val="19"/>
          <w:szCs w:val="19"/>
        </w:rPr>
        <w:t>by</w:t>
      </w:r>
    </w:p>
    <w:p w:rsidR="00A72408" w:rsidRPr="003517C6" w:rsidRDefault="00A72408" w:rsidP="00550144">
      <w:pPr>
        <w:pStyle w:val="List"/>
        <w:spacing w:after="0"/>
        <w:jc w:val="left"/>
        <w:rPr>
          <w:rFonts w:ascii="Arial" w:hAnsi="Arial" w:cs="Arial"/>
          <w:sz w:val="19"/>
          <w:szCs w:val="19"/>
        </w:rPr>
      </w:pPr>
    </w:p>
    <w:p w:rsidR="00F152D9" w:rsidRPr="003517C6" w:rsidRDefault="00F152D9" w:rsidP="00550144">
      <w:pPr>
        <w:pStyle w:val="List"/>
        <w:spacing w:after="0"/>
        <w:jc w:val="left"/>
        <w:rPr>
          <w:rFonts w:ascii="Arial" w:hAnsi="Arial" w:cs="Arial"/>
          <w:sz w:val="19"/>
          <w:szCs w:val="19"/>
        </w:rPr>
      </w:pPr>
    </w:p>
    <w:p w:rsidR="00550144" w:rsidRPr="003517C6" w:rsidRDefault="00550144" w:rsidP="00550144">
      <w:pPr>
        <w:pStyle w:val="List"/>
        <w:spacing w:after="0"/>
        <w:jc w:val="left"/>
        <w:rPr>
          <w:rFonts w:ascii="Arial" w:hAnsi="Arial" w:cs="Arial"/>
          <w:sz w:val="19"/>
          <w:szCs w:val="19"/>
        </w:rPr>
      </w:pPr>
    </w:p>
    <w:p w:rsidR="003B27DC" w:rsidRPr="00ED441A" w:rsidRDefault="003B27DC" w:rsidP="003B27DC">
      <w:pPr>
        <w:autoSpaceDE w:val="0"/>
        <w:autoSpaceDN w:val="0"/>
        <w:adjustRightInd w:val="0"/>
        <w:spacing w:after="0"/>
        <w:jc w:val="left"/>
        <w:rPr>
          <w:rFonts w:ascii="Arial" w:eastAsia="Calibri" w:hAnsi="Arial" w:cs="Arial"/>
          <w:sz w:val="19"/>
          <w:szCs w:val="19"/>
        </w:rPr>
      </w:pPr>
      <w:r>
        <w:rPr>
          <w:rFonts w:ascii="Arial" w:eastAsia="Calibri" w:hAnsi="Arial" w:cs="Arial"/>
          <w:sz w:val="19"/>
          <w:szCs w:val="19"/>
        </w:rPr>
        <w:t>Kevin Lowry</w:t>
      </w:r>
    </w:p>
    <w:p w:rsidR="00A72408" w:rsidRPr="003517C6" w:rsidRDefault="003B27DC" w:rsidP="00550144">
      <w:pPr>
        <w:pStyle w:val="List"/>
        <w:spacing w:after="0"/>
        <w:jc w:val="left"/>
        <w:rPr>
          <w:rFonts w:ascii="Arial" w:hAnsi="Arial" w:cs="Arial"/>
          <w:sz w:val="19"/>
          <w:szCs w:val="19"/>
        </w:rPr>
      </w:pPr>
      <w:r>
        <w:rPr>
          <w:rFonts w:ascii="Arial" w:hAnsi="Arial" w:cs="Arial"/>
          <w:sz w:val="19"/>
          <w:szCs w:val="19"/>
        </w:rPr>
        <w:t>Managing Director</w:t>
      </w:r>
    </w:p>
    <w:p w:rsidR="00550144" w:rsidRPr="003517C6" w:rsidRDefault="00550144" w:rsidP="00550144">
      <w:pPr>
        <w:pStyle w:val="List"/>
        <w:spacing w:after="0"/>
        <w:jc w:val="left"/>
        <w:rPr>
          <w:rFonts w:ascii="Arial" w:hAnsi="Arial" w:cs="Arial"/>
          <w:sz w:val="19"/>
          <w:szCs w:val="19"/>
        </w:rPr>
      </w:pPr>
    </w:p>
    <w:p w:rsidR="00F152D9" w:rsidRPr="00070D17" w:rsidRDefault="00AE377C" w:rsidP="00550144">
      <w:pPr>
        <w:spacing w:after="0"/>
        <w:jc w:val="left"/>
        <w:rPr>
          <w:rFonts w:ascii="Arial" w:hAnsi="Arial" w:cs="Arial"/>
          <w:sz w:val="19"/>
          <w:szCs w:val="19"/>
        </w:rPr>
      </w:pPr>
      <w:r w:rsidRPr="003517C6">
        <w:rPr>
          <w:rFonts w:ascii="Arial" w:hAnsi="Arial" w:cs="Arial"/>
          <w:sz w:val="19"/>
          <w:szCs w:val="19"/>
        </w:rPr>
        <w:t>Date:</w:t>
      </w:r>
    </w:p>
    <w:p w:rsidR="00EF0B10" w:rsidRPr="00070D17" w:rsidRDefault="00EF0B10" w:rsidP="003A1BD9">
      <w:pPr>
        <w:jc w:val="left"/>
        <w:rPr>
          <w:rFonts w:ascii="Arial" w:hAnsi="Arial" w:cs="Arial"/>
          <w:sz w:val="19"/>
          <w:szCs w:val="19"/>
        </w:rPr>
        <w:sectPr w:rsidR="00EF0B10" w:rsidRPr="00070D17" w:rsidSect="00270CEB">
          <w:headerReference w:type="even" r:id="rId62"/>
          <w:headerReference w:type="default" r:id="rId63"/>
          <w:headerReference w:type="first" r:id="rId64"/>
          <w:pgSz w:w="11907" w:h="16834" w:code="9"/>
          <w:pgMar w:top="1985" w:right="1077" w:bottom="1134" w:left="851" w:header="567" w:footer="851" w:gutter="0"/>
          <w:cols w:space="720"/>
        </w:sectPr>
      </w:pPr>
    </w:p>
    <w:tbl>
      <w:tblPr>
        <w:tblW w:w="9498" w:type="dxa"/>
        <w:tblLayout w:type="fixed"/>
        <w:tblCellMar>
          <w:left w:w="28" w:type="dxa"/>
          <w:right w:w="28" w:type="dxa"/>
        </w:tblCellMar>
        <w:tblLook w:val="0000" w:firstRow="0" w:lastRow="0" w:firstColumn="0" w:lastColumn="0" w:noHBand="0" w:noVBand="0"/>
      </w:tblPr>
      <w:tblGrid>
        <w:gridCol w:w="3828"/>
        <w:gridCol w:w="1134"/>
        <w:gridCol w:w="1134"/>
        <w:gridCol w:w="1134"/>
        <w:gridCol w:w="1134"/>
        <w:gridCol w:w="1134"/>
      </w:tblGrid>
      <w:tr w:rsidR="00F152D9" w:rsidRPr="00070D17" w:rsidTr="00F152D9">
        <w:trPr>
          <w:cantSplit/>
        </w:trPr>
        <w:tc>
          <w:tcPr>
            <w:tcW w:w="3828" w:type="dxa"/>
          </w:tcPr>
          <w:p w:rsidR="00F152D9" w:rsidRPr="00070D17" w:rsidRDefault="00F152D9" w:rsidP="003A1BD9">
            <w:pPr>
              <w:pStyle w:val="Tnormal"/>
              <w:rPr>
                <w:rFonts w:ascii="Arial" w:hAnsi="Arial" w:cs="Arial"/>
                <w:sz w:val="19"/>
                <w:szCs w:val="19"/>
              </w:rPr>
            </w:pPr>
          </w:p>
        </w:tc>
        <w:tc>
          <w:tcPr>
            <w:tcW w:w="1134" w:type="dxa"/>
          </w:tcPr>
          <w:p w:rsidR="00F152D9" w:rsidRPr="00070D17" w:rsidRDefault="00F152D9" w:rsidP="003A1BD9">
            <w:pPr>
              <w:pStyle w:val="Thead"/>
              <w:rPr>
                <w:rFonts w:ascii="Arial" w:hAnsi="Arial" w:cs="Arial"/>
                <w:sz w:val="19"/>
                <w:szCs w:val="19"/>
              </w:rPr>
            </w:pPr>
          </w:p>
        </w:tc>
        <w:tc>
          <w:tcPr>
            <w:tcW w:w="1134" w:type="dxa"/>
          </w:tcPr>
          <w:p w:rsidR="00F152D9" w:rsidRPr="00070D17" w:rsidRDefault="00F152D9" w:rsidP="003A1BD9">
            <w:pPr>
              <w:pStyle w:val="Thead"/>
              <w:rPr>
                <w:rFonts w:ascii="Arial" w:hAnsi="Arial" w:cs="Arial"/>
                <w:sz w:val="19"/>
                <w:szCs w:val="19"/>
              </w:rPr>
            </w:pPr>
          </w:p>
        </w:tc>
        <w:tc>
          <w:tcPr>
            <w:tcW w:w="1134" w:type="dxa"/>
          </w:tcPr>
          <w:p w:rsidR="00F152D9" w:rsidRPr="00070D17" w:rsidRDefault="00F152D9" w:rsidP="003A1BD9">
            <w:pPr>
              <w:pStyle w:val="Thead"/>
              <w:rPr>
                <w:rFonts w:ascii="Arial" w:hAnsi="Arial" w:cs="Arial"/>
                <w:sz w:val="19"/>
                <w:szCs w:val="19"/>
              </w:rPr>
            </w:pPr>
          </w:p>
        </w:tc>
        <w:tc>
          <w:tcPr>
            <w:tcW w:w="1134" w:type="dxa"/>
          </w:tcPr>
          <w:p w:rsidR="00F152D9" w:rsidRPr="00BC2CD5" w:rsidRDefault="00411081" w:rsidP="003A1BD9">
            <w:pPr>
              <w:pStyle w:val="Thead"/>
              <w:rPr>
                <w:rFonts w:ascii="Arial" w:hAnsi="Arial" w:cs="Arial"/>
                <w:sz w:val="19"/>
                <w:szCs w:val="19"/>
              </w:rPr>
            </w:pPr>
            <w:r w:rsidRPr="00BC2CD5">
              <w:rPr>
                <w:rFonts w:ascii="Arial" w:hAnsi="Arial" w:cs="Arial"/>
                <w:sz w:val="19"/>
                <w:szCs w:val="19"/>
              </w:rPr>
              <w:t>2015</w:t>
            </w:r>
          </w:p>
          <w:p w:rsidR="00F152D9" w:rsidRPr="00BC2CD5" w:rsidRDefault="00F152D9" w:rsidP="003A1BD9">
            <w:pPr>
              <w:pStyle w:val="Thead"/>
              <w:rPr>
                <w:rFonts w:ascii="Arial" w:hAnsi="Arial" w:cs="Arial"/>
                <w:sz w:val="19"/>
                <w:szCs w:val="19"/>
              </w:rPr>
            </w:pPr>
            <w:r w:rsidRPr="00BC2CD5">
              <w:rPr>
                <w:rFonts w:ascii="Arial" w:hAnsi="Arial" w:cs="Arial"/>
                <w:sz w:val="19"/>
                <w:szCs w:val="19"/>
              </w:rPr>
              <w:t>£000</w:t>
            </w:r>
          </w:p>
        </w:tc>
        <w:tc>
          <w:tcPr>
            <w:tcW w:w="1134" w:type="dxa"/>
          </w:tcPr>
          <w:p w:rsidR="00F152D9" w:rsidRPr="00BC2CD5" w:rsidRDefault="00411081" w:rsidP="003A1BD9">
            <w:pPr>
              <w:pStyle w:val="Thead"/>
              <w:rPr>
                <w:rFonts w:ascii="Arial" w:hAnsi="Arial" w:cs="Arial"/>
                <w:sz w:val="19"/>
                <w:szCs w:val="19"/>
              </w:rPr>
            </w:pPr>
            <w:r w:rsidRPr="00BC2CD5">
              <w:rPr>
                <w:rFonts w:ascii="Arial" w:hAnsi="Arial" w:cs="Arial"/>
                <w:sz w:val="19"/>
                <w:szCs w:val="19"/>
              </w:rPr>
              <w:t>2014</w:t>
            </w:r>
          </w:p>
          <w:p w:rsidR="00F152D9" w:rsidRPr="00BC2CD5" w:rsidRDefault="00F152D9" w:rsidP="003A1BD9">
            <w:pPr>
              <w:pStyle w:val="Thead"/>
              <w:rPr>
                <w:rFonts w:ascii="Arial" w:hAnsi="Arial" w:cs="Arial"/>
                <w:sz w:val="19"/>
                <w:szCs w:val="19"/>
              </w:rPr>
            </w:pPr>
            <w:r w:rsidRPr="00BC2CD5">
              <w:rPr>
                <w:rFonts w:ascii="Arial" w:hAnsi="Arial" w:cs="Arial"/>
                <w:sz w:val="19"/>
                <w:szCs w:val="19"/>
              </w:rPr>
              <w:t>£000</w:t>
            </w:r>
          </w:p>
        </w:tc>
      </w:tr>
      <w:tr w:rsidR="00F152D9" w:rsidRPr="00070D17" w:rsidTr="00F152D9">
        <w:trPr>
          <w:cantSplit/>
        </w:trPr>
        <w:tc>
          <w:tcPr>
            <w:tcW w:w="3828" w:type="dxa"/>
          </w:tcPr>
          <w:p w:rsidR="00F152D9" w:rsidRPr="00070D17" w:rsidRDefault="00F152D9" w:rsidP="003A1BD9">
            <w:pPr>
              <w:pStyle w:val="Tnormal"/>
              <w:rPr>
                <w:rFonts w:ascii="Arial" w:hAnsi="Arial" w:cs="Arial"/>
                <w:sz w:val="19"/>
                <w:szCs w:val="19"/>
              </w:rPr>
            </w:pPr>
          </w:p>
        </w:tc>
        <w:tc>
          <w:tcPr>
            <w:tcW w:w="1134" w:type="dxa"/>
          </w:tcPr>
          <w:p w:rsidR="00F152D9" w:rsidRPr="00070D17" w:rsidRDefault="00F152D9" w:rsidP="003A1BD9">
            <w:pPr>
              <w:pStyle w:val="Tnote"/>
              <w:rPr>
                <w:rFonts w:ascii="Arial" w:hAnsi="Arial" w:cs="Arial"/>
                <w:sz w:val="19"/>
                <w:szCs w:val="19"/>
              </w:rPr>
            </w:pPr>
          </w:p>
        </w:tc>
        <w:tc>
          <w:tcPr>
            <w:tcW w:w="1134" w:type="dxa"/>
          </w:tcPr>
          <w:p w:rsidR="00F152D9" w:rsidRPr="00070D17" w:rsidRDefault="00F152D9" w:rsidP="003A1BD9">
            <w:pPr>
              <w:pStyle w:val="Tnote"/>
              <w:rPr>
                <w:rFonts w:ascii="Arial" w:hAnsi="Arial" w:cs="Arial"/>
                <w:sz w:val="19"/>
                <w:szCs w:val="19"/>
              </w:rPr>
            </w:pPr>
          </w:p>
        </w:tc>
        <w:tc>
          <w:tcPr>
            <w:tcW w:w="1134" w:type="dxa"/>
          </w:tcPr>
          <w:p w:rsidR="00F152D9" w:rsidRPr="00070D17" w:rsidRDefault="00F152D9" w:rsidP="003A1BD9">
            <w:pPr>
              <w:pStyle w:val="Tnote"/>
              <w:rPr>
                <w:rFonts w:ascii="Arial" w:hAnsi="Arial" w:cs="Arial"/>
                <w:sz w:val="19"/>
                <w:szCs w:val="19"/>
              </w:rPr>
            </w:pPr>
          </w:p>
        </w:tc>
        <w:tc>
          <w:tcPr>
            <w:tcW w:w="1134" w:type="dxa"/>
          </w:tcPr>
          <w:p w:rsidR="00681EE0" w:rsidRPr="00BC2CD5" w:rsidRDefault="00681EE0" w:rsidP="003A1BD9">
            <w:pPr>
              <w:pStyle w:val="Tdec"/>
              <w:rPr>
                <w:rFonts w:ascii="Arial" w:hAnsi="Arial" w:cs="Arial"/>
                <w:sz w:val="19"/>
                <w:szCs w:val="19"/>
              </w:rPr>
            </w:pPr>
          </w:p>
        </w:tc>
        <w:tc>
          <w:tcPr>
            <w:tcW w:w="1134" w:type="dxa"/>
          </w:tcPr>
          <w:p w:rsidR="00F152D9" w:rsidRPr="00BC2CD5" w:rsidRDefault="00F152D9" w:rsidP="003A1BD9">
            <w:pPr>
              <w:pStyle w:val="Tdec"/>
              <w:rPr>
                <w:rFonts w:ascii="Arial" w:hAnsi="Arial" w:cs="Arial"/>
                <w:sz w:val="19"/>
                <w:szCs w:val="19"/>
              </w:rPr>
            </w:pPr>
          </w:p>
        </w:tc>
      </w:tr>
      <w:tr w:rsidR="00F152D9" w:rsidRPr="00070D17" w:rsidTr="00F152D9">
        <w:trPr>
          <w:cantSplit/>
        </w:trPr>
        <w:tc>
          <w:tcPr>
            <w:tcW w:w="3828" w:type="dxa"/>
          </w:tcPr>
          <w:p w:rsidR="00F152D9" w:rsidRPr="00411081" w:rsidRDefault="00DC3C01" w:rsidP="003A1BD9">
            <w:pPr>
              <w:pStyle w:val="Tnormal"/>
              <w:rPr>
                <w:rFonts w:ascii="Arial" w:hAnsi="Arial" w:cs="Arial"/>
                <w:b/>
                <w:sz w:val="19"/>
                <w:szCs w:val="19"/>
              </w:rPr>
            </w:pPr>
            <w:r w:rsidRPr="00411081">
              <w:rPr>
                <w:rFonts w:ascii="Arial" w:hAnsi="Arial" w:cs="Arial"/>
                <w:b/>
                <w:sz w:val="19"/>
                <w:szCs w:val="19"/>
              </w:rPr>
              <w:t>Surplus</w:t>
            </w:r>
            <w:r w:rsidR="00F152D9" w:rsidRPr="00411081">
              <w:rPr>
                <w:rFonts w:ascii="Arial" w:hAnsi="Arial" w:cs="Arial"/>
                <w:b/>
                <w:sz w:val="19"/>
                <w:szCs w:val="19"/>
              </w:rPr>
              <w:t xml:space="preserve"> for the year</w:t>
            </w: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BC2CD5" w:rsidRDefault="00EE4B81" w:rsidP="003A1BD9">
            <w:pPr>
              <w:pStyle w:val="Tdec"/>
              <w:rPr>
                <w:rFonts w:ascii="Arial" w:hAnsi="Arial" w:cs="Arial"/>
                <w:sz w:val="19"/>
                <w:szCs w:val="19"/>
              </w:rPr>
            </w:pPr>
            <w:r w:rsidRPr="00BC2CD5">
              <w:rPr>
                <w:rFonts w:ascii="Arial" w:hAnsi="Arial" w:cs="Arial"/>
                <w:sz w:val="19"/>
                <w:szCs w:val="19"/>
              </w:rPr>
              <w:t>1,</w:t>
            </w:r>
            <w:r w:rsidR="00BC2CD5" w:rsidRPr="00BC2CD5">
              <w:rPr>
                <w:rFonts w:ascii="Arial" w:hAnsi="Arial" w:cs="Arial"/>
                <w:sz w:val="19"/>
                <w:szCs w:val="19"/>
              </w:rPr>
              <w:t>712</w:t>
            </w:r>
          </w:p>
        </w:tc>
        <w:tc>
          <w:tcPr>
            <w:tcW w:w="1134" w:type="dxa"/>
          </w:tcPr>
          <w:p w:rsidR="00F152D9" w:rsidRPr="00BC2CD5" w:rsidRDefault="00411081" w:rsidP="003A1BD9">
            <w:pPr>
              <w:pStyle w:val="Tdec"/>
              <w:rPr>
                <w:rFonts w:ascii="Arial" w:hAnsi="Arial" w:cs="Arial"/>
                <w:sz w:val="19"/>
                <w:szCs w:val="19"/>
              </w:rPr>
            </w:pPr>
            <w:r w:rsidRPr="00BC2CD5">
              <w:rPr>
                <w:rFonts w:ascii="Arial" w:hAnsi="Arial" w:cs="Arial"/>
                <w:sz w:val="19"/>
                <w:szCs w:val="19"/>
              </w:rPr>
              <w:t>483</w:t>
            </w:r>
          </w:p>
        </w:tc>
      </w:tr>
      <w:tr w:rsidR="00F152D9" w:rsidRPr="00070D17" w:rsidTr="00F152D9">
        <w:trPr>
          <w:cantSplit/>
        </w:trPr>
        <w:tc>
          <w:tcPr>
            <w:tcW w:w="3828" w:type="dxa"/>
          </w:tcPr>
          <w:p w:rsidR="00F152D9" w:rsidRPr="00411081" w:rsidRDefault="00F152D9" w:rsidP="003A1BD9">
            <w:pPr>
              <w:pStyle w:val="Tnormal"/>
              <w:rPr>
                <w:rFonts w:ascii="Arial" w:hAnsi="Arial" w:cs="Arial"/>
                <w:sz w:val="19"/>
                <w:szCs w:val="19"/>
              </w:rPr>
            </w:pP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BC2CD5" w:rsidRDefault="00F152D9" w:rsidP="003A1BD9">
            <w:pPr>
              <w:pStyle w:val="Tdec"/>
              <w:rPr>
                <w:rFonts w:ascii="Arial" w:hAnsi="Arial" w:cs="Arial"/>
                <w:sz w:val="19"/>
                <w:szCs w:val="19"/>
              </w:rPr>
            </w:pPr>
          </w:p>
        </w:tc>
        <w:tc>
          <w:tcPr>
            <w:tcW w:w="1134" w:type="dxa"/>
          </w:tcPr>
          <w:p w:rsidR="00F152D9" w:rsidRPr="00BC2CD5" w:rsidRDefault="00F152D9" w:rsidP="003A1BD9">
            <w:pPr>
              <w:pStyle w:val="Tdec"/>
              <w:rPr>
                <w:rFonts w:ascii="Arial" w:hAnsi="Arial" w:cs="Arial"/>
                <w:sz w:val="19"/>
                <w:szCs w:val="19"/>
              </w:rPr>
            </w:pPr>
          </w:p>
        </w:tc>
      </w:tr>
      <w:tr w:rsidR="00F152D9" w:rsidRPr="00070D17" w:rsidTr="00F152D9">
        <w:trPr>
          <w:cantSplit/>
        </w:trPr>
        <w:tc>
          <w:tcPr>
            <w:tcW w:w="3828" w:type="dxa"/>
          </w:tcPr>
          <w:p w:rsidR="00F152D9" w:rsidRPr="00411081" w:rsidRDefault="00F152D9" w:rsidP="009B1E7C">
            <w:pPr>
              <w:pStyle w:val="Tnormal"/>
              <w:rPr>
                <w:rFonts w:ascii="Arial" w:hAnsi="Arial" w:cs="Arial"/>
                <w:sz w:val="19"/>
                <w:szCs w:val="19"/>
              </w:rPr>
            </w:pPr>
            <w:r w:rsidRPr="00411081">
              <w:rPr>
                <w:rFonts w:ascii="Arial" w:hAnsi="Arial" w:cs="Arial"/>
                <w:sz w:val="19"/>
                <w:szCs w:val="19"/>
              </w:rPr>
              <w:t xml:space="preserve">Actuarial </w:t>
            </w:r>
            <w:r w:rsidR="00C020BA">
              <w:rPr>
                <w:rFonts w:ascii="Arial" w:hAnsi="Arial" w:cs="Arial"/>
                <w:sz w:val="19"/>
                <w:szCs w:val="19"/>
              </w:rPr>
              <w:t>(loss)/</w:t>
            </w:r>
            <w:r w:rsidR="009B1E7C" w:rsidRPr="00411081">
              <w:rPr>
                <w:rFonts w:ascii="Arial" w:hAnsi="Arial" w:cs="Arial"/>
                <w:sz w:val="19"/>
                <w:szCs w:val="19"/>
              </w:rPr>
              <w:t>gain</w:t>
            </w:r>
            <w:r w:rsidRPr="00411081">
              <w:rPr>
                <w:rFonts w:ascii="Arial" w:hAnsi="Arial" w:cs="Arial"/>
                <w:sz w:val="19"/>
                <w:szCs w:val="19"/>
              </w:rPr>
              <w:t xml:space="preserve"> recognised in the  pension scheme</w:t>
            </w:r>
          </w:p>
        </w:tc>
        <w:tc>
          <w:tcPr>
            <w:tcW w:w="1134" w:type="dxa"/>
          </w:tcPr>
          <w:p w:rsidR="00F152D9" w:rsidRPr="00C46A29" w:rsidRDefault="00F152D9" w:rsidP="003A1BD9">
            <w:pPr>
              <w:pStyle w:val="Tnote"/>
              <w:rPr>
                <w:rFonts w:ascii="Arial" w:hAnsi="Arial" w:cs="Arial"/>
                <w:sz w:val="19"/>
                <w:szCs w:val="19"/>
                <w:highlight w:val="yellow"/>
              </w:rPr>
            </w:pPr>
          </w:p>
          <w:p w:rsidR="00F152D9" w:rsidRPr="00C46A29" w:rsidRDefault="00F152D9" w:rsidP="003A1BD9">
            <w:pPr>
              <w:pStyle w:val="Tnote"/>
              <w:rPr>
                <w:rFonts w:ascii="Arial" w:hAnsi="Arial" w:cs="Arial"/>
                <w:sz w:val="19"/>
                <w:szCs w:val="19"/>
                <w:highlight w:val="yellow"/>
              </w:rPr>
            </w:pPr>
            <w:r w:rsidRPr="00EC6B60">
              <w:rPr>
                <w:rFonts w:ascii="Arial" w:hAnsi="Arial" w:cs="Arial"/>
                <w:sz w:val="19"/>
                <w:szCs w:val="19"/>
              </w:rPr>
              <w:t>1</w:t>
            </w:r>
            <w:r w:rsidR="007149FC" w:rsidRPr="00EC6B60">
              <w:rPr>
                <w:rFonts w:ascii="Arial" w:hAnsi="Arial" w:cs="Arial"/>
                <w:sz w:val="19"/>
                <w:szCs w:val="19"/>
              </w:rPr>
              <w:t>8</w:t>
            </w: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6A5A11" w:rsidRPr="00BC2CD5" w:rsidRDefault="006A5A11" w:rsidP="003A1BD9">
            <w:pPr>
              <w:pStyle w:val="Tdec"/>
              <w:rPr>
                <w:rFonts w:ascii="Arial" w:hAnsi="Arial" w:cs="Arial"/>
                <w:sz w:val="19"/>
                <w:szCs w:val="19"/>
              </w:rPr>
            </w:pPr>
          </w:p>
          <w:p w:rsidR="00F152D9" w:rsidRPr="00BC2CD5" w:rsidRDefault="00EE4B81" w:rsidP="003A1BD9">
            <w:pPr>
              <w:pStyle w:val="Tdec"/>
              <w:rPr>
                <w:rFonts w:ascii="Arial" w:hAnsi="Arial" w:cs="Arial"/>
                <w:sz w:val="19"/>
                <w:szCs w:val="19"/>
              </w:rPr>
            </w:pPr>
            <w:r w:rsidRPr="00BC2CD5">
              <w:rPr>
                <w:rFonts w:ascii="Arial" w:hAnsi="Arial" w:cs="Arial"/>
                <w:sz w:val="19"/>
                <w:szCs w:val="19"/>
              </w:rPr>
              <w:t>(1,910)</w:t>
            </w:r>
          </w:p>
        </w:tc>
        <w:tc>
          <w:tcPr>
            <w:tcW w:w="1134" w:type="dxa"/>
          </w:tcPr>
          <w:p w:rsidR="00F152D9" w:rsidRPr="00BC2CD5" w:rsidRDefault="00F152D9" w:rsidP="003A1BD9">
            <w:pPr>
              <w:pStyle w:val="Tdec"/>
              <w:rPr>
                <w:rFonts w:ascii="Arial" w:hAnsi="Arial" w:cs="Arial"/>
                <w:sz w:val="19"/>
                <w:szCs w:val="19"/>
              </w:rPr>
            </w:pPr>
          </w:p>
          <w:p w:rsidR="00F152D9" w:rsidRPr="00BC2CD5" w:rsidRDefault="00411081" w:rsidP="003A1BD9">
            <w:pPr>
              <w:pStyle w:val="Tdec"/>
              <w:rPr>
                <w:rFonts w:ascii="Arial" w:hAnsi="Arial" w:cs="Arial"/>
                <w:sz w:val="19"/>
                <w:szCs w:val="19"/>
              </w:rPr>
            </w:pPr>
            <w:r w:rsidRPr="00BC2CD5">
              <w:rPr>
                <w:rFonts w:ascii="Arial" w:hAnsi="Arial" w:cs="Arial"/>
                <w:sz w:val="19"/>
                <w:szCs w:val="19"/>
              </w:rPr>
              <w:t>3,270</w:t>
            </w:r>
          </w:p>
        </w:tc>
      </w:tr>
      <w:tr w:rsidR="00F152D9" w:rsidRPr="00070D17" w:rsidTr="00F152D9">
        <w:trPr>
          <w:cantSplit/>
        </w:trPr>
        <w:tc>
          <w:tcPr>
            <w:tcW w:w="3828" w:type="dxa"/>
          </w:tcPr>
          <w:p w:rsidR="00F152D9" w:rsidRPr="00411081" w:rsidRDefault="00F152D9" w:rsidP="003A1BD9">
            <w:pPr>
              <w:pStyle w:val="Tnormal"/>
              <w:rPr>
                <w:rFonts w:ascii="Arial" w:hAnsi="Arial" w:cs="Arial"/>
                <w:sz w:val="19"/>
                <w:szCs w:val="19"/>
              </w:rPr>
            </w:pP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BC2CD5" w:rsidRDefault="00F152D9" w:rsidP="003A1BD9">
            <w:pPr>
              <w:pStyle w:val="S9"/>
              <w:spacing w:line="240" w:lineRule="auto"/>
              <w:rPr>
                <w:rFonts w:ascii="Arial" w:hAnsi="Arial" w:cs="Arial"/>
                <w:sz w:val="19"/>
                <w:szCs w:val="19"/>
              </w:rPr>
            </w:pPr>
          </w:p>
        </w:tc>
        <w:tc>
          <w:tcPr>
            <w:tcW w:w="1134" w:type="dxa"/>
          </w:tcPr>
          <w:p w:rsidR="00F152D9" w:rsidRPr="00BC2CD5" w:rsidRDefault="00F152D9" w:rsidP="003A1BD9">
            <w:pPr>
              <w:pStyle w:val="S9"/>
              <w:spacing w:line="240" w:lineRule="auto"/>
              <w:rPr>
                <w:rFonts w:ascii="Arial" w:hAnsi="Arial" w:cs="Arial"/>
                <w:sz w:val="19"/>
                <w:szCs w:val="19"/>
              </w:rPr>
            </w:pPr>
          </w:p>
        </w:tc>
      </w:tr>
      <w:tr w:rsidR="00F152D9" w:rsidRPr="00070D17" w:rsidTr="00F152D9">
        <w:trPr>
          <w:cantSplit/>
        </w:trPr>
        <w:tc>
          <w:tcPr>
            <w:tcW w:w="3828" w:type="dxa"/>
          </w:tcPr>
          <w:p w:rsidR="00F152D9" w:rsidRPr="00411081" w:rsidRDefault="005723A5" w:rsidP="003A1BD9">
            <w:pPr>
              <w:pStyle w:val="Tnormal"/>
              <w:ind w:left="0" w:firstLine="0"/>
              <w:rPr>
                <w:rFonts w:ascii="Arial" w:hAnsi="Arial" w:cs="Arial"/>
                <w:b/>
                <w:sz w:val="19"/>
                <w:szCs w:val="19"/>
              </w:rPr>
            </w:pPr>
            <w:r w:rsidRPr="00411081">
              <w:rPr>
                <w:rFonts w:ascii="Arial" w:hAnsi="Arial" w:cs="Arial"/>
                <w:b/>
                <w:sz w:val="19"/>
                <w:szCs w:val="19"/>
              </w:rPr>
              <w:t xml:space="preserve">Total recognised </w:t>
            </w:r>
            <w:r w:rsidR="00C020BA">
              <w:rPr>
                <w:rFonts w:ascii="Arial" w:hAnsi="Arial" w:cs="Arial"/>
                <w:b/>
                <w:sz w:val="19"/>
                <w:szCs w:val="19"/>
              </w:rPr>
              <w:t>(loss)/</w:t>
            </w:r>
            <w:r w:rsidR="00DC3C01" w:rsidRPr="00411081">
              <w:rPr>
                <w:rFonts w:ascii="Arial" w:hAnsi="Arial" w:cs="Arial"/>
                <w:b/>
                <w:sz w:val="19"/>
                <w:szCs w:val="19"/>
              </w:rPr>
              <w:t>gain</w:t>
            </w:r>
            <w:r w:rsidRPr="00411081">
              <w:rPr>
                <w:rFonts w:ascii="Arial" w:hAnsi="Arial" w:cs="Arial"/>
                <w:b/>
                <w:sz w:val="19"/>
                <w:szCs w:val="19"/>
              </w:rPr>
              <w:t xml:space="preserve"> since the last annual report</w:t>
            </w: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BC2CD5" w:rsidRDefault="00F152D9" w:rsidP="003A1BD9">
            <w:pPr>
              <w:pStyle w:val="Tdec"/>
              <w:rPr>
                <w:rFonts w:ascii="Arial" w:hAnsi="Arial" w:cs="Arial"/>
                <w:sz w:val="19"/>
                <w:szCs w:val="19"/>
              </w:rPr>
            </w:pPr>
          </w:p>
          <w:p w:rsidR="00681EE0" w:rsidRPr="00BC2CD5" w:rsidRDefault="00BC2CD5" w:rsidP="003A1BD9">
            <w:pPr>
              <w:pStyle w:val="Tdec"/>
              <w:rPr>
                <w:rFonts w:ascii="Arial" w:hAnsi="Arial" w:cs="Arial"/>
                <w:sz w:val="19"/>
                <w:szCs w:val="19"/>
              </w:rPr>
            </w:pPr>
            <w:r>
              <w:rPr>
                <w:rFonts w:ascii="Arial" w:hAnsi="Arial" w:cs="Arial"/>
                <w:sz w:val="19"/>
                <w:szCs w:val="19"/>
              </w:rPr>
              <w:t>(</w:t>
            </w:r>
            <w:r w:rsidRPr="00BC2CD5">
              <w:rPr>
                <w:rFonts w:ascii="Arial" w:hAnsi="Arial" w:cs="Arial"/>
                <w:sz w:val="19"/>
                <w:szCs w:val="19"/>
              </w:rPr>
              <w:t>198</w:t>
            </w:r>
            <w:r>
              <w:rPr>
                <w:rFonts w:ascii="Arial" w:hAnsi="Arial" w:cs="Arial"/>
                <w:sz w:val="19"/>
                <w:szCs w:val="19"/>
              </w:rPr>
              <w:t>)</w:t>
            </w:r>
          </w:p>
        </w:tc>
        <w:tc>
          <w:tcPr>
            <w:tcW w:w="1134" w:type="dxa"/>
          </w:tcPr>
          <w:p w:rsidR="00F152D9" w:rsidRPr="00BC2CD5" w:rsidRDefault="00F152D9" w:rsidP="003A1BD9">
            <w:pPr>
              <w:pStyle w:val="Tdec"/>
              <w:rPr>
                <w:rFonts w:ascii="Arial" w:hAnsi="Arial" w:cs="Arial"/>
                <w:sz w:val="19"/>
                <w:szCs w:val="19"/>
              </w:rPr>
            </w:pPr>
          </w:p>
          <w:p w:rsidR="005723A5" w:rsidRPr="00BC2CD5" w:rsidRDefault="00411081" w:rsidP="003A1BD9">
            <w:pPr>
              <w:pStyle w:val="Tdec"/>
              <w:rPr>
                <w:rFonts w:ascii="Arial" w:hAnsi="Arial" w:cs="Arial"/>
                <w:sz w:val="19"/>
                <w:szCs w:val="19"/>
              </w:rPr>
            </w:pPr>
            <w:r w:rsidRPr="00BC2CD5">
              <w:rPr>
                <w:rFonts w:ascii="Arial" w:hAnsi="Arial" w:cs="Arial"/>
                <w:sz w:val="19"/>
                <w:szCs w:val="19"/>
              </w:rPr>
              <w:t>3,753</w:t>
            </w:r>
          </w:p>
        </w:tc>
      </w:tr>
      <w:tr w:rsidR="00F152D9" w:rsidRPr="00070D17" w:rsidTr="00F152D9">
        <w:trPr>
          <w:cantSplit/>
        </w:trPr>
        <w:tc>
          <w:tcPr>
            <w:tcW w:w="3828" w:type="dxa"/>
          </w:tcPr>
          <w:p w:rsidR="00F152D9" w:rsidRPr="00C46A29" w:rsidRDefault="00F152D9" w:rsidP="003A1BD9">
            <w:pPr>
              <w:pStyle w:val="Tnormal"/>
              <w:rPr>
                <w:rFonts w:ascii="Arial" w:hAnsi="Arial" w:cs="Arial"/>
                <w:sz w:val="19"/>
                <w:szCs w:val="19"/>
                <w:highlight w:val="yellow"/>
              </w:rPr>
            </w:pP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C46A29" w:rsidRDefault="00F152D9" w:rsidP="003A1BD9">
            <w:pPr>
              <w:pStyle w:val="Tnote"/>
              <w:rPr>
                <w:rFonts w:ascii="Arial" w:hAnsi="Arial" w:cs="Arial"/>
                <w:sz w:val="19"/>
                <w:szCs w:val="19"/>
                <w:highlight w:val="yellow"/>
              </w:rPr>
            </w:pPr>
          </w:p>
        </w:tc>
        <w:tc>
          <w:tcPr>
            <w:tcW w:w="1134" w:type="dxa"/>
          </w:tcPr>
          <w:p w:rsidR="00F152D9" w:rsidRPr="00C46A29" w:rsidRDefault="00F152D9" w:rsidP="003A1BD9">
            <w:pPr>
              <w:pStyle w:val="D9"/>
              <w:spacing w:line="240" w:lineRule="auto"/>
              <w:rPr>
                <w:rFonts w:ascii="Arial" w:hAnsi="Arial" w:cs="Arial"/>
                <w:sz w:val="19"/>
                <w:szCs w:val="19"/>
                <w:highlight w:val="yellow"/>
              </w:rPr>
            </w:pPr>
          </w:p>
        </w:tc>
        <w:tc>
          <w:tcPr>
            <w:tcW w:w="1134" w:type="dxa"/>
          </w:tcPr>
          <w:p w:rsidR="00F152D9" w:rsidRPr="00C46A29" w:rsidRDefault="00F152D9" w:rsidP="003A1BD9">
            <w:pPr>
              <w:pStyle w:val="D9"/>
              <w:spacing w:line="240" w:lineRule="auto"/>
              <w:rPr>
                <w:rFonts w:ascii="Arial" w:hAnsi="Arial" w:cs="Arial"/>
                <w:sz w:val="19"/>
                <w:szCs w:val="19"/>
                <w:highlight w:val="yellow"/>
              </w:rPr>
            </w:pPr>
          </w:p>
        </w:tc>
      </w:tr>
    </w:tbl>
    <w:p w:rsidR="00EF0B10" w:rsidRPr="00070D17" w:rsidRDefault="00EF0B10" w:rsidP="003A1BD9">
      <w:pPr>
        <w:jc w:val="left"/>
        <w:rPr>
          <w:rFonts w:ascii="Arial" w:hAnsi="Arial" w:cs="Arial"/>
          <w:sz w:val="19"/>
          <w:szCs w:val="19"/>
        </w:rPr>
        <w:sectPr w:rsidR="00EF0B10" w:rsidRPr="00070D17" w:rsidSect="00270CEB">
          <w:headerReference w:type="even" r:id="rId65"/>
          <w:headerReference w:type="default" r:id="rId66"/>
          <w:headerReference w:type="first" r:id="rId67"/>
          <w:pgSz w:w="11907" w:h="16834" w:code="9"/>
          <w:pgMar w:top="1985" w:right="1077" w:bottom="1134" w:left="851" w:header="567" w:footer="851" w:gutter="0"/>
          <w:cols w:space="720"/>
        </w:sectPr>
      </w:pPr>
    </w:p>
    <w:p w:rsidR="00E566B0" w:rsidRPr="005B78BF" w:rsidRDefault="00E566B0" w:rsidP="00E566B0">
      <w:pPr>
        <w:pStyle w:val="Header"/>
        <w:framePr w:hSpace="0" w:vSpace="0" w:wrap="auto" w:vAnchor="margin" w:hAnchor="text" w:xAlign="left" w:yAlign="inline"/>
        <w:rPr>
          <w:rFonts w:ascii="Arial" w:hAnsi="Arial" w:cs="Arial"/>
        </w:rPr>
      </w:pPr>
      <w:bookmarkStart w:id="3" w:name="p"/>
      <w:bookmarkStart w:id="4" w:name="pc"/>
      <w:bookmarkStart w:id="5" w:name="b"/>
      <w:bookmarkStart w:id="6" w:name="s"/>
      <w:bookmarkStart w:id="7" w:name="n"/>
      <w:bookmarkEnd w:id="3"/>
      <w:bookmarkEnd w:id="4"/>
      <w:bookmarkEnd w:id="5"/>
      <w:bookmarkEnd w:id="6"/>
      <w:bookmarkEnd w:id="7"/>
      <w:r>
        <w:rPr>
          <w:rFonts w:ascii="Arial" w:hAnsi="Arial" w:cs="Arial"/>
        </w:rPr>
        <w:lastRenderedPageBreak/>
        <w:t>Notes to t</w:t>
      </w:r>
      <w:r w:rsidRPr="005B78BF">
        <w:rPr>
          <w:rFonts w:ascii="Arial" w:hAnsi="Arial" w:cs="Arial"/>
        </w:rPr>
        <w:t xml:space="preserve">he </w:t>
      </w:r>
      <w:r w:rsidR="00C020BA">
        <w:rPr>
          <w:rFonts w:ascii="Arial" w:hAnsi="Arial" w:cs="Arial"/>
        </w:rPr>
        <w:t>Financial Statements</w:t>
      </w:r>
    </w:p>
    <w:p w:rsidR="00E566B0" w:rsidRDefault="00C020BA" w:rsidP="00E566B0">
      <w:pPr>
        <w:pStyle w:val="Header"/>
        <w:framePr w:hSpace="0" w:vSpace="0" w:wrap="auto" w:vAnchor="margin" w:hAnchor="text" w:xAlign="left" w:yAlign="inline"/>
        <w:rPr>
          <w:rFonts w:ascii="Arial" w:hAnsi="Arial" w:cs="Arial"/>
        </w:rPr>
      </w:pPr>
      <w:r>
        <w:rPr>
          <w:rFonts w:ascii="Arial" w:hAnsi="Arial" w:cs="Arial"/>
        </w:rPr>
        <w:t xml:space="preserve">For the </w:t>
      </w:r>
      <w:r w:rsidR="00E566B0" w:rsidRPr="005B78BF">
        <w:rPr>
          <w:rFonts w:ascii="Arial" w:hAnsi="Arial" w:cs="Arial"/>
        </w:rPr>
        <w:t xml:space="preserve">Year ended </w:t>
      </w:r>
      <w:r w:rsidR="00E566B0" w:rsidRPr="005B78BF">
        <w:rPr>
          <w:rFonts w:ascii="Arial" w:hAnsi="Arial" w:cs="Arial"/>
        </w:rPr>
        <w:fldChar w:fldCharType="begin"/>
      </w:r>
      <w:r w:rsidR="00E566B0" w:rsidRPr="005B78BF">
        <w:rPr>
          <w:rFonts w:ascii="Arial" w:hAnsi="Arial" w:cs="Arial"/>
        </w:rPr>
        <w:instrText>Date_Year \* charformat</w:instrText>
      </w:r>
      <w:r w:rsidR="00E566B0" w:rsidRPr="005B78BF">
        <w:rPr>
          <w:rFonts w:ascii="Arial" w:hAnsi="Arial" w:cs="Arial"/>
        </w:rPr>
        <w:fldChar w:fldCharType="separate"/>
      </w:r>
      <w:r w:rsidR="00E566B0" w:rsidRPr="005B78BF">
        <w:rPr>
          <w:rFonts w:ascii="Arial" w:hAnsi="Arial" w:cs="Arial"/>
        </w:rPr>
        <w:t>31 March 201</w:t>
      </w:r>
      <w:r w:rsidR="00E566B0" w:rsidRPr="005B78BF">
        <w:rPr>
          <w:rFonts w:ascii="Arial" w:hAnsi="Arial" w:cs="Arial"/>
        </w:rPr>
        <w:fldChar w:fldCharType="end"/>
      </w:r>
      <w:r w:rsidR="00C46A29">
        <w:rPr>
          <w:rFonts w:ascii="Arial" w:hAnsi="Arial" w:cs="Arial"/>
        </w:rPr>
        <w:t>5</w:t>
      </w:r>
    </w:p>
    <w:p w:rsidR="00E566B0" w:rsidRPr="005B78BF" w:rsidRDefault="00E566B0" w:rsidP="00E566B0">
      <w:pPr>
        <w:pStyle w:val="Header"/>
        <w:framePr w:hSpace="0" w:vSpace="0" w:wrap="auto" w:vAnchor="margin" w:hAnchor="text" w:xAlign="left" w:yAlign="inline"/>
        <w:rPr>
          <w:rFonts w:ascii="Arial" w:hAnsi="Arial" w:cs="Arial"/>
        </w:rPr>
      </w:pPr>
    </w:p>
    <w:p w:rsidR="00E566B0" w:rsidRPr="00762EF4" w:rsidRDefault="00762EF4" w:rsidP="00E566B0">
      <w:pPr>
        <w:pStyle w:val="Heading1"/>
        <w:numPr>
          <w:ilvl w:val="0"/>
          <w:numId w:val="0"/>
        </w:numPr>
        <w:spacing w:before="0" w:after="0"/>
        <w:rPr>
          <w:rFonts w:ascii="Arial" w:hAnsi="Arial" w:cs="Arial"/>
          <w:caps w:val="0"/>
          <w:sz w:val="24"/>
          <w:szCs w:val="19"/>
        </w:rPr>
      </w:pPr>
      <w:bookmarkStart w:id="8" w:name="_Toc390775314"/>
      <w:r w:rsidRPr="00762EF4">
        <w:rPr>
          <w:rFonts w:ascii="Arial" w:hAnsi="Arial" w:cs="Arial"/>
          <w:caps w:val="0"/>
          <w:sz w:val="24"/>
          <w:szCs w:val="19"/>
        </w:rPr>
        <w:t>1</w:t>
      </w:r>
      <w:r w:rsidRPr="00762EF4">
        <w:rPr>
          <w:rFonts w:ascii="Arial" w:hAnsi="Arial" w:cs="Arial"/>
          <w:caps w:val="0"/>
          <w:sz w:val="24"/>
          <w:szCs w:val="19"/>
        </w:rPr>
        <w:tab/>
      </w:r>
      <w:r w:rsidR="00E566B0" w:rsidRPr="00762EF4">
        <w:rPr>
          <w:rFonts w:ascii="Arial" w:hAnsi="Arial" w:cs="Arial"/>
          <w:caps w:val="0"/>
          <w:sz w:val="24"/>
          <w:szCs w:val="19"/>
        </w:rPr>
        <w:t>Accounting Policies</w:t>
      </w:r>
      <w:bookmarkEnd w:id="8"/>
    </w:p>
    <w:p w:rsidR="00E566B0" w:rsidRPr="00E566B0" w:rsidRDefault="00E566B0" w:rsidP="00E566B0">
      <w:pPr>
        <w:pStyle w:val="NormalIndent"/>
        <w:spacing w:after="0"/>
      </w:pPr>
    </w:p>
    <w:p w:rsidR="005723A5"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The following accounting policies have been applied consistently in dealing with items which are considered material in relation to the financial statements.</w:t>
      </w:r>
    </w:p>
    <w:p w:rsidR="00BE5A6A" w:rsidRPr="00C46A29" w:rsidRDefault="00BE5A6A" w:rsidP="00E566B0">
      <w:pPr>
        <w:autoSpaceDE w:val="0"/>
        <w:autoSpaceDN w:val="0"/>
        <w:adjustRightInd w:val="0"/>
        <w:spacing w:after="0"/>
        <w:jc w:val="left"/>
        <w:rPr>
          <w:rFonts w:ascii="Arial" w:hAnsi="Arial" w:cs="Arial"/>
          <w:bCs/>
          <w:sz w:val="19"/>
          <w:szCs w:val="19"/>
          <w:highlight w:val="yellow"/>
          <w:lang w:val="en-US"/>
        </w:rPr>
      </w:pPr>
    </w:p>
    <w:p w:rsidR="00E566B0" w:rsidRPr="005300DC" w:rsidRDefault="005723A5" w:rsidP="00E566B0">
      <w:pPr>
        <w:autoSpaceDE w:val="0"/>
        <w:autoSpaceDN w:val="0"/>
        <w:adjustRightInd w:val="0"/>
        <w:spacing w:after="0"/>
        <w:jc w:val="left"/>
        <w:rPr>
          <w:rFonts w:ascii="Arial" w:hAnsi="Arial" w:cs="Arial"/>
          <w:b/>
          <w:bCs/>
          <w:sz w:val="19"/>
          <w:szCs w:val="19"/>
          <w:lang w:val="en-US"/>
        </w:rPr>
      </w:pPr>
      <w:r w:rsidRPr="005300DC">
        <w:rPr>
          <w:rFonts w:ascii="Arial" w:hAnsi="Arial" w:cs="Arial"/>
          <w:b/>
          <w:bCs/>
          <w:sz w:val="19"/>
          <w:szCs w:val="19"/>
          <w:lang w:val="en-US"/>
        </w:rPr>
        <w:t xml:space="preserve">Basis </w:t>
      </w:r>
      <w:r w:rsidR="00E566B0" w:rsidRPr="005300DC">
        <w:rPr>
          <w:rFonts w:ascii="Arial" w:hAnsi="Arial" w:cs="Arial"/>
          <w:b/>
          <w:bCs/>
          <w:sz w:val="19"/>
          <w:szCs w:val="19"/>
          <w:lang w:val="en-US"/>
        </w:rPr>
        <w:t>of P</w:t>
      </w:r>
      <w:r w:rsidRPr="005300DC">
        <w:rPr>
          <w:rFonts w:ascii="Arial" w:hAnsi="Arial" w:cs="Arial"/>
          <w:b/>
          <w:bCs/>
          <w:sz w:val="19"/>
          <w:szCs w:val="19"/>
          <w:lang w:val="en-US"/>
        </w:rPr>
        <w:t>reparation</w:t>
      </w:r>
    </w:p>
    <w:p w:rsidR="005A7565" w:rsidRPr="005300DC" w:rsidRDefault="005A7565" w:rsidP="00E566B0">
      <w:pPr>
        <w:autoSpaceDE w:val="0"/>
        <w:autoSpaceDN w:val="0"/>
        <w:adjustRightInd w:val="0"/>
        <w:spacing w:after="0"/>
        <w:jc w:val="left"/>
        <w:rPr>
          <w:rFonts w:ascii="Arial" w:hAnsi="Arial" w:cs="Arial"/>
          <w:sz w:val="19"/>
          <w:szCs w:val="19"/>
          <w:lang w:val="en-US"/>
        </w:rPr>
      </w:pPr>
    </w:p>
    <w:p w:rsidR="005723A5" w:rsidRPr="005300DC" w:rsidRDefault="005723A5" w:rsidP="00E566B0">
      <w:pPr>
        <w:autoSpaceDE w:val="0"/>
        <w:autoSpaceDN w:val="0"/>
        <w:adjustRightInd w:val="0"/>
        <w:spacing w:after="0"/>
        <w:jc w:val="left"/>
        <w:rPr>
          <w:rFonts w:ascii="Arial" w:hAnsi="Arial" w:cs="Arial"/>
          <w:sz w:val="19"/>
          <w:szCs w:val="19"/>
          <w:lang w:val="en-US"/>
        </w:rPr>
      </w:pPr>
      <w:r w:rsidRPr="005300DC">
        <w:rPr>
          <w:rFonts w:ascii="Arial" w:hAnsi="Arial" w:cs="Arial"/>
          <w:sz w:val="19"/>
          <w:szCs w:val="19"/>
          <w:lang w:val="en-US"/>
        </w:rPr>
        <w:t xml:space="preserve">These financial statements have been prepared in accordance with applicable United Kingdom accounting standards and under the historical cost convention.  </w:t>
      </w:r>
    </w:p>
    <w:p w:rsidR="00E566B0" w:rsidRPr="005300DC" w:rsidRDefault="00E566B0" w:rsidP="00E566B0">
      <w:pPr>
        <w:autoSpaceDE w:val="0"/>
        <w:autoSpaceDN w:val="0"/>
        <w:adjustRightInd w:val="0"/>
        <w:spacing w:after="0"/>
        <w:jc w:val="left"/>
        <w:rPr>
          <w:rFonts w:ascii="Arial" w:hAnsi="Arial" w:cs="Arial"/>
          <w:sz w:val="19"/>
          <w:szCs w:val="19"/>
          <w:lang w:val="en-US"/>
        </w:rPr>
      </w:pPr>
    </w:p>
    <w:p w:rsidR="005723A5" w:rsidRPr="005300DC" w:rsidRDefault="00EE0A45" w:rsidP="00E566B0">
      <w:pPr>
        <w:autoSpaceDE w:val="0"/>
        <w:autoSpaceDN w:val="0"/>
        <w:adjustRightInd w:val="0"/>
        <w:spacing w:after="0"/>
        <w:jc w:val="left"/>
        <w:rPr>
          <w:rFonts w:ascii="Arial" w:hAnsi="Arial" w:cs="Arial"/>
          <w:sz w:val="19"/>
          <w:szCs w:val="19"/>
          <w:lang w:val="en-US"/>
        </w:rPr>
      </w:pPr>
      <w:r w:rsidRPr="005300DC">
        <w:rPr>
          <w:rFonts w:ascii="Arial" w:hAnsi="Arial" w:cs="Arial"/>
          <w:sz w:val="19"/>
          <w:szCs w:val="19"/>
          <w:lang w:val="en-US"/>
        </w:rPr>
        <w:t>T</w:t>
      </w:r>
      <w:r w:rsidR="005723A5" w:rsidRPr="005300DC">
        <w:rPr>
          <w:rFonts w:ascii="Arial" w:hAnsi="Arial" w:cs="Arial"/>
          <w:sz w:val="19"/>
          <w:szCs w:val="19"/>
          <w:lang w:val="en-US"/>
        </w:rPr>
        <w:t xml:space="preserve">he </w:t>
      </w:r>
      <w:r w:rsidR="00201B4C" w:rsidRPr="005300DC">
        <w:rPr>
          <w:rFonts w:ascii="Arial" w:hAnsi="Arial" w:cs="Arial"/>
          <w:sz w:val="19"/>
          <w:szCs w:val="19"/>
          <w:lang w:val="en-US"/>
        </w:rPr>
        <w:t>Company</w:t>
      </w:r>
      <w:r w:rsidR="005723A5" w:rsidRPr="005300DC">
        <w:rPr>
          <w:rFonts w:ascii="Arial" w:hAnsi="Arial" w:cs="Arial"/>
          <w:sz w:val="19"/>
          <w:szCs w:val="19"/>
          <w:lang w:val="en-US"/>
        </w:rPr>
        <w:t xml:space="preserve"> is a wholly owned subsidiary of Northumberland County Council</w:t>
      </w:r>
      <w:r w:rsidRPr="005300DC">
        <w:rPr>
          <w:rFonts w:ascii="Arial" w:hAnsi="Arial" w:cs="Arial"/>
          <w:sz w:val="19"/>
          <w:szCs w:val="19"/>
          <w:lang w:val="en-US"/>
        </w:rPr>
        <w:t>.</w:t>
      </w:r>
      <w:r w:rsidR="005723A5" w:rsidRPr="005300DC">
        <w:rPr>
          <w:rFonts w:ascii="Arial" w:hAnsi="Arial" w:cs="Arial"/>
          <w:sz w:val="19"/>
          <w:szCs w:val="19"/>
          <w:lang w:val="en-US"/>
        </w:rPr>
        <w:t xml:space="preserve"> The consolidated financial statements of Northumberland County Council, within which this </w:t>
      </w:r>
      <w:r w:rsidR="00201B4C" w:rsidRPr="005300DC">
        <w:rPr>
          <w:rFonts w:ascii="Arial" w:hAnsi="Arial" w:cs="Arial"/>
          <w:sz w:val="19"/>
          <w:szCs w:val="19"/>
          <w:lang w:val="en-US"/>
        </w:rPr>
        <w:t>Company</w:t>
      </w:r>
      <w:r w:rsidR="005723A5" w:rsidRPr="005300DC">
        <w:rPr>
          <w:rFonts w:ascii="Arial" w:hAnsi="Arial" w:cs="Arial"/>
          <w:sz w:val="19"/>
          <w:szCs w:val="19"/>
          <w:lang w:val="en-US"/>
        </w:rPr>
        <w:t xml:space="preserve"> is included, can be obtained from the address given in note </w:t>
      </w:r>
      <w:r w:rsidR="00D63993" w:rsidRPr="005300DC">
        <w:rPr>
          <w:rFonts w:ascii="Arial" w:hAnsi="Arial" w:cs="Arial"/>
          <w:sz w:val="19"/>
          <w:szCs w:val="19"/>
          <w:lang w:val="en-US"/>
        </w:rPr>
        <w:t>1</w:t>
      </w:r>
      <w:r w:rsidR="007149FC" w:rsidRPr="005300DC">
        <w:rPr>
          <w:rFonts w:ascii="Arial" w:hAnsi="Arial" w:cs="Arial"/>
          <w:sz w:val="19"/>
          <w:szCs w:val="19"/>
          <w:lang w:val="en-US"/>
        </w:rPr>
        <w:t>9</w:t>
      </w:r>
      <w:r w:rsidR="005723A5" w:rsidRPr="005300DC">
        <w:rPr>
          <w:rFonts w:ascii="Arial" w:hAnsi="Arial" w:cs="Arial"/>
          <w:sz w:val="19"/>
          <w:szCs w:val="19"/>
          <w:lang w:val="en-US"/>
        </w:rPr>
        <w:t>.</w:t>
      </w:r>
      <w:r w:rsidR="00E65F63">
        <w:rPr>
          <w:rFonts w:ascii="Arial" w:hAnsi="Arial" w:cs="Arial"/>
          <w:sz w:val="19"/>
          <w:szCs w:val="19"/>
          <w:lang w:val="en-US"/>
        </w:rPr>
        <w:t xml:space="preserve"> Building for Northumberland Limited’s financial statements have not been consolidated into Homes for Northumberland Limited’s financial statements on the grounds of materiality.</w:t>
      </w:r>
    </w:p>
    <w:p w:rsidR="00E566B0" w:rsidRPr="00C46A29" w:rsidRDefault="00E566B0" w:rsidP="00E566B0">
      <w:pPr>
        <w:autoSpaceDE w:val="0"/>
        <w:autoSpaceDN w:val="0"/>
        <w:adjustRightInd w:val="0"/>
        <w:spacing w:after="0"/>
        <w:jc w:val="left"/>
        <w:rPr>
          <w:rFonts w:ascii="Arial" w:hAnsi="Arial" w:cs="Arial"/>
          <w:sz w:val="19"/>
          <w:szCs w:val="19"/>
          <w:highlight w:val="yellow"/>
          <w:lang w:val="en-US"/>
        </w:rPr>
      </w:pPr>
    </w:p>
    <w:p w:rsidR="0094678F" w:rsidRPr="00F836C6" w:rsidRDefault="0094678F" w:rsidP="00E566B0">
      <w:pPr>
        <w:autoSpaceDE w:val="0"/>
        <w:autoSpaceDN w:val="0"/>
        <w:adjustRightInd w:val="0"/>
        <w:spacing w:after="0"/>
        <w:jc w:val="left"/>
        <w:rPr>
          <w:rFonts w:ascii="Arial" w:hAnsi="Arial" w:cs="Arial"/>
          <w:sz w:val="19"/>
          <w:szCs w:val="19"/>
          <w:lang w:val="en-US"/>
        </w:rPr>
      </w:pPr>
      <w:r w:rsidRPr="00F836C6">
        <w:rPr>
          <w:rFonts w:ascii="Arial" w:hAnsi="Arial" w:cs="Arial"/>
          <w:sz w:val="19"/>
          <w:szCs w:val="19"/>
          <w:lang w:val="en-US"/>
        </w:rPr>
        <w:t xml:space="preserve">The </w:t>
      </w:r>
      <w:r w:rsidR="00201B4C" w:rsidRPr="00F836C6">
        <w:rPr>
          <w:rFonts w:ascii="Arial" w:hAnsi="Arial" w:cs="Arial"/>
          <w:sz w:val="19"/>
          <w:szCs w:val="19"/>
          <w:lang w:val="en-US"/>
        </w:rPr>
        <w:t>Company</w:t>
      </w:r>
      <w:r w:rsidRPr="00F836C6">
        <w:rPr>
          <w:rFonts w:ascii="Arial" w:hAnsi="Arial" w:cs="Arial"/>
          <w:sz w:val="19"/>
          <w:szCs w:val="19"/>
          <w:lang w:val="en-US"/>
        </w:rPr>
        <w:t xml:space="preserve"> is itself a parent of 3 subsidiary undertakings (see note 2</w:t>
      </w:r>
      <w:r w:rsidR="007149FC" w:rsidRPr="00F836C6">
        <w:rPr>
          <w:rFonts w:ascii="Arial" w:hAnsi="Arial" w:cs="Arial"/>
          <w:sz w:val="19"/>
          <w:szCs w:val="19"/>
          <w:lang w:val="en-US"/>
        </w:rPr>
        <w:t>3</w:t>
      </w:r>
      <w:r w:rsidRPr="00F836C6">
        <w:rPr>
          <w:rFonts w:ascii="Arial" w:hAnsi="Arial" w:cs="Arial"/>
          <w:sz w:val="19"/>
          <w:szCs w:val="19"/>
          <w:lang w:val="en-US"/>
        </w:rPr>
        <w:t xml:space="preserve">) </w:t>
      </w:r>
      <w:r w:rsidR="00F836C6" w:rsidRPr="00F836C6">
        <w:rPr>
          <w:rFonts w:ascii="Arial" w:hAnsi="Arial" w:cs="Arial"/>
          <w:sz w:val="19"/>
          <w:szCs w:val="19"/>
          <w:lang w:val="en-US"/>
        </w:rPr>
        <w:t>.Two</w:t>
      </w:r>
      <w:r w:rsidRPr="00F836C6">
        <w:rPr>
          <w:rFonts w:ascii="Arial" w:hAnsi="Arial" w:cs="Arial"/>
          <w:sz w:val="19"/>
          <w:szCs w:val="19"/>
          <w:lang w:val="en-US"/>
        </w:rPr>
        <w:t xml:space="preserve"> of</w:t>
      </w:r>
      <w:r w:rsidR="00F836C6" w:rsidRPr="00F836C6">
        <w:rPr>
          <w:rFonts w:ascii="Arial" w:hAnsi="Arial" w:cs="Arial"/>
          <w:sz w:val="19"/>
          <w:szCs w:val="19"/>
          <w:lang w:val="en-US"/>
        </w:rPr>
        <w:t xml:space="preserve"> the</w:t>
      </w:r>
      <w:r w:rsidRPr="00F836C6">
        <w:rPr>
          <w:rFonts w:ascii="Arial" w:hAnsi="Arial" w:cs="Arial"/>
          <w:sz w:val="19"/>
          <w:szCs w:val="19"/>
          <w:lang w:val="en-US"/>
        </w:rPr>
        <w:t xml:space="preserve"> subsidiary undertakings </w:t>
      </w:r>
      <w:r w:rsidR="00F836C6" w:rsidRPr="00F836C6">
        <w:rPr>
          <w:rFonts w:ascii="Arial" w:hAnsi="Arial" w:cs="Arial"/>
          <w:sz w:val="19"/>
          <w:szCs w:val="19"/>
          <w:lang w:val="en-US"/>
        </w:rPr>
        <w:t>are in the process of being struck off at Companies House (Action for Northumberland Ltd and Caring for Northumberland Ltd). The other subsidiary (Building for Northumberland</w:t>
      </w:r>
      <w:r w:rsidR="00E65F63">
        <w:rPr>
          <w:rFonts w:ascii="Arial" w:hAnsi="Arial" w:cs="Arial"/>
          <w:sz w:val="19"/>
          <w:szCs w:val="19"/>
          <w:lang w:val="en-US"/>
        </w:rPr>
        <w:t xml:space="preserve"> Limited</w:t>
      </w:r>
      <w:r w:rsidR="00F836C6" w:rsidRPr="00F836C6">
        <w:rPr>
          <w:rFonts w:ascii="Arial" w:hAnsi="Arial" w:cs="Arial"/>
          <w:sz w:val="19"/>
          <w:szCs w:val="19"/>
          <w:lang w:val="en-US"/>
        </w:rPr>
        <w:t>) began trading during 2014-15, however the spend is not material and therefore</w:t>
      </w:r>
      <w:r w:rsidRPr="00F836C6">
        <w:rPr>
          <w:rFonts w:ascii="Arial" w:hAnsi="Arial" w:cs="Arial"/>
          <w:sz w:val="19"/>
          <w:szCs w:val="19"/>
          <w:lang w:val="en-US"/>
        </w:rPr>
        <w:t xml:space="preserve"> the Directors have elected not to prepare group</w:t>
      </w:r>
      <w:r w:rsidR="00E65F63">
        <w:rPr>
          <w:rFonts w:ascii="Arial" w:hAnsi="Arial" w:cs="Arial"/>
          <w:sz w:val="19"/>
          <w:szCs w:val="19"/>
          <w:lang w:val="en-US"/>
        </w:rPr>
        <w:t xml:space="preserve"> financial statements</w:t>
      </w:r>
      <w:r w:rsidRPr="00F836C6">
        <w:rPr>
          <w:rFonts w:ascii="Arial" w:hAnsi="Arial" w:cs="Arial"/>
          <w:sz w:val="19"/>
          <w:szCs w:val="19"/>
          <w:lang w:val="en-US"/>
        </w:rPr>
        <w:t xml:space="preserve"> in respect of these undertakings in accordance with s405 of</w:t>
      </w:r>
      <w:r w:rsidR="00EE0A45" w:rsidRPr="00F836C6">
        <w:rPr>
          <w:rFonts w:ascii="Arial" w:hAnsi="Arial" w:cs="Arial"/>
          <w:sz w:val="19"/>
          <w:szCs w:val="19"/>
          <w:lang w:val="en-US"/>
        </w:rPr>
        <w:t xml:space="preserve"> the </w:t>
      </w:r>
      <w:r w:rsidRPr="00F836C6">
        <w:rPr>
          <w:rFonts w:ascii="Arial" w:hAnsi="Arial" w:cs="Arial"/>
          <w:sz w:val="19"/>
          <w:szCs w:val="19"/>
          <w:lang w:val="en-US"/>
        </w:rPr>
        <w:t>Companies Act 2006</w:t>
      </w:r>
      <w:r w:rsidR="00EE0A45" w:rsidRPr="00F836C6">
        <w:rPr>
          <w:rFonts w:ascii="Arial" w:hAnsi="Arial" w:cs="Arial"/>
          <w:sz w:val="19"/>
          <w:szCs w:val="19"/>
          <w:lang w:val="en-US"/>
        </w:rPr>
        <w:t xml:space="preserve">. </w:t>
      </w:r>
      <w:r w:rsidRPr="00F836C6">
        <w:rPr>
          <w:rFonts w:ascii="Arial" w:hAnsi="Arial" w:cs="Arial"/>
          <w:sz w:val="19"/>
          <w:szCs w:val="19"/>
          <w:lang w:val="en-US"/>
        </w:rPr>
        <w:t xml:space="preserve"> In reaching this decision the directors have considered the subsidiary undertakings both individually and in aggregate. </w:t>
      </w:r>
    </w:p>
    <w:p w:rsidR="00E566B0" w:rsidRPr="00C46A29" w:rsidRDefault="00E566B0" w:rsidP="00E566B0">
      <w:pPr>
        <w:autoSpaceDE w:val="0"/>
        <w:autoSpaceDN w:val="0"/>
        <w:adjustRightInd w:val="0"/>
        <w:spacing w:after="0"/>
        <w:jc w:val="left"/>
        <w:rPr>
          <w:rFonts w:ascii="Arial" w:hAnsi="Arial" w:cs="Arial"/>
          <w:sz w:val="19"/>
          <w:szCs w:val="19"/>
          <w:highlight w:val="yellow"/>
          <w:lang w:val="en-US"/>
        </w:rPr>
      </w:pPr>
    </w:p>
    <w:p w:rsidR="005723A5" w:rsidRPr="005300DC" w:rsidRDefault="005723A5" w:rsidP="00E566B0">
      <w:pPr>
        <w:autoSpaceDE w:val="0"/>
        <w:autoSpaceDN w:val="0"/>
        <w:adjustRightInd w:val="0"/>
        <w:spacing w:after="0"/>
        <w:jc w:val="left"/>
        <w:rPr>
          <w:rFonts w:ascii="Arial" w:hAnsi="Arial" w:cs="Arial"/>
          <w:b/>
          <w:sz w:val="19"/>
          <w:szCs w:val="19"/>
          <w:lang w:val="en-US"/>
        </w:rPr>
      </w:pPr>
      <w:r w:rsidRPr="005300DC">
        <w:rPr>
          <w:rFonts w:ascii="Arial" w:hAnsi="Arial" w:cs="Arial"/>
          <w:b/>
          <w:sz w:val="19"/>
          <w:szCs w:val="19"/>
          <w:lang w:val="en-US"/>
        </w:rPr>
        <w:t>Going Concern</w:t>
      </w:r>
    </w:p>
    <w:p w:rsidR="00E566B0" w:rsidRPr="005300DC" w:rsidRDefault="00E566B0" w:rsidP="00E566B0">
      <w:pPr>
        <w:autoSpaceDE w:val="0"/>
        <w:autoSpaceDN w:val="0"/>
        <w:adjustRightInd w:val="0"/>
        <w:spacing w:after="0"/>
        <w:jc w:val="left"/>
        <w:rPr>
          <w:rFonts w:ascii="Arial" w:hAnsi="Arial" w:cs="Arial"/>
          <w:b/>
          <w:sz w:val="19"/>
          <w:szCs w:val="19"/>
          <w:lang w:val="en-US"/>
        </w:rPr>
      </w:pPr>
    </w:p>
    <w:p w:rsidR="005723A5" w:rsidRPr="005300DC" w:rsidRDefault="00E65F63" w:rsidP="00E566B0">
      <w:pPr>
        <w:autoSpaceDE w:val="0"/>
        <w:autoSpaceDN w:val="0"/>
        <w:adjustRightInd w:val="0"/>
        <w:spacing w:after="0"/>
        <w:jc w:val="left"/>
        <w:rPr>
          <w:rFonts w:ascii="Arial" w:hAnsi="Arial" w:cs="Arial"/>
          <w:b/>
          <w:bCs/>
          <w:sz w:val="19"/>
          <w:szCs w:val="19"/>
          <w:lang w:val="en-US"/>
        </w:rPr>
      </w:pPr>
      <w:r>
        <w:rPr>
          <w:rFonts w:ascii="Arial" w:hAnsi="Arial" w:cs="Arial"/>
          <w:bCs/>
          <w:sz w:val="19"/>
          <w:szCs w:val="19"/>
          <w:lang w:val="en-US"/>
        </w:rPr>
        <w:t>The financial statements</w:t>
      </w:r>
      <w:r w:rsidR="005723A5" w:rsidRPr="005300DC">
        <w:rPr>
          <w:rFonts w:ascii="Arial" w:hAnsi="Arial" w:cs="Arial"/>
          <w:bCs/>
          <w:sz w:val="19"/>
          <w:szCs w:val="19"/>
          <w:lang w:val="en-US"/>
        </w:rPr>
        <w:t xml:space="preserve"> have been prepared on a going concern basis which the Directors believe is appropriate based on their understanding of the future trading and cashflows of the </w:t>
      </w:r>
      <w:r w:rsidR="00201B4C" w:rsidRPr="005300DC">
        <w:rPr>
          <w:rFonts w:ascii="Arial" w:hAnsi="Arial" w:cs="Arial"/>
          <w:bCs/>
          <w:sz w:val="19"/>
          <w:szCs w:val="19"/>
          <w:lang w:val="en-US"/>
        </w:rPr>
        <w:t>Company</w:t>
      </w:r>
      <w:r w:rsidR="005723A5" w:rsidRPr="005300DC">
        <w:rPr>
          <w:rFonts w:ascii="Arial" w:hAnsi="Arial" w:cs="Arial"/>
          <w:bCs/>
          <w:sz w:val="19"/>
          <w:szCs w:val="19"/>
          <w:lang w:val="en-US"/>
        </w:rPr>
        <w:t xml:space="preserve">.  </w:t>
      </w:r>
      <w:r w:rsidR="00760371" w:rsidRPr="005300DC">
        <w:rPr>
          <w:rFonts w:ascii="Arial" w:hAnsi="Arial" w:cs="Arial"/>
          <w:bCs/>
          <w:sz w:val="19"/>
          <w:szCs w:val="19"/>
          <w:lang w:val="en-US"/>
        </w:rPr>
        <w:t xml:space="preserve"> </w:t>
      </w:r>
    </w:p>
    <w:p w:rsidR="00E566B0" w:rsidRPr="005300DC" w:rsidRDefault="00E566B0" w:rsidP="00E566B0">
      <w:pPr>
        <w:autoSpaceDE w:val="0"/>
        <w:autoSpaceDN w:val="0"/>
        <w:adjustRightInd w:val="0"/>
        <w:spacing w:after="0"/>
        <w:jc w:val="left"/>
        <w:rPr>
          <w:rFonts w:ascii="Arial" w:hAnsi="Arial" w:cs="Arial"/>
          <w:b/>
          <w:bCs/>
          <w:sz w:val="19"/>
          <w:szCs w:val="19"/>
          <w:lang w:val="en-US"/>
        </w:rPr>
      </w:pPr>
    </w:p>
    <w:p w:rsidR="005723A5"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 xml:space="preserve">The </w:t>
      </w:r>
      <w:r w:rsidR="00201B4C" w:rsidRPr="005300DC">
        <w:rPr>
          <w:rFonts w:ascii="Arial" w:hAnsi="Arial" w:cs="Arial"/>
          <w:bCs/>
          <w:sz w:val="19"/>
          <w:szCs w:val="19"/>
          <w:lang w:val="en-US"/>
        </w:rPr>
        <w:t>Company</w:t>
      </w:r>
      <w:r w:rsidRPr="005300DC">
        <w:rPr>
          <w:rFonts w:ascii="Arial" w:hAnsi="Arial" w:cs="Arial"/>
          <w:bCs/>
          <w:sz w:val="19"/>
          <w:szCs w:val="19"/>
          <w:lang w:val="en-US"/>
        </w:rPr>
        <w:t xml:space="preserve">’s business activities together with the factors likely to affect its future development, performance and position are set out in the </w:t>
      </w:r>
      <w:r w:rsidR="00EE0A45" w:rsidRPr="005300DC">
        <w:rPr>
          <w:rFonts w:ascii="Arial" w:hAnsi="Arial" w:cs="Arial"/>
          <w:bCs/>
          <w:sz w:val="19"/>
          <w:szCs w:val="19"/>
          <w:lang w:val="en-US"/>
        </w:rPr>
        <w:t>strategic</w:t>
      </w:r>
      <w:r w:rsidRPr="005300DC">
        <w:rPr>
          <w:rFonts w:ascii="Arial" w:hAnsi="Arial" w:cs="Arial"/>
          <w:bCs/>
          <w:sz w:val="19"/>
          <w:szCs w:val="19"/>
          <w:lang w:val="en-US"/>
        </w:rPr>
        <w:t xml:space="preserve"> report.</w:t>
      </w:r>
    </w:p>
    <w:p w:rsidR="00E566B0" w:rsidRPr="005300DC" w:rsidRDefault="00E566B0" w:rsidP="00E566B0">
      <w:pPr>
        <w:autoSpaceDE w:val="0"/>
        <w:autoSpaceDN w:val="0"/>
        <w:adjustRightInd w:val="0"/>
        <w:spacing w:after="0"/>
        <w:jc w:val="left"/>
        <w:rPr>
          <w:rFonts w:ascii="Arial" w:hAnsi="Arial" w:cs="Arial"/>
          <w:bCs/>
          <w:sz w:val="19"/>
          <w:szCs w:val="19"/>
          <w:lang w:val="en-US"/>
        </w:rPr>
      </w:pPr>
    </w:p>
    <w:p w:rsidR="005723A5" w:rsidRPr="005300DC" w:rsidRDefault="00215CBC" w:rsidP="00E566B0">
      <w:pPr>
        <w:autoSpaceDE w:val="0"/>
        <w:autoSpaceDN w:val="0"/>
        <w:adjustRightInd w:val="0"/>
        <w:spacing w:after="0"/>
        <w:jc w:val="left"/>
        <w:rPr>
          <w:rFonts w:ascii="Arial" w:hAnsi="Arial" w:cs="Arial"/>
          <w:bCs/>
          <w:sz w:val="19"/>
          <w:szCs w:val="19"/>
          <w:lang w:val="en-US"/>
        </w:rPr>
      </w:pPr>
      <w:r w:rsidRPr="00215CBC">
        <w:rPr>
          <w:rFonts w:ascii="Arial" w:hAnsi="Arial" w:cs="Arial"/>
          <w:bCs/>
          <w:sz w:val="19"/>
          <w:szCs w:val="19"/>
          <w:lang w:val="en-US"/>
        </w:rPr>
        <w:t>The Company’s principal turnover is related to the management fee paid by Northumberland County Council. T</w:t>
      </w:r>
      <w:r>
        <w:rPr>
          <w:rFonts w:ascii="Arial" w:hAnsi="Arial" w:cs="Arial"/>
          <w:bCs/>
          <w:sz w:val="19"/>
          <w:szCs w:val="19"/>
          <w:lang w:val="en-US"/>
        </w:rPr>
        <w:t>he contract between Northumberland County Council and the Company was cancelled by mutual agreement on 16 June 2015 and this takes effect on 31 August 2015. From September 2015 onwards, Homes for Northumberland Limited will continue as a Company limited by guarantee. However, its sole activity will be to act as landlord for its portfolio of properties in Allendale.</w:t>
      </w:r>
    </w:p>
    <w:p w:rsidR="00E566B0" w:rsidRPr="005300DC" w:rsidRDefault="00E566B0" w:rsidP="00E566B0">
      <w:pPr>
        <w:autoSpaceDE w:val="0"/>
        <w:autoSpaceDN w:val="0"/>
        <w:adjustRightInd w:val="0"/>
        <w:spacing w:after="0"/>
        <w:jc w:val="left"/>
        <w:rPr>
          <w:rFonts w:ascii="Arial" w:hAnsi="Arial" w:cs="Arial"/>
          <w:bCs/>
          <w:sz w:val="19"/>
          <w:szCs w:val="19"/>
          <w:lang w:val="en-US"/>
        </w:rPr>
      </w:pPr>
    </w:p>
    <w:p w:rsidR="005723A5"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 xml:space="preserve">The </w:t>
      </w:r>
      <w:r w:rsidR="00201B4C" w:rsidRPr="005300DC">
        <w:rPr>
          <w:rFonts w:ascii="Arial" w:hAnsi="Arial" w:cs="Arial"/>
          <w:bCs/>
          <w:sz w:val="19"/>
          <w:szCs w:val="19"/>
          <w:lang w:val="en-US"/>
        </w:rPr>
        <w:t>Company</w:t>
      </w:r>
      <w:r w:rsidRPr="005300DC">
        <w:rPr>
          <w:rFonts w:ascii="Arial" w:hAnsi="Arial" w:cs="Arial"/>
          <w:bCs/>
          <w:sz w:val="19"/>
          <w:szCs w:val="19"/>
          <w:lang w:val="en-US"/>
        </w:rPr>
        <w:t xml:space="preserve">’s forecasts and projections, taking account of possible changes in performance show that the </w:t>
      </w:r>
      <w:r w:rsidR="00201B4C" w:rsidRPr="005300DC">
        <w:rPr>
          <w:rFonts w:ascii="Arial" w:hAnsi="Arial" w:cs="Arial"/>
          <w:bCs/>
          <w:sz w:val="19"/>
          <w:szCs w:val="19"/>
          <w:lang w:val="en-US"/>
        </w:rPr>
        <w:t>Company</w:t>
      </w:r>
      <w:r w:rsidRPr="005300DC">
        <w:rPr>
          <w:rFonts w:ascii="Arial" w:hAnsi="Arial" w:cs="Arial"/>
          <w:bCs/>
          <w:sz w:val="19"/>
          <w:szCs w:val="19"/>
          <w:lang w:val="en-US"/>
        </w:rPr>
        <w:t xml:space="preserve"> is expected to have a sufficient level of finance resources available through current banking facilities and therefore the Directors believe that the </w:t>
      </w:r>
      <w:r w:rsidR="00201B4C" w:rsidRPr="005300DC">
        <w:rPr>
          <w:rFonts w:ascii="Arial" w:hAnsi="Arial" w:cs="Arial"/>
          <w:bCs/>
          <w:sz w:val="19"/>
          <w:szCs w:val="19"/>
          <w:lang w:val="en-US"/>
        </w:rPr>
        <w:t>Company</w:t>
      </w:r>
      <w:r w:rsidRPr="005300DC">
        <w:rPr>
          <w:rFonts w:ascii="Arial" w:hAnsi="Arial" w:cs="Arial"/>
          <w:bCs/>
          <w:sz w:val="19"/>
          <w:szCs w:val="19"/>
          <w:lang w:val="en-US"/>
        </w:rPr>
        <w:t xml:space="preserve"> is well placed to manage its business risks successfully despite the economic uncertainty.</w:t>
      </w:r>
    </w:p>
    <w:p w:rsidR="00E566B0" w:rsidRPr="005300DC" w:rsidRDefault="00E566B0" w:rsidP="00E566B0">
      <w:pPr>
        <w:autoSpaceDE w:val="0"/>
        <w:autoSpaceDN w:val="0"/>
        <w:adjustRightInd w:val="0"/>
        <w:spacing w:after="0"/>
        <w:jc w:val="left"/>
        <w:rPr>
          <w:rFonts w:ascii="Arial" w:hAnsi="Arial" w:cs="Arial"/>
          <w:bCs/>
          <w:sz w:val="19"/>
          <w:szCs w:val="19"/>
          <w:lang w:val="en-US"/>
        </w:rPr>
      </w:pPr>
    </w:p>
    <w:p w:rsidR="00BE5A6A"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 xml:space="preserve">After making enquiries, the Directors have a reasonable expectation that the </w:t>
      </w:r>
      <w:r w:rsidR="00201B4C" w:rsidRPr="005300DC">
        <w:rPr>
          <w:rFonts w:ascii="Arial" w:hAnsi="Arial" w:cs="Arial"/>
          <w:bCs/>
          <w:sz w:val="19"/>
          <w:szCs w:val="19"/>
          <w:lang w:val="en-US"/>
        </w:rPr>
        <w:t>Company</w:t>
      </w:r>
      <w:r w:rsidRPr="005300DC">
        <w:rPr>
          <w:rFonts w:ascii="Arial" w:hAnsi="Arial" w:cs="Arial"/>
          <w:bCs/>
          <w:sz w:val="19"/>
          <w:szCs w:val="19"/>
          <w:lang w:val="en-US"/>
        </w:rPr>
        <w:t xml:space="preserve"> has adequate resources to continue in operational existence for the foreseeable future.  Accordingly, they continue to prepare the financial statements on a going concern basis.</w:t>
      </w:r>
    </w:p>
    <w:p w:rsidR="00E566B0" w:rsidRPr="00C46A29" w:rsidRDefault="00E566B0" w:rsidP="00E566B0">
      <w:pPr>
        <w:autoSpaceDE w:val="0"/>
        <w:autoSpaceDN w:val="0"/>
        <w:adjustRightInd w:val="0"/>
        <w:spacing w:after="0"/>
        <w:jc w:val="left"/>
        <w:rPr>
          <w:rFonts w:ascii="Arial" w:hAnsi="Arial" w:cs="Arial"/>
          <w:bCs/>
          <w:sz w:val="19"/>
          <w:szCs w:val="19"/>
          <w:highlight w:val="yellow"/>
          <w:lang w:val="en-US"/>
        </w:rPr>
      </w:pPr>
    </w:p>
    <w:p w:rsidR="005723A5" w:rsidRPr="005300DC" w:rsidRDefault="00E566B0" w:rsidP="003A1BD9">
      <w:pPr>
        <w:autoSpaceDE w:val="0"/>
        <w:autoSpaceDN w:val="0"/>
        <w:adjustRightInd w:val="0"/>
        <w:jc w:val="left"/>
        <w:rPr>
          <w:rFonts w:ascii="Arial" w:hAnsi="Arial" w:cs="Arial"/>
          <w:b/>
          <w:bCs/>
          <w:sz w:val="19"/>
          <w:szCs w:val="19"/>
          <w:lang w:val="en-US"/>
        </w:rPr>
      </w:pPr>
      <w:r w:rsidRPr="005300DC">
        <w:rPr>
          <w:rFonts w:ascii="Arial" w:hAnsi="Arial" w:cs="Arial"/>
          <w:b/>
          <w:bCs/>
          <w:sz w:val="19"/>
          <w:szCs w:val="19"/>
          <w:lang w:val="en-US"/>
        </w:rPr>
        <w:t>Fixed Assets and D</w:t>
      </w:r>
      <w:r w:rsidR="005723A5" w:rsidRPr="005300DC">
        <w:rPr>
          <w:rFonts w:ascii="Arial" w:hAnsi="Arial" w:cs="Arial"/>
          <w:b/>
          <w:bCs/>
          <w:sz w:val="19"/>
          <w:szCs w:val="19"/>
          <w:lang w:val="en-US"/>
        </w:rPr>
        <w:t>epreciation</w:t>
      </w:r>
    </w:p>
    <w:p w:rsidR="000C3E8F" w:rsidRPr="005300DC" w:rsidRDefault="00FC1015" w:rsidP="00E566B0">
      <w:pPr>
        <w:autoSpaceDE w:val="0"/>
        <w:autoSpaceDN w:val="0"/>
        <w:adjustRightInd w:val="0"/>
        <w:spacing w:after="0"/>
        <w:jc w:val="left"/>
        <w:rPr>
          <w:rFonts w:ascii="Arial" w:hAnsi="Arial" w:cs="Arial"/>
          <w:sz w:val="19"/>
          <w:szCs w:val="19"/>
        </w:rPr>
      </w:pPr>
      <w:r w:rsidRPr="005300DC">
        <w:rPr>
          <w:rFonts w:ascii="Arial" w:hAnsi="Arial" w:cs="Arial"/>
          <w:sz w:val="19"/>
          <w:szCs w:val="19"/>
        </w:rPr>
        <w:t>Tangible fixed assets are stated at cost or valuation, net of depreciation and any provision for impairment. In the case of buildings held for rental purposes (classified as land and buildings in note</w:t>
      </w:r>
      <w:r w:rsidR="00215CBC">
        <w:rPr>
          <w:rFonts w:ascii="Arial" w:hAnsi="Arial" w:cs="Arial"/>
          <w:sz w:val="19"/>
          <w:szCs w:val="19"/>
        </w:rPr>
        <w:t xml:space="preserve"> 9</w:t>
      </w:r>
      <w:r w:rsidRPr="005300DC">
        <w:rPr>
          <w:rFonts w:ascii="Arial" w:hAnsi="Arial" w:cs="Arial"/>
          <w:sz w:val="19"/>
          <w:szCs w:val="19"/>
        </w:rPr>
        <w:t xml:space="preserve">) the directors consider that this element of the business resembles the registered provision of social housing and, as such, the directors have adopted the </w:t>
      </w:r>
      <w:r w:rsidR="00C5267F" w:rsidRPr="005300DC">
        <w:rPr>
          <w:rFonts w:ascii="Arial" w:hAnsi="Arial" w:cs="Arial"/>
          <w:sz w:val="19"/>
          <w:szCs w:val="19"/>
        </w:rPr>
        <w:t>accounting</w:t>
      </w:r>
      <w:r w:rsidRPr="005300DC">
        <w:rPr>
          <w:rFonts w:ascii="Arial" w:hAnsi="Arial" w:cs="Arial"/>
          <w:sz w:val="19"/>
          <w:szCs w:val="19"/>
        </w:rPr>
        <w:t xml:space="preserve"> treatment set out in the Statement of Recommended Practice for Registered Providers of Social Housing to the extent that these assets are carried at cost less depreciation and impairments.</w:t>
      </w:r>
    </w:p>
    <w:p w:rsidR="00E566B0" w:rsidRPr="005300DC" w:rsidRDefault="00E566B0" w:rsidP="00E566B0">
      <w:pPr>
        <w:autoSpaceDE w:val="0"/>
        <w:autoSpaceDN w:val="0"/>
        <w:adjustRightInd w:val="0"/>
        <w:spacing w:after="0"/>
        <w:jc w:val="left"/>
        <w:rPr>
          <w:rFonts w:ascii="Arial" w:hAnsi="Arial" w:cs="Arial"/>
          <w:bCs/>
          <w:sz w:val="19"/>
          <w:szCs w:val="19"/>
          <w:lang w:val="en-US"/>
        </w:rPr>
      </w:pPr>
    </w:p>
    <w:p w:rsidR="005723A5"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 xml:space="preserve">Depreciation is provided to write off the cost less the estimated residual value of tangible fixed assets by equal </w:t>
      </w:r>
      <w:r w:rsidR="00C5267F" w:rsidRPr="005300DC">
        <w:rPr>
          <w:rFonts w:ascii="Arial" w:hAnsi="Arial" w:cs="Arial"/>
          <w:bCs/>
          <w:sz w:val="19"/>
          <w:szCs w:val="19"/>
          <w:lang w:val="en-US"/>
        </w:rPr>
        <w:t>installments</w:t>
      </w:r>
      <w:r w:rsidRPr="005300DC">
        <w:rPr>
          <w:rFonts w:ascii="Arial" w:hAnsi="Arial" w:cs="Arial"/>
          <w:bCs/>
          <w:sz w:val="19"/>
          <w:szCs w:val="19"/>
          <w:lang w:val="en-US"/>
        </w:rPr>
        <w:t xml:space="preserve"> over their estimated useful economic lives as follows:</w:t>
      </w:r>
    </w:p>
    <w:p w:rsidR="00E566B0" w:rsidRPr="005300DC" w:rsidRDefault="00E566B0" w:rsidP="00E566B0">
      <w:pPr>
        <w:autoSpaceDE w:val="0"/>
        <w:autoSpaceDN w:val="0"/>
        <w:adjustRightInd w:val="0"/>
        <w:spacing w:after="0"/>
        <w:jc w:val="left"/>
        <w:rPr>
          <w:rFonts w:ascii="Arial" w:hAnsi="Arial" w:cs="Arial"/>
          <w:bCs/>
          <w:sz w:val="19"/>
          <w:szCs w:val="19"/>
          <w:lang w:val="en-US"/>
        </w:rPr>
      </w:pPr>
    </w:p>
    <w:p w:rsidR="005723A5"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Fixtures and fittings</w:t>
      </w:r>
      <w:r w:rsidRPr="005300DC">
        <w:rPr>
          <w:rFonts w:ascii="Arial" w:hAnsi="Arial" w:cs="Arial"/>
          <w:bCs/>
          <w:sz w:val="19"/>
          <w:szCs w:val="19"/>
          <w:lang w:val="en-US"/>
        </w:rPr>
        <w:tab/>
        <w:t>5 years</w:t>
      </w:r>
    </w:p>
    <w:p w:rsidR="00E566B0" w:rsidRPr="005300DC" w:rsidRDefault="00E566B0" w:rsidP="00E566B0">
      <w:pPr>
        <w:autoSpaceDE w:val="0"/>
        <w:autoSpaceDN w:val="0"/>
        <w:adjustRightInd w:val="0"/>
        <w:spacing w:after="0"/>
        <w:jc w:val="left"/>
        <w:rPr>
          <w:rFonts w:ascii="Arial" w:hAnsi="Arial" w:cs="Arial"/>
          <w:bCs/>
          <w:sz w:val="19"/>
          <w:szCs w:val="19"/>
          <w:lang w:val="en-US"/>
        </w:rPr>
      </w:pPr>
    </w:p>
    <w:p w:rsidR="005723A5"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Software</w:t>
      </w:r>
      <w:r w:rsidRPr="005300DC">
        <w:rPr>
          <w:rFonts w:ascii="Arial" w:hAnsi="Arial" w:cs="Arial"/>
          <w:bCs/>
          <w:sz w:val="19"/>
          <w:szCs w:val="19"/>
          <w:lang w:val="en-US"/>
        </w:rPr>
        <w:tab/>
      </w:r>
      <w:r w:rsidRPr="005300DC">
        <w:rPr>
          <w:rFonts w:ascii="Arial" w:hAnsi="Arial" w:cs="Arial"/>
          <w:bCs/>
          <w:sz w:val="19"/>
          <w:szCs w:val="19"/>
          <w:lang w:val="en-US"/>
        </w:rPr>
        <w:tab/>
        <w:t>3-5 years</w:t>
      </w:r>
    </w:p>
    <w:p w:rsidR="001F1404" w:rsidRDefault="001F1404" w:rsidP="00E566B0">
      <w:pPr>
        <w:autoSpaceDE w:val="0"/>
        <w:autoSpaceDN w:val="0"/>
        <w:adjustRightInd w:val="0"/>
        <w:spacing w:after="0"/>
        <w:jc w:val="left"/>
        <w:rPr>
          <w:rFonts w:ascii="Arial" w:hAnsi="Arial" w:cs="Arial"/>
          <w:bCs/>
          <w:sz w:val="19"/>
          <w:szCs w:val="19"/>
          <w:lang w:val="en-US"/>
        </w:rPr>
      </w:pPr>
    </w:p>
    <w:p w:rsidR="001F1404" w:rsidRPr="005300DC" w:rsidRDefault="001F1404" w:rsidP="00E566B0">
      <w:pPr>
        <w:autoSpaceDE w:val="0"/>
        <w:autoSpaceDN w:val="0"/>
        <w:adjustRightInd w:val="0"/>
        <w:spacing w:after="0"/>
        <w:jc w:val="left"/>
        <w:rPr>
          <w:rFonts w:ascii="Arial" w:hAnsi="Arial" w:cs="Arial"/>
          <w:bCs/>
          <w:sz w:val="19"/>
          <w:szCs w:val="19"/>
          <w:lang w:val="en-US"/>
        </w:rPr>
      </w:pPr>
    </w:p>
    <w:p w:rsidR="00E566B0" w:rsidRDefault="00215CBC" w:rsidP="00E566B0">
      <w:pPr>
        <w:autoSpaceDE w:val="0"/>
        <w:autoSpaceDN w:val="0"/>
        <w:adjustRightInd w:val="0"/>
        <w:spacing w:after="0"/>
        <w:jc w:val="left"/>
        <w:rPr>
          <w:rFonts w:ascii="Arial" w:hAnsi="Arial" w:cs="Arial"/>
          <w:b/>
          <w:bCs/>
          <w:sz w:val="19"/>
          <w:szCs w:val="19"/>
          <w:lang w:val="en-US"/>
        </w:rPr>
      </w:pPr>
      <w:r>
        <w:rPr>
          <w:rFonts w:ascii="Arial" w:hAnsi="Arial" w:cs="Arial"/>
          <w:b/>
          <w:bCs/>
          <w:sz w:val="19"/>
          <w:szCs w:val="19"/>
          <w:lang w:val="en-US"/>
        </w:rPr>
        <w:lastRenderedPageBreak/>
        <w:t>1 Accounting Policies (continued)</w:t>
      </w:r>
    </w:p>
    <w:p w:rsidR="00215CBC" w:rsidRPr="00215CBC" w:rsidRDefault="00215CBC" w:rsidP="00E566B0">
      <w:pPr>
        <w:autoSpaceDE w:val="0"/>
        <w:autoSpaceDN w:val="0"/>
        <w:adjustRightInd w:val="0"/>
        <w:spacing w:after="0"/>
        <w:jc w:val="left"/>
        <w:rPr>
          <w:rFonts w:ascii="Arial" w:hAnsi="Arial" w:cs="Arial"/>
          <w:b/>
          <w:bCs/>
          <w:sz w:val="19"/>
          <w:szCs w:val="19"/>
          <w:lang w:val="en-US"/>
        </w:rPr>
      </w:pPr>
      <w:r>
        <w:rPr>
          <w:rFonts w:ascii="Arial" w:hAnsi="Arial" w:cs="Arial"/>
          <w:b/>
          <w:bCs/>
          <w:sz w:val="19"/>
          <w:szCs w:val="19"/>
          <w:lang w:val="en-US"/>
        </w:rPr>
        <w:t>Fixed Assets and Depreciation (continued)</w:t>
      </w:r>
    </w:p>
    <w:p w:rsidR="00215CBC" w:rsidRDefault="00215CBC" w:rsidP="00E566B0">
      <w:pPr>
        <w:autoSpaceDE w:val="0"/>
        <w:autoSpaceDN w:val="0"/>
        <w:adjustRightInd w:val="0"/>
        <w:spacing w:after="0"/>
        <w:jc w:val="left"/>
        <w:rPr>
          <w:rFonts w:ascii="Arial" w:hAnsi="Arial" w:cs="Arial"/>
          <w:bCs/>
          <w:sz w:val="19"/>
          <w:szCs w:val="19"/>
          <w:lang w:val="en-US"/>
        </w:rPr>
      </w:pPr>
    </w:p>
    <w:p w:rsidR="005723A5"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Depreciation of freehold buildings is charged so as to write down the cost by component on a straight line basis over the estimated useful economic live</w:t>
      </w:r>
      <w:r w:rsidR="00E566B0" w:rsidRPr="005300DC">
        <w:rPr>
          <w:rFonts w:ascii="Arial" w:hAnsi="Arial" w:cs="Arial"/>
          <w:bCs/>
          <w:sz w:val="19"/>
          <w:szCs w:val="19"/>
          <w:lang w:val="en-US"/>
        </w:rPr>
        <w:t xml:space="preserve">s of the component categories.  </w:t>
      </w:r>
      <w:r w:rsidRPr="005300DC">
        <w:rPr>
          <w:rFonts w:ascii="Arial" w:hAnsi="Arial" w:cs="Arial"/>
          <w:bCs/>
          <w:sz w:val="19"/>
          <w:szCs w:val="19"/>
          <w:lang w:val="en-US"/>
        </w:rPr>
        <w:t>Useful economic lives for identified components are as follows:</w:t>
      </w:r>
    </w:p>
    <w:p w:rsidR="002B3635" w:rsidRPr="005300DC" w:rsidRDefault="002B3635" w:rsidP="00E566B0">
      <w:pPr>
        <w:autoSpaceDE w:val="0"/>
        <w:autoSpaceDN w:val="0"/>
        <w:adjustRightInd w:val="0"/>
        <w:spacing w:after="0"/>
        <w:jc w:val="left"/>
        <w:rPr>
          <w:rFonts w:ascii="Arial" w:hAnsi="Arial" w:cs="Arial"/>
          <w:bCs/>
          <w:sz w:val="19"/>
          <w:szCs w:val="19"/>
          <w:lang w:val="en-US"/>
        </w:rPr>
      </w:pPr>
    </w:p>
    <w:p w:rsidR="005723A5" w:rsidRPr="005300DC" w:rsidRDefault="00E566B0" w:rsidP="003A1BD9">
      <w:pPr>
        <w:autoSpaceDE w:val="0"/>
        <w:autoSpaceDN w:val="0"/>
        <w:adjustRightInd w:val="0"/>
        <w:rPr>
          <w:rFonts w:ascii="Arial" w:hAnsi="Arial" w:cs="Arial"/>
          <w:b/>
          <w:bCs/>
          <w:szCs w:val="19"/>
          <w:lang w:val="en-US"/>
        </w:rPr>
      </w:pPr>
      <w:r w:rsidRPr="005300DC">
        <w:rPr>
          <w:rFonts w:ascii="Arial" w:hAnsi="Arial" w:cs="Arial"/>
          <w:b/>
          <w:bCs/>
          <w:szCs w:val="19"/>
          <w:lang w:val="en-US"/>
        </w:rPr>
        <w:t>Component</w:t>
      </w:r>
      <w:r w:rsidRPr="005300DC">
        <w:rPr>
          <w:rFonts w:ascii="Arial" w:hAnsi="Arial" w:cs="Arial"/>
          <w:b/>
          <w:bCs/>
          <w:szCs w:val="19"/>
          <w:lang w:val="en-US"/>
        </w:rPr>
        <w:tab/>
      </w:r>
      <w:r w:rsidRPr="005300DC">
        <w:rPr>
          <w:rFonts w:ascii="Arial" w:hAnsi="Arial" w:cs="Arial"/>
          <w:b/>
          <w:bCs/>
          <w:szCs w:val="19"/>
          <w:lang w:val="en-US"/>
        </w:rPr>
        <w:tab/>
      </w:r>
      <w:r w:rsidRPr="005300DC">
        <w:rPr>
          <w:rFonts w:ascii="Arial" w:hAnsi="Arial" w:cs="Arial"/>
          <w:b/>
          <w:bCs/>
          <w:szCs w:val="19"/>
          <w:lang w:val="en-US"/>
        </w:rPr>
        <w:tab/>
        <w:t>Useful Economic L</w:t>
      </w:r>
      <w:r w:rsidR="005723A5" w:rsidRPr="005300DC">
        <w:rPr>
          <w:rFonts w:ascii="Arial" w:hAnsi="Arial" w:cs="Arial"/>
          <w:b/>
          <w:bCs/>
          <w:szCs w:val="19"/>
          <w:lang w:val="en-US"/>
        </w:rPr>
        <w:t>ife</w:t>
      </w:r>
    </w:p>
    <w:p w:rsidR="005723A5"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Structure</w:t>
      </w:r>
      <w:r w:rsidRPr="005300DC">
        <w:rPr>
          <w:rFonts w:ascii="Arial" w:hAnsi="Arial" w:cs="Arial"/>
          <w:bCs/>
          <w:sz w:val="19"/>
          <w:szCs w:val="19"/>
          <w:lang w:val="en-US"/>
        </w:rPr>
        <w:tab/>
      </w:r>
      <w:r w:rsidRPr="005300DC">
        <w:rPr>
          <w:rFonts w:ascii="Arial" w:hAnsi="Arial" w:cs="Arial"/>
          <w:bCs/>
          <w:sz w:val="19"/>
          <w:szCs w:val="19"/>
          <w:lang w:val="en-US"/>
        </w:rPr>
        <w:tab/>
      </w:r>
      <w:r w:rsidR="00BE5A6A" w:rsidRPr="005300DC">
        <w:rPr>
          <w:rFonts w:ascii="Arial" w:hAnsi="Arial" w:cs="Arial"/>
          <w:bCs/>
          <w:sz w:val="19"/>
          <w:szCs w:val="19"/>
          <w:lang w:val="en-US"/>
        </w:rPr>
        <w:tab/>
      </w:r>
      <w:r w:rsidRPr="005300DC">
        <w:rPr>
          <w:rFonts w:ascii="Arial" w:hAnsi="Arial" w:cs="Arial"/>
          <w:bCs/>
          <w:sz w:val="19"/>
          <w:szCs w:val="19"/>
          <w:lang w:val="en-US"/>
        </w:rPr>
        <w:tab/>
        <w:t>80 years</w:t>
      </w:r>
    </w:p>
    <w:p w:rsidR="005723A5"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Roof</w:t>
      </w:r>
      <w:r w:rsidRPr="005300DC">
        <w:rPr>
          <w:rFonts w:ascii="Arial" w:hAnsi="Arial" w:cs="Arial"/>
          <w:bCs/>
          <w:sz w:val="19"/>
          <w:szCs w:val="19"/>
          <w:lang w:val="en-US"/>
        </w:rPr>
        <w:tab/>
      </w:r>
      <w:r w:rsidRPr="005300DC">
        <w:rPr>
          <w:rFonts w:ascii="Arial" w:hAnsi="Arial" w:cs="Arial"/>
          <w:bCs/>
          <w:sz w:val="19"/>
          <w:szCs w:val="19"/>
          <w:lang w:val="en-US"/>
        </w:rPr>
        <w:tab/>
      </w:r>
      <w:r w:rsidRPr="005300DC">
        <w:rPr>
          <w:rFonts w:ascii="Arial" w:hAnsi="Arial" w:cs="Arial"/>
          <w:bCs/>
          <w:sz w:val="19"/>
          <w:szCs w:val="19"/>
          <w:lang w:val="en-US"/>
        </w:rPr>
        <w:tab/>
      </w:r>
      <w:r w:rsidRPr="005300DC">
        <w:rPr>
          <w:rFonts w:ascii="Arial" w:hAnsi="Arial" w:cs="Arial"/>
          <w:bCs/>
          <w:sz w:val="19"/>
          <w:szCs w:val="19"/>
          <w:lang w:val="en-US"/>
        </w:rPr>
        <w:tab/>
      </w:r>
      <w:r w:rsidR="00BE5A6A" w:rsidRPr="005300DC">
        <w:rPr>
          <w:rFonts w:ascii="Arial" w:hAnsi="Arial" w:cs="Arial"/>
          <w:bCs/>
          <w:sz w:val="19"/>
          <w:szCs w:val="19"/>
          <w:lang w:val="en-US"/>
        </w:rPr>
        <w:tab/>
      </w:r>
      <w:r w:rsidRPr="005300DC">
        <w:rPr>
          <w:rFonts w:ascii="Arial" w:hAnsi="Arial" w:cs="Arial"/>
          <w:bCs/>
          <w:sz w:val="19"/>
          <w:szCs w:val="19"/>
          <w:lang w:val="en-US"/>
        </w:rPr>
        <w:t>50 years</w:t>
      </w:r>
    </w:p>
    <w:p w:rsidR="005723A5"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Other</w:t>
      </w:r>
      <w:r w:rsidRPr="005300DC">
        <w:rPr>
          <w:rFonts w:ascii="Arial" w:hAnsi="Arial" w:cs="Arial"/>
          <w:bCs/>
          <w:sz w:val="19"/>
          <w:szCs w:val="19"/>
          <w:lang w:val="en-US"/>
        </w:rPr>
        <w:tab/>
      </w:r>
      <w:r w:rsidRPr="005300DC">
        <w:rPr>
          <w:rFonts w:ascii="Arial" w:hAnsi="Arial" w:cs="Arial"/>
          <w:bCs/>
          <w:sz w:val="19"/>
          <w:szCs w:val="19"/>
          <w:lang w:val="en-US"/>
        </w:rPr>
        <w:tab/>
      </w:r>
      <w:r w:rsidRPr="005300DC">
        <w:rPr>
          <w:rFonts w:ascii="Arial" w:hAnsi="Arial" w:cs="Arial"/>
          <w:bCs/>
          <w:sz w:val="19"/>
          <w:szCs w:val="19"/>
          <w:lang w:val="en-US"/>
        </w:rPr>
        <w:tab/>
      </w:r>
      <w:r w:rsidRPr="005300DC">
        <w:rPr>
          <w:rFonts w:ascii="Arial" w:hAnsi="Arial" w:cs="Arial"/>
          <w:bCs/>
          <w:sz w:val="19"/>
          <w:szCs w:val="19"/>
          <w:lang w:val="en-US"/>
        </w:rPr>
        <w:tab/>
      </w:r>
      <w:r w:rsidR="00E566B0" w:rsidRPr="005300DC">
        <w:rPr>
          <w:rFonts w:ascii="Arial" w:hAnsi="Arial" w:cs="Arial"/>
          <w:bCs/>
          <w:sz w:val="19"/>
          <w:szCs w:val="19"/>
          <w:lang w:val="en-US"/>
        </w:rPr>
        <w:tab/>
      </w:r>
      <w:r w:rsidRPr="005300DC">
        <w:rPr>
          <w:rFonts w:ascii="Arial" w:hAnsi="Arial" w:cs="Arial"/>
          <w:bCs/>
          <w:sz w:val="19"/>
          <w:szCs w:val="19"/>
          <w:lang w:val="en-US"/>
        </w:rPr>
        <w:t>25 years</w:t>
      </w:r>
    </w:p>
    <w:p w:rsidR="00E566B0" w:rsidRPr="005300DC" w:rsidRDefault="00E566B0" w:rsidP="00E566B0">
      <w:pPr>
        <w:autoSpaceDE w:val="0"/>
        <w:autoSpaceDN w:val="0"/>
        <w:adjustRightInd w:val="0"/>
        <w:spacing w:after="0"/>
        <w:jc w:val="left"/>
        <w:rPr>
          <w:rFonts w:ascii="Arial" w:hAnsi="Arial" w:cs="Arial"/>
          <w:bCs/>
          <w:sz w:val="19"/>
          <w:szCs w:val="19"/>
          <w:lang w:val="en-US"/>
        </w:rPr>
      </w:pPr>
    </w:p>
    <w:p w:rsidR="005723A5"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Freehold land is not depreciated</w:t>
      </w:r>
      <w:r w:rsidR="00E566B0" w:rsidRPr="005300DC">
        <w:rPr>
          <w:rFonts w:ascii="Arial" w:hAnsi="Arial" w:cs="Arial"/>
          <w:bCs/>
          <w:sz w:val="19"/>
          <w:szCs w:val="19"/>
          <w:lang w:val="en-US"/>
        </w:rPr>
        <w:t>.</w:t>
      </w:r>
    </w:p>
    <w:p w:rsidR="00E566B0" w:rsidRPr="005300DC" w:rsidRDefault="00E566B0" w:rsidP="00E566B0">
      <w:pPr>
        <w:autoSpaceDE w:val="0"/>
        <w:autoSpaceDN w:val="0"/>
        <w:adjustRightInd w:val="0"/>
        <w:spacing w:after="0"/>
        <w:jc w:val="left"/>
        <w:rPr>
          <w:rFonts w:ascii="Arial" w:hAnsi="Arial" w:cs="Arial"/>
          <w:bCs/>
          <w:sz w:val="19"/>
          <w:szCs w:val="19"/>
          <w:lang w:val="en-US"/>
        </w:rPr>
      </w:pPr>
    </w:p>
    <w:p w:rsidR="009F562A"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The charge for depreciation commences in the month that the asset is brought into use.</w:t>
      </w:r>
    </w:p>
    <w:p w:rsidR="00E566B0" w:rsidRPr="005300DC" w:rsidRDefault="00E566B0" w:rsidP="00E566B0">
      <w:pPr>
        <w:autoSpaceDE w:val="0"/>
        <w:autoSpaceDN w:val="0"/>
        <w:adjustRightInd w:val="0"/>
        <w:spacing w:after="0"/>
        <w:jc w:val="left"/>
        <w:rPr>
          <w:rFonts w:ascii="Arial" w:hAnsi="Arial" w:cs="Arial"/>
          <w:bCs/>
          <w:sz w:val="19"/>
          <w:szCs w:val="19"/>
          <w:lang w:val="en-US"/>
        </w:rPr>
      </w:pPr>
    </w:p>
    <w:p w:rsidR="005723A5" w:rsidRPr="005300DC" w:rsidRDefault="005723A5" w:rsidP="00E566B0">
      <w:pPr>
        <w:autoSpaceDE w:val="0"/>
        <w:autoSpaceDN w:val="0"/>
        <w:adjustRightInd w:val="0"/>
        <w:spacing w:after="0"/>
        <w:jc w:val="left"/>
        <w:rPr>
          <w:rFonts w:ascii="Arial" w:hAnsi="Arial" w:cs="Arial"/>
          <w:b/>
          <w:bCs/>
          <w:szCs w:val="19"/>
          <w:lang w:val="en-US"/>
        </w:rPr>
      </w:pPr>
      <w:r w:rsidRPr="005300DC">
        <w:rPr>
          <w:rFonts w:ascii="Arial" w:hAnsi="Arial" w:cs="Arial"/>
          <w:b/>
          <w:bCs/>
          <w:szCs w:val="19"/>
          <w:lang w:val="en-US"/>
        </w:rPr>
        <w:t>Stock</w:t>
      </w:r>
    </w:p>
    <w:p w:rsidR="00E566B0" w:rsidRPr="005300DC" w:rsidRDefault="00E566B0" w:rsidP="00E566B0">
      <w:pPr>
        <w:autoSpaceDE w:val="0"/>
        <w:autoSpaceDN w:val="0"/>
        <w:adjustRightInd w:val="0"/>
        <w:spacing w:after="0"/>
        <w:jc w:val="left"/>
        <w:rPr>
          <w:rFonts w:ascii="Arial" w:hAnsi="Arial" w:cs="Arial"/>
          <w:b/>
          <w:bCs/>
          <w:sz w:val="19"/>
          <w:szCs w:val="19"/>
          <w:lang w:val="en-US"/>
        </w:rPr>
      </w:pPr>
    </w:p>
    <w:p w:rsidR="005723A5"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 xml:space="preserve">Stock </w:t>
      </w:r>
      <w:r w:rsidR="00322CF4" w:rsidRPr="005300DC">
        <w:rPr>
          <w:rFonts w:ascii="Arial" w:hAnsi="Arial" w:cs="Arial"/>
          <w:bCs/>
          <w:sz w:val="19"/>
          <w:szCs w:val="19"/>
          <w:lang w:val="en-US"/>
        </w:rPr>
        <w:t>is</w:t>
      </w:r>
      <w:r w:rsidRPr="005300DC">
        <w:rPr>
          <w:rFonts w:ascii="Arial" w:hAnsi="Arial" w:cs="Arial"/>
          <w:bCs/>
          <w:sz w:val="19"/>
          <w:szCs w:val="19"/>
          <w:lang w:val="en-US"/>
        </w:rPr>
        <w:t xml:space="preserve"> stated at the lower of cost and net</w:t>
      </w:r>
      <w:r w:rsidRPr="005300DC">
        <w:rPr>
          <w:rFonts w:ascii="Arial" w:hAnsi="Arial" w:cs="Arial"/>
          <w:bCs/>
          <w:sz w:val="19"/>
          <w:szCs w:val="19"/>
        </w:rPr>
        <w:t xml:space="preserve"> realisable</w:t>
      </w:r>
      <w:r w:rsidRPr="005300DC">
        <w:rPr>
          <w:rFonts w:ascii="Arial" w:hAnsi="Arial" w:cs="Arial"/>
          <w:bCs/>
          <w:sz w:val="19"/>
          <w:szCs w:val="19"/>
          <w:lang w:val="en-US"/>
        </w:rPr>
        <w:t xml:space="preserve"> value.  In determining the cost o</w:t>
      </w:r>
      <w:r w:rsidR="00F63CE7" w:rsidRPr="005300DC">
        <w:rPr>
          <w:rFonts w:ascii="Arial" w:hAnsi="Arial" w:cs="Arial"/>
          <w:bCs/>
          <w:sz w:val="19"/>
          <w:szCs w:val="19"/>
          <w:lang w:val="en-US"/>
        </w:rPr>
        <w:t>f</w:t>
      </w:r>
      <w:r w:rsidRPr="005300DC">
        <w:rPr>
          <w:rFonts w:ascii="Arial" w:hAnsi="Arial" w:cs="Arial"/>
          <w:bCs/>
          <w:sz w:val="19"/>
          <w:szCs w:val="19"/>
          <w:lang w:val="en-US"/>
        </w:rPr>
        <w:t xml:space="preserve"> consumables and goods purchased </w:t>
      </w:r>
      <w:r w:rsidR="00C5267F" w:rsidRPr="005300DC">
        <w:rPr>
          <w:rFonts w:ascii="Arial" w:hAnsi="Arial" w:cs="Arial"/>
          <w:bCs/>
          <w:sz w:val="19"/>
          <w:szCs w:val="19"/>
          <w:lang w:val="en-US"/>
        </w:rPr>
        <w:t>for use</w:t>
      </w:r>
      <w:r w:rsidRPr="005300DC">
        <w:rPr>
          <w:rFonts w:ascii="Arial" w:hAnsi="Arial" w:cs="Arial"/>
          <w:bCs/>
          <w:sz w:val="19"/>
          <w:szCs w:val="19"/>
          <w:lang w:val="en-US"/>
        </w:rPr>
        <w:t>, the weighted average purchase price is used.</w:t>
      </w:r>
    </w:p>
    <w:p w:rsidR="00E566B0" w:rsidRPr="005300DC" w:rsidRDefault="00E566B0" w:rsidP="00E566B0">
      <w:pPr>
        <w:autoSpaceDE w:val="0"/>
        <w:autoSpaceDN w:val="0"/>
        <w:adjustRightInd w:val="0"/>
        <w:spacing w:after="0"/>
        <w:jc w:val="left"/>
        <w:rPr>
          <w:rFonts w:ascii="Arial" w:hAnsi="Arial" w:cs="Arial"/>
          <w:bCs/>
          <w:sz w:val="19"/>
          <w:szCs w:val="19"/>
          <w:lang w:val="en-US"/>
        </w:rPr>
      </w:pPr>
    </w:p>
    <w:p w:rsidR="005723A5" w:rsidRPr="005300DC" w:rsidRDefault="00BE5A6A" w:rsidP="00E566B0">
      <w:pPr>
        <w:autoSpaceDE w:val="0"/>
        <w:autoSpaceDN w:val="0"/>
        <w:adjustRightInd w:val="0"/>
        <w:spacing w:after="0"/>
        <w:jc w:val="left"/>
        <w:rPr>
          <w:rFonts w:ascii="Arial" w:hAnsi="Arial" w:cs="Arial"/>
          <w:b/>
          <w:bCs/>
          <w:szCs w:val="19"/>
          <w:lang w:val="en-US"/>
        </w:rPr>
      </w:pPr>
      <w:r w:rsidRPr="005300DC">
        <w:rPr>
          <w:rFonts w:ascii="Arial" w:hAnsi="Arial" w:cs="Arial"/>
          <w:b/>
          <w:bCs/>
          <w:szCs w:val="19"/>
          <w:lang w:val="en-US"/>
        </w:rPr>
        <w:t>Post-</w:t>
      </w:r>
      <w:r w:rsidR="00F63CE7" w:rsidRPr="005300DC">
        <w:rPr>
          <w:rFonts w:ascii="Arial" w:hAnsi="Arial" w:cs="Arial"/>
          <w:b/>
          <w:bCs/>
          <w:szCs w:val="19"/>
          <w:lang w:val="en-US"/>
        </w:rPr>
        <w:t>employment</w:t>
      </w:r>
      <w:r w:rsidR="00E566B0" w:rsidRPr="005300DC">
        <w:rPr>
          <w:rFonts w:ascii="Arial" w:hAnsi="Arial" w:cs="Arial"/>
          <w:b/>
          <w:bCs/>
          <w:szCs w:val="19"/>
          <w:lang w:val="en-US"/>
        </w:rPr>
        <w:t xml:space="preserve"> B</w:t>
      </w:r>
      <w:r w:rsidR="005723A5" w:rsidRPr="005300DC">
        <w:rPr>
          <w:rFonts w:ascii="Arial" w:hAnsi="Arial" w:cs="Arial"/>
          <w:b/>
          <w:bCs/>
          <w:szCs w:val="19"/>
          <w:lang w:val="en-US"/>
        </w:rPr>
        <w:t>enefits</w:t>
      </w:r>
    </w:p>
    <w:p w:rsidR="00E566B0" w:rsidRPr="005300DC" w:rsidRDefault="00E566B0" w:rsidP="00E566B0">
      <w:pPr>
        <w:autoSpaceDE w:val="0"/>
        <w:autoSpaceDN w:val="0"/>
        <w:adjustRightInd w:val="0"/>
        <w:spacing w:after="0"/>
        <w:jc w:val="left"/>
        <w:rPr>
          <w:rFonts w:ascii="Arial" w:hAnsi="Arial" w:cs="Arial"/>
          <w:b/>
          <w:bCs/>
          <w:sz w:val="19"/>
          <w:szCs w:val="19"/>
          <w:lang w:val="en-US"/>
        </w:rPr>
      </w:pPr>
    </w:p>
    <w:p w:rsidR="005723A5"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 xml:space="preserve">The </w:t>
      </w:r>
      <w:r w:rsidR="00201B4C" w:rsidRPr="005300DC">
        <w:rPr>
          <w:rFonts w:ascii="Arial" w:hAnsi="Arial" w:cs="Arial"/>
          <w:bCs/>
          <w:sz w:val="19"/>
          <w:szCs w:val="19"/>
          <w:lang w:val="en-US"/>
        </w:rPr>
        <w:t>Company</w:t>
      </w:r>
      <w:r w:rsidRPr="005300DC">
        <w:rPr>
          <w:rFonts w:ascii="Arial" w:hAnsi="Arial" w:cs="Arial"/>
          <w:bCs/>
          <w:sz w:val="19"/>
          <w:szCs w:val="19"/>
          <w:lang w:val="en-US"/>
        </w:rPr>
        <w:t xml:space="preserve"> participates in the Northumberland County Council Pension Fund.  The scheme is a final salary Local Government Pension Scheme and retirement benefits to employees of the </w:t>
      </w:r>
      <w:r w:rsidR="00201B4C" w:rsidRPr="005300DC">
        <w:rPr>
          <w:rFonts w:ascii="Arial" w:hAnsi="Arial" w:cs="Arial"/>
          <w:bCs/>
          <w:sz w:val="19"/>
          <w:szCs w:val="19"/>
          <w:lang w:val="en-US"/>
        </w:rPr>
        <w:t>Company</w:t>
      </w:r>
      <w:r w:rsidRPr="005300DC">
        <w:rPr>
          <w:rFonts w:ascii="Arial" w:hAnsi="Arial" w:cs="Arial"/>
          <w:bCs/>
          <w:sz w:val="19"/>
          <w:szCs w:val="19"/>
          <w:lang w:val="en-US"/>
        </w:rPr>
        <w:t xml:space="preserve"> are funded by contributions by all participating employers and employees in the scheme.  These payments are made in accordance with periodic calculations by consulting actuaries and are based on pension costs applicable to the various participating organisations.  The amount charged to the income and expenditure account in respect of the scheme is based on actuarial estimates and is calculated to spread the cost of pensions over employees’ working lives with the </w:t>
      </w:r>
      <w:r w:rsidR="00201B4C" w:rsidRPr="005300DC">
        <w:rPr>
          <w:rFonts w:ascii="Arial" w:hAnsi="Arial" w:cs="Arial"/>
          <w:bCs/>
          <w:sz w:val="19"/>
          <w:szCs w:val="19"/>
          <w:lang w:val="en-US"/>
        </w:rPr>
        <w:t>Company</w:t>
      </w:r>
      <w:r w:rsidRPr="005300DC">
        <w:rPr>
          <w:rFonts w:ascii="Arial" w:hAnsi="Arial" w:cs="Arial"/>
          <w:bCs/>
          <w:sz w:val="19"/>
          <w:szCs w:val="19"/>
          <w:lang w:val="en-US"/>
        </w:rPr>
        <w:t>.</w:t>
      </w:r>
    </w:p>
    <w:p w:rsidR="00E566B0" w:rsidRPr="005300DC" w:rsidRDefault="00E566B0" w:rsidP="00E566B0">
      <w:pPr>
        <w:autoSpaceDE w:val="0"/>
        <w:autoSpaceDN w:val="0"/>
        <w:adjustRightInd w:val="0"/>
        <w:spacing w:after="0"/>
        <w:jc w:val="left"/>
        <w:rPr>
          <w:rFonts w:ascii="Arial" w:hAnsi="Arial" w:cs="Arial"/>
          <w:bCs/>
          <w:sz w:val="19"/>
          <w:szCs w:val="19"/>
          <w:lang w:val="en-US"/>
        </w:rPr>
      </w:pPr>
    </w:p>
    <w:p w:rsidR="005723A5"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 xml:space="preserve">The assets of the scheme are held separately from those of the </w:t>
      </w:r>
      <w:r w:rsidR="00201B4C" w:rsidRPr="005300DC">
        <w:rPr>
          <w:rFonts w:ascii="Arial" w:hAnsi="Arial" w:cs="Arial"/>
          <w:bCs/>
          <w:sz w:val="19"/>
          <w:szCs w:val="19"/>
          <w:lang w:val="en-US"/>
        </w:rPr>
        <w:t>Company</w:t>
      </w:r>
      <w:r w:rsidRPr="005300DC">
        <w:rPr>
          <w:rFonts w:ascii="Arial" w:hAnsi="Arial" w:cs="Arial"/>
          <w:bCs/>
          <w:sz w:val="19"/>
          <w:szCs w:val="19"/>
          <w:lang w:val="en-US"/>
        </w:rPr>
        <w:t>.</w:t>
      </w:r>
    </w:p>
    <w:p w:rsidR="00E566B0" w:rsidRPr="005300DC" w:rsidRDefault="00E566B0" w:rsidP="00E566B0">
      <w:pPr>
        <w:autoSpaceDE w:val="0"/>
        <w:autoSpaceDN w:val="0"/>
        <w:adjustRightInd w:val="0"/>
        <w:spacing w:after="0"/>
        <w:jc w:val="left"/>
        <w:rPr>
          <w:rFonts w:ascii="Arial" w:hAnsi="Arial" w:cs="Arial"/>
          <w:bCs/>
          <w:sz w:val="19"/>
          <w:szCs w:val="19"/>
          <w:lang w:val="en-US"/>
        </w:rPr>
      </w:pPr>
    </w:p>
    <w:p w:rsidR="005723A5"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Pension scheme assets are measured using market values.  Pension scheme liabilities are measured using a projected unit method and discounted at the current rate of return on a high quality corporate bond of equivalent term and currency to the liability.</w:t>
      </w:r>
    </w:p>
    <w:p w:rsidR="00E566B0" w:rsidRPr="005300DC" w:rsidRDefault="00E566B0" w:rsidP="00E566B0">
      <w:pPr>
        <w:autoSpaceDE w:val="0"/>
        <w:autoSpaceDN w:val="0"/>
        <w:adjustRightInd w:val="0"/>
        <w:spacing w:after="0"/>
        <w:jc w:val="left"/>
        <w:rPr>
          <w:rFonts w:ascii="Arial" w:hAnsi="Arial" w:cs="Arial"/>
          <w:bCs/>
          <w:sz w:val="19"/>
          <w:szCs w:val="19"/>
          <w:lang w:val="en-US"/>
        </w:rPr>
      </w:pPr>
    </w:p>
    <w:p w:rsidR="00BE5A6A" w:rsidRPr="005300DC" w:rsidRDefault="005723A5" w:rsidP="00E566B0">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The pension scheme surplus (to the extent it is recoverable) or deficit is recognised in full.  The movement in scheme surplus/deficit is split between operating charges, finance items and, in the statement of total recognised gains and losses, actuarial gains and losses.</w:t>
      </w:r>
    </w:p>
    <w:p w:rsidR="00E566B0" w:rsidRPr="005300DC" w:rsidRDefault="00E566B0" w:rsidP="00E566B0">
      <w:pPr>
        <w:autoSpaceDE w:val="0"/>
        <w:autoSpaceDN w:val="0"/>
        <w:adjustRightInd w:val="0"/>
        <w:spacing w:after="0"/>
        <w:jc w:val="left"/>
        <w:rPr>
          <w:rFonts w:ascii="Arial" w:hAnsi="Arial" w:cs="Arial"/>
          <w:bCs/>
          <w:sz w:val="19"/>
          <w:szCs w:val="19"/>
          <w:lang w:val="en-US"/>
        </w:rPr>
      </w:pPr>
    </w:p>
    <w:p w:rsidR="005723A5" w:rsidRPr="005300DC" w:rsidRDefault="005723A5" w:rsidP="003A1BD9">
      <w:pPr>
        <w:autoSpaceDE w:val="0"/>
        <w:autoSpaceDN w:val="0"/>
        <w:adjustRightInd w:val="0"/>
        <w:jc w:val="left"/>
        <w:rPr>
          <w:rFonts w:ascii="Arial" w:hAnsi="Arial" w:cs="Arial"/>
          <w:b/>
          <w:bCs/>
          <w:szCs w:val="19"/>
          <w:lang w:val="en-US"/>
        </w:rPr>
      </w:pPr>
      <w:r w:rsidRPr="005300DC">
        <w:rPr>
          <w:rFonts w:ascii="Arial" w:hAnsi="Arial" w:cs="Arial"/>
          <w:b/>
          <w:bCs/>
          <w:szCs w:val="19"/>
          <w:lang w:val="en-US"/>
        </w:rPr>
        <w:t>Taxation</w:t>
      </w:r>
    </w:p>
    <w:p w:rsidR="005723A5" w:rsidRPr="005300DC" w:rsidRDefault="005723A5" w:rsidP="00762EF4">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The charge for taxation is based on the result for the year and takes into account taxation deferred because of timing differences between the treatment of certain items for taxation and accounting purposes.</w:t>
      </w:r>
    </w:p>
    <w:p w:rsidR="00BE5A6A" w:rsidRPr="005300DC" w:rsidRDefault="005723A5" w:rsidP="00762EF4">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Deferred tax is recognised, without discounting, in respect of all timing differences between the treatment of certain items for taxation and accounting purposes which have arisen but not reversed by the balance sheet date, except as otherwise required by FRS 19.</w:t>
      </w:r>
    </w:p>
    <w:p w:rsidR="00762EF4" w:rsidRPr="005300DC" w:rsidRDefault="00762EF4" w:rsidP="00762EF4">
      <w:pPr>
        <w:autoSpaceDE w:val="0"/>
        <w:autoSpaceDN w:val="0"/>
        <w:adjustRightInd w:val="0"/>
        <w:spacing w:after="0"/>
        <w:jc w:val="left"/>
        <w:rPr>
          <w:rFonts w:ascii="Arial" w:hAnsi="Arial" w:cs="Arial"/>
          <w:bCs/>
          <w:sz w:val="19"/>
          <w:szCs w:val="19"/>
          <w:lang w:val="en-US"/>
        </w:rPr>
      </w:pPr>
    </w:p>
    <w:p w:rsidR="005723A5" w:rsidRPr="005300DC" w:rsidRDefault="005723A5" w:rsidP="003A1BD9">
      <w:pPr>
        <w:autoSpaceDE w:val="0"/>
        <w:autoSpaceDN w:val="0"/>
        <w:adjustRightInd w:val="0"/>
        <w:jc w:val="left"/>
        <w:rPr>
          <w:rFonts w:ascii="Arial" w:hAnsi="Arial" w:cs="Arial"/>
          <w:b/>
          <w:bCs/>
          <w:szCs w:val="19"/>
          <w:lang w:val="en-US"/>
        </w:rPr>
      </w:pPr>
      <w:r w:rsidRPr="005300DC">
        <w:rPr>
          <w:rFonts w:ascii="Arial" w:hAnsi="Arial" w:cs="Arial"/>
          <w:b/>
          <w:bCs/>
          <w:szCs w:val="19"/>
          <w:lang w:val="en-US"/>
        </w:rPr>
        <w:t>Grants</w:t>
      </w:r>
    </w:p>
    <w:p w:rsidR="005723A5" w:rsidRPr="005300DC" w:rsidRDefault="005723A5" w:rsidP="00762EF4">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Capital grants are included in deferred income in the balance sheet and are credited to the income and expenditure account over the estimated useful lives of the assets to which they relate.</w:t>
      </w:r>
    </w:p>
    <w:p w:rsidR="00762EF4" w:rsidRPr="005300DC" w:rsidRDefault="00762EF4" w:rsidP="00762EF4">
      <w:pPr>
        <w:autoSpaceDE w:val="0"/>
        <w:autoSpaceDN w:val="0"/>
        <w:adjustRightInd w:val="0"/>
        <w:spacing w:after="0"/>
        <w:jc w:val="left"/>
        <w:rPr>
          <w:rFonts w:ascii="Arial" w:hAnsi="Arial" w:cs="Arial"/>
          <w:bCs/>
          <w:sz w:val="19"/>
          <w:szCs w:val="19"/>
          <w:lang w:val="en-US"/>
        </w:rPr>
      </w:pPr>
    </w:p>
    <w:p w:rsidR="005723A5" w:rsidRPr="005300DC" w:rsidRDefault="005723A5" w:rsidP="00762EF4">
      <w:pPr>
        <w:autoSpaceDE w:val="0"/>
        <w:autoSpaceDN w:val="0"/>
        <w:adjustRightInd w:val="0"/>
        <w:spacing w:after="0"/>
        <w:jc w:val="left"/>
        <w:rPr>
          <w:rFonts w:ascii="Arial" w:hAnsi="Arial" w:cs="Arial"/>
          <w:b/>
          <w:bCs/>
          <w:szCs w:val="19"/>
          <w:lang w:val="en-US"/>
        </w:rPr>
      </w:pPr>
      <w:r w:rsidRPr="005300DC">
        <w:rPr>
          <w:rFonts w:ascii="Arial" w:hAnsi="Arial" w:cs="Arial"/>
          <w:b/>
          <w:bCs/>
          <w:szCs w:val="19"/>
          <w:lang w:val="en-US"/>
        </w:rPr>
        <w:t>Turnover</w:t>
      </w:r>
    </w:p>
    <w:p w:rsidR="00762EF4" w:rsidRPr="005300DC" w:rsidRDefault="00762EF4" w:rsidP="00762EF4">
      <w:pPr>
        <w:autoSpaceDE w:val="0"/>
        <w:autoSpaceDN w:val="0"/>
        <w:adjustRightInd w:val="0"/>
        <w:spacing w:after="0"/>
        <w:jc w:val="left"/>
        <w:rPr>
          <w:rFonts w:ascii="Arial" w:hAnsi="Arial" w:cs="Arial"/>
          <w:b/>
          <w:bCs/>
          <w:sz w:val="19"/>
          <w:szCs w:val="19"/>
          <w:lang w:val="en-US"/>
        </w:rPr>
      </w:pPr>
    </w:p>
    <w:p w:rsidR="00BE5A6A" w:rsidRPr="005300DC" w:rsidRDefault="005723A5" w:rsidP="00762EF4">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Turnover represents fees receivable from Northumberland County Council for the management and maintenance of Northumberland County Council’s housing stock.</w:t>
      </w:r>
    </w:p>
    <w:p w:rsidR="00762EF4" w:rsidRPr="005300DC" w:rsidRDefault="00762EF4" w:rsidP="00762EF4">
      <w:pPr>
        <w:autoSpaceDE w:val="0"/>
        <w:autoSpaceDN w:val="0"/>
        <w:adjustRightInd w:val="0"/>
        <w:spacing w:after="0"/>
        <w:jc w:val="left"/>
        <w:rPr>
          <w:rFonts w:ascii="Arial" w:hAnsi="Arial" w:cs="Arial"/>
          <w:bCs/>
          <w:sz w:val="19"/>
          <w:szCs w:val="19"/>
          <w:lang w:val="en-US"/>
        </w:rPr>
      </w:pPr>
    </w:p>
    <w:p w:rsidR="00762EF4" w:rsidRPr="005300DC" w:rsidRDefault="00762EF4" w:rsidP="00762EF4">
      <w:pPr>
        <w:autoSpaceDE w:val="0"/>
        <w:autoSpaceDN w:val="0"/>
        <w:adjustRightInd w:val="0"/>
        <w:spacing w:after="0"/>
        <w:jc w:val="left"/>
        <w:rPr>
          <w:rFonts w:ascii="Arial" w:hAnsi="Arial" w:cs="Arial"/>
          <w:b/>
          <w:bCs/>
          <w:szCs w:val="19"/>
          <w:lang w:val="en-US"/>
        </w:rPr>
      </w:pPr>
      <w:r w:rsidRPr="005300DC">
        <w:rPr>
          <w:rFonts w:ascii="Arial" w:hAnsi="Arial" w:cs="Arial"/>
          <w:b/>
          <w:bCs/>
          <w:szCs w:val="19"/>
          <w:lang w:val="en-US"/>
        </w:rPr>
        <w:t>Cash and Liquid R</w:t>
      </w:r>
      <w:r w:rsidR="005723A5" w:rsidRPr="005300DC">
        <w:rPr>
          <w:rFonts w:ascii="Arial" w:hAnsi="Arial" w:cs="Arial"/>
          <w:b/>
          <w:bCs/>
          <w:szCs w:val="19"/>
          <w:lang w:val="en-US"/>
        </w:rPr>
        <w:t>esources</w:t>
      </w:r>
    </w:p>
    <w:p w:rsidR="00762EF4" w:rsidRPr="005300DC" w:rsidRDefault="00762EF4" w:rsidP="00762EF4">
      <w:pPr>
        <w:autoSpaceDE w:val="0"/>
        <w:autoSpaceDN w:val="0"/>
        <w:adjustRightInd w:val="0"/>
        <w:spacing w:after="0"/>
        <w:jc w:val="left"/>
        <w:rPr>
          <w:rFonts w:ascii="Arial" w:hAnsi="Arial" w:cs="Arial"/>
          <w:b/>
          <w:bCs/>
          <w:szCs w:val="19"/>
          <w:lang w:val="en-US"/>
        </w:rPr>
      </w:pPr>
    </w:p>
    <w:p w:rsidR="005723A5" w:rsidRPr="005300DC" w:rsidRDefault="005723A5" w:rsidP="00762EF4">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 xml:space="preserve">The </w:t>
      </w:r>
      <w:r w:rsidR="00201B4C" w:rsidRPr="005300DC">
        <w:rPr>
          <w:rFonts w:ascii="Arial" w:hAnsi="Arial" w:cs="Arial"/>
          <w:bCs/>
          <w:sz w:val="19"/>
          <w:szCs w:val="19"/>
          <w:lang w:val="en-US"/>
        </w:rPr>
        <w:t>Company</w:t>
      </w:r>
      <w:r w:rsidRPr="005300DC">
        <w:rPr>
          <w:rFonts w:ascii="Arial" w:hAnsi="Arial" w:cs="Arial"/>
          <w:bCs/>
          <w:sz w:val="19"/>
          <w:szCs w:val="19"/>
          <w:lang w:val="en-US"/>
        </w:rPr>
        <w:t xml:space="preserve">’s share of bank balances belonging to Northumberland County Council, which are managed on </w:t>
      </w:r>
      <w:r w:rsidR="00F16068" w:rsidRPr="005300DC">
        <w:rPr>
          <w:rFonts w:ascii="Arial" w:hAnsi="Arial" w:cs="Arial"/>
          <w:bCs/>
          <w:sz w:val="19"/>
          <w:szCs w:val="19"/>
          <w:lang w:val="en-US"/>
        </w:rPr>
        <w:t>its</w:t>
      </w:r>
      <w:r w:rsidRPr="005300DC">
        <w:rPr>
          <w:rFonts w:ascii="Arial" w:hAnsi="Arial" w:cs="Arial"/>
          <w:bCs/>
          <w:sz w:val="19"/>
          <w:szCs w:val="19"/>
          <w:lang w:val="en-US"/>
        </w:rPr>
        <w:t xml:space="preserve"> behalf by Northumberland County Council, are treated as debtors or creditors as appropriate.</w:t>
      </w:r>
    </w:p>
    <w:p w:rsidR="00215CBC" w:rsidRDefault="00215CBC" w:rsidP="00215CBC">
      <w:pPr>
        <w:autoSpaceDE w:val="0"/>
        <w:autoSpaceDN w:val="0"/>
        <w:adjustRightInd w:val="0"/>
        <w:spacing w:after="0"/>
        <w:jc w:val="left"/>
        <w:rPr>
          <w:rFonts w:ascii="Arial" w:hAnsi="Arial" w:cs="Arial"/>
          <w:b/>
          <w:bCs/>
          <w:sz w:val="19"/>
          <w:szCs w:val="19"/>
          <w:lang w:val="en-US"/>
        </w:rPr>
      </w:pPr>
      <w:r>
        <w:rPr>
          <w:rFonts w:ascii="Arial" w:hAnsi="Arial" w:cs="Arial"/>
          <w:b/>
          <w:bCs/>
          <w:sz w:val="19"/>
          <w:szCs w:val="19"/>
          <w:lang w:val="en-US"/>
        </w:rPr>
        <w:lastRenderedPageBreak/>
        <w:t>1 Accounting Policies (continued)</w:t>
      </w:r>
    </w:p>
    <w:p w:rsidR="00215CBC" w:rsidRDefault="00215CBC" w:rsidP="00762EF4">
      <w:pPr>
        <w:autoSpaceDE w:val="0"/>
        <w:autoSpaceDN w:val="0"/>
        <w:adjustRightInd w:val="0"/>
        <w:spacing w:after="0"/>
        <w:jc w:val="left"/>
        <w:rPr>
          <w:rFonts w:ascii="Arial" w:hAnsi="Arial" w:cs="Arial"/>
          <w:b/>
          <w:bCs/>
          <w:szCs w:val="19"/>
          <w:lang w:val="en-US"/>
        </w:rPr>
      </w:pPr>
      <w:r>
        <w:rPr>
          <w:rFonts w:ascii="Arial" w:hAnsi="Arial" w:cs="Arial"/>
          <w:b/>
          <w:bCs/>
          <w:sz w:val="19"/>
          <w:szCs w:val="19"/>
          <w:lang w:val="en-US"/>
        </w:rPr>
        <w:t>Cash and Liquid Resources (continued)</w:t>
      </w:r>
    </w:p>
    <w:p w:rsidR="00215CBC" w:rsidRPr="005300DC" w:rsidRDefault="00215CBC" w:rsidP="00762EF4">
      <w:pPr>
        <w:autoSpaceDE w:val="0"/>
        <w:autoSpaceDN w:val="0"/>
        <w:adjustRightInd w:val="0"/>
        <w:spacing w:after="0"/>
        <w:jc w:val="left"/>
        <w:rPr>
          <w:rFonts w:ascii="Arial" w:hAnsi="Arial" w:cs="Arial"/>
          <w:b/>
          <w:bCs/>
          <w:szCs w:val="19"/>
          <w:lang w:val="en-US"/>
        </w:rPr>
      </w:pPr>
    </w:p>
    <w:p w:rsidR="00BE5A6A" w:rsidRPr="005300DC" w:rsidRDefault="005723A5" w:rsidP="00762EF4">
      <w:pPr>
        <w:autoSpaceDE w:val="0"/>
        <w:autoSpaceDN w:val="0"/>
        <w:adjustRightInd w:val="0"/>
        <w:spacing w:after="0"/>
        <w:jc w:val="left"/>
        <w:rPr>
          <w:rFonts w:ascii="Arial" w:hAnsi="Arial" w:cs="Arial"/>
          <w:sz w:val="19"/>
          <w:szCs w:val="19"/>
        </w:rPr>
      </w:pPr>
      <w:r w:rsidRPr="005300DC">
        <w:rPr>
          <w:rFonts w:ascii="Arial" w:hAnsi="Arial" w:cs="Arial"/>
          <w:sz w:val="19"/>
          <w:szCs w:val="19"/>
        </w:rPr>
        <w:t>Homes for Northumberland</w:t>
      </w:r>
      <w:r w:rsidR="00215CBC">
        <w:rPr>
          <w:rFonts w:ascii="Arial" w:hAnsi="Arial" w:cs="Arial"/>
          <w:sz w:val="19"/>
          <w:szCs w:val="19"/>
        </w:rPr>
        <w:t xml:space="preserve"> Limited</w:t>
      </w:r>
      <w:r w:rsidRPr="005300DC">
        <w:rPr>
          <w:rFonts w:ascii="Arial" w:hAnsi="Arial" w:cs="Arial"/>
          <w:sz w:val="19"/>
          <w:szCs w:val="19"/>
        </w:rPr>
        <w:t xml:space="preserve"> has taken advantage of an exemption, under FRS1, from the </w:t>
      </w:r>
      <w:r w:rsidR="00322CF4" w:rsidRPr="005300DC">
        <w:rPr>
          <w:rFonts w:ascii="Arial" w:hAnsi="Arial" w:cs="Arial"/>
          <w:sz w:val="19"/>
          <w:szCs w:val="19"/>
        </w:rPr>
        <w:t>requirement</w:t>
      </w:r>
      <w:r w:rsidRPr="005300DC">
        <w:rPr>
          <w:rFonts w:ascii="Arial" w:hAnsi="Arial" w:cs="Arial"/>
          <w:sz w:val="19"/>
          <w:szCs w:val="19"/>
        </w:rPr>
        <w:t xml:space="preserve"> to prepare a cash flow statement. This exemption is available to subsidiary companies where the parent organisation, in this case Northumberland County Council, prepares a consolidated cash flow statement</w:t>
      </w:r>
      <w:r w:rsidR="00BE5A6A" w:rsidRPr="005300DC">
        <w:rPr>
          <w:rFonts w:ascii="Arial" w:hAnsi="Arial" w:cs="Arial"/>
          <w:sz w:val="19"/>
          <w:szCs w:val="19"/>
        </w:rPr>
        <w:t>.</w:t>
      </w:r>
    </w:p>
    <w:p w:rsidR="00762EF4" w:rsidRPr="005300DC" w:rsidRDefault="00762EF4" w:rsidP="00762EF4">
      <w:pPr>
        <w:autoSpaceDE w:val="0"/>
        <w:autoSpaceDN w:val="0"/>
        <w:adjustRightInd w:val="0"/>
        <w:spacing w:after="0"/>
        <w:jc w:val="left"/>
        <w:rPr>
          <w:rFonts w:ascii="Arial" w:hAnsi="Arial" w:cs="Arial"/>
          <w:sz w:val="19"/>
          <w:szCs w:val="19"/>
        </w:rPr>
      </w:pPr>
    </w:p>
    <w:p w:rsidR="004A0103" w:rsidRPr="005300DC" w:rsidRDefault="000C3E8F" w:rsidP="003A1BD9">
      <w:pPr>
        <w:pStyle w:val="NormalIndent"/>
        <w:ind w:left="0"/>
        <w:jc w:val="left"/>
        <w:rPr>
          <w:rFonts w:ascii="Arial" w:hAnsi="Arial" w:cs="Arial"/>
          <w:b/>
          <w:szCs w:val="19"/>
          <w:lang w:val="en-US"/>
        </w:rPr>
      </w:pPr>
      <w:r w:rsidRPr="005300DC">
        <w:rPr>
          <w:rFonts w:ascii="Arial" w:hAnsi="Arial" w:cs="Arial"/>
          <w:b/>
          <w:szCs w:val="19"/>
          <w:lang w:val="en-US"/>
        </w:rPr>
        <w:t>Leases</w:t>
      </w:r>
    </w:p>
    <w:p w:rsidR="00FC1015" w:rsidRPr="005300DC" w:rsidRDefault="00FC1015" w:rsidP="00762EF4">
      <w:pPr>
        <w:pStyle w:val="NormalIndent"/>
        <w:spacing w:after="0"/>
        <w:ind w:left="0"/>
        <w:jc w:val="left"/>
        <w:rPr>
          <w:rFonts w:ascii="Arial" w:hAnsi="Arial" w:cs="Arial"/>
          <w:sz w:val="19"/>
          <w:szCs w:val="19"/>
        </w:rPr>
      </w:pPr>
      <w:r w:rsidRPr="005300DC">
        <w:rPr>
          <w:rFonts w:ascii="Arial" w:hAnsi="Arial" w:cs="Arial"/>
          <w:sz w:val="19"/>
          <w:szCs w:val="19"/>
        </w:rPr>
        <w:t>Rentals under operating leases are charged on a straight-line basis over the lease term, even if the payments are not made on such a basis.  Benefits received and receivable as an incentive to sign an operating lease are similarly spread on a straight-line basis over the lease term, except where the period to the review date on which the rent is first expected to be adjusted to the prevailing market rate is shorter than the full lease term, in which case the shorter period is used.</w:t>
      </w:r>
    </w:p>
    <w:p w:rsidR="00762EF4" w:rsidRPr="005300DC" w:rsidRDefault="00762EF4" w:rsidP="00762EF4">
      <w:pPr>
        <w:pStyle w:val="NormalIndent"/>
        <w:spacing w:after="0"/>
        <w:ind w:left="0"/>
        <w:jc w:val="left"/>
        <w:rPr>
          <w:rFonts w:ascii="Arial" w:hAnsi="Arial" w:cs="Arial"/>
          <w:sz w:val="19"/>
          <w:szCs w:val="19"/>
        </w:rPr>
      </w:pPr>
    </w:p>
    <w:p w:rsidR="000C3E8F" w:rsidRPr="005300DC" w:rsidRDefault="00762EF4" w:rsidP="00762EF4">
      <w:pPr>
        <w:pStyle w:val="NormalIndent"/>
        <w:spacing w:after="0"/>
        <w:ind w:left="0"/>
        <w:jc w:val="left"/>
        <w:rPr>
          <w:rFonts w:ascii="Arial" w:hAnsi="Arial" w:cs="Arial"/>
          <w:b/>
          <w:szCs w:val="19"/>
          <w:lang w:val="en-US"/>
        </w:rPr>
      </w:pPr>
      <w:r w:rsidRPr="005300DC">
        <w:rPr>
          <w:rFonts w:ascii="Arial" w:hAnsi="Arial" w:cs="Arial"/>
          <w:b/>
          <w:szCs w:val="19"/>
          <w:lang w:val="en-US"/>
        </w:rPr>
        <w:t>Borrowing C</w:t>
      </w:r>
      <w:r w:rsidR="000C3E8F" w:rsidRPr="005300DC">
        <w:rPr>
          <w:rFonts w:ascii="Arial" w:hAnsi="Arial" w:cs="Arial"/>
          <w:b/>
          <w:szCs w:val="19"/>
          <w:lang w:val="en-US"/>
        </w:rPr>
        <w:t>osts</w:t>
      </w:r>
    </w:p>
    <w:p w:rsidR="00762EF4" w:rsidRPr="005300DC" w:rsidRDefault="00762EF4" w:rsidP="00762EF4">
      <w:pPr>
        <w:pStyle w:val="NormalIndent"/>
        <w:spacing w:after="0"/>
        <w:ind w:left="0"/>
        <w:jc w:val="left"/>
        <w:rPr>
          <w:rFonts w:ascii="Arial" w:hAnsi="Arial" w:cs="Arial"/>
          <w:b/>
          <w:szCs w:val="19"/>
          <w:lang w:val="en-US"/>
        </w:rPr>
      </w:pPr>
    </w:p>
    <w:p w:rsidR="000C3E8F" w:rsidRPr="005300DC" w:rsidRDefault="00F63CE7" w:rsidP="00762EF4">
      <w:pPr>
        <w:pStyle w:val="NormalIndent"/>
        <w:spacing w:after="0"/>
        <w:ind w:left="0"/>
        <w:jc w:val="left"/>
        <w:rPr>
          <w:rFonts w:ascii="Arial" w:hAnsi="Arial" w:cs="Arial"/>
          <w:sz w:val="19"/>
          <w:szCs w:val="19"/>
        </w:rPr>
      </w:pPr>
      <w:r w:rsidRPr="005300DC">
        <w:rPr>
          <w:rFonts w:ascii="Arial" w:hAnsi="Arial" w:cs="Arial"/>
          <w:sz w:val="19"/>
          <w:szCs w:val="19"/>
        </w:rPr>
        <w:t>The f</w:t>
      </w:r>
      <w:r w:rsidR="00FC1015" w:rsidRPr="005300DC">
        <w:rPr>
          <w:rFonts w:ascii="Arial" w:hAnsi="Arial" w:cs="Arial"/>
          <w:sz w:val="19"/>
          <w:szCs w:val="19"/>
        </w:rPr>
        <w:t>inance costs of financial liabilities are recognised in the profit and loss account over the term of such instruments at a constant rate on the carrying amount.</w:t>
      </w:r>
    </w:p>
    <w:p w:rsidR="00762EF4" w:rsidRPr="005300DC" w:rsidRDefault="00762EF4" w:rsidP="00762EF4">
      <w:pPr>
        <w:pStyle w:val="NormalIndent"/>
        <w:spacing w:after="0"/>
        <w:ind w:left="0"/>
        <w:jc w:val="left"/>
        <w:rPr>
          <w:rFonts w:ascii="Arial" w:hAnsi="Arial" w:cs="Arial"/>
          <w:b/>
          <w:sz w:val="19"/>
          <w:szCs w:val="19"/>
          <w:lang w:val="en-US"/>
        </w:rPr>
      </w:pPr>
    </w:p>
    <w:p w:rsidR="000C3E8F" w:rsidRPr="005300DC" w:rsidRDefault="000C3E8F" w:rsidP="00762EF4">
      <w:pPr>
        <w:pStyle w:val="NormalIndent"/>
        <w:spacing w:after="0"/>
        <w:ind w:left="0"/>
        <w:jc w:val="left"/>
        <w:rPr>
          <w:rFonts w:ascii="Arial" w:hAnsi="Arial" w:cs="Arial"/>
          <w:b/>
          <w:szCs w:val="19"/>
          <w:lang w:val="en-US"/>
        </w:rPr>
      </w:pPr>
      <w:r w:rsidRPr="005300DC">
        <w:rPr>
          <w:rFonts w:ascii="Arial" w:hAnsi="Arial" w:cs="Arial"/>
          <w:b/>
          <w:szCs w:val="19"/>
          <w:lang w:val="en-US"/>
        </w:rPr>
        <w:t>Borrowing</w:t>
      </w:r>
    </w:p>
    <w:p w:rsidR="00762EF4" w:rsidRPr="005300DC" w:rsidRDefault="00762EF4" w:rsidP="00762EF4">
      <w:pPr>
        <w:pStyle w:val="NormalIndent"/>
        <w:spacing w:after="0"/>
        <w:ind w:left="0"/>
        <w:jc w:val="left"/>
        <w:rPr>
          <w:rFonts w:ascii="Arial" w:hAnsi="Arial" w:cs="Arial"/>
          <w:b/>
          <w:sz w:val="19"/>
          <w:szCs w:val="19"/>
          <w:lang w:val="en-US"/>
        </w:rPr>
      </w:pPr>
    </w:p>
    <w:p w:rsidR="00FC1015" w:rsidRPr="00070D17" w:rsidRDefault="00FC1015" w:rsidP="00762EF4">
      <w:pPr>
        <w:spacing w:after="0"/>
        <w:jc w:val="left"/>
        <w:rPr>
          <w:rFonts w:ascii="Arial" w:hAnsi="Arial" w:cs="Arial"/>
          <w:sz w:val="19"/>
          <w:szCs w:val="19"/>
        </w:rPr>
      </w:pPr>
      <w:r w:rsidRPr="005300DC">
        <w:rPr>
          <w:rFonts w:ascii="Arial" w:hAnsi="Arial" w:cs="Arial"/>
          <w:sz w:val="19"/>
          <w:szCs w:val="19"/>
        </w:rPr>
        <w:t>Interest-bearing loans are recorded a</w:t>
      </w:r>
      <w:r w:rsidR="00F63CE7" w:rsidRPr="005300DC">
        <w:rPr>
          <w:rFonts w:ascii="Arial" w:hAnsi="Arial" w:cs="Arial"/>
          <w:sz w:val="19"/>
          <w:szCs w:val="19"/>
        </w:rPr>
        <w:t>s</w:t>
      </w:r>
      <w:r w:rsidRPr="005300DC">
        <w:rPr>
          <w:rFonts w:ascii="Arial" w:hAnsi="Arial" w:cs="Arial"/>
          <w:sz w:val="19"/>
          <w:szCs w:val="19"/>
        </w:rPr>
        <w:t xml:space="preserve"> the proceeds recei</w:t>
      </w:r>
      <w:r w:rsidR="00762EF4" w:rsidRPr="005300DC">
        <w:rPr>
          <w:rFonts w:ascii="Arial" w:hAnsi="Arial" w:cs="Arial"/>
          <w:sz w:val="19"/>
          <w:szCs w:val="19"/>
        </w:rPr>
        <w:t xml:space="preserve">ved, net of direct issue costs.  </w:t>
      </w:r>
      <w:r w:rsidRPr="005300DC">
        <w:rPr>
          <w:rFonts w:ascii="Arial" w:hAnsi="Arial" w:cs="Arial"/>
          <w:sz w:val="19"/>
          <w:szCs w:val="19"/>
        </w:rPr>
        <w:t>Finance charges, including premiums payable on settlement or redemption and direct issue costs, are accounted for on an accruals basis in the profit or loss account using the effective interest method and are added to the carrying amount of the instrument to the extent that they are not settled in the period in which they arise.</w:t>
      </w:r>
    </w:p>
    <w:p w:rsidR="000C3E8F" w:rsidRDefault="000C3E8F" w:rsidP="003A1BD9">
      <w:pPr>
        <w:pStyle w:val="NormalIndent"/>
        <w:ind w:left="0"/>
        <w:jc w:val="left"/>
        <w:rPr>
          <w:rFonts w:ascii="Arial" w:hAnsi="Arial" w:cs="Arial"/>
          <w:b/>
          <w:sz w:val="19"/>
          <w:szCs w:val="19"/>
        </w:rPr>
      </w:pPr>
    </w:p>
    <w:p w:rsidR="00215CBC" w:rsidRDefault="00215CBC" w:rsidP="00215CBC">
      <w:pPr>
        <w:pStyle w:val="NormalIndent"/>
        <w:spacing w:after="0"/>
        <w:ind w:left="0"/>
        <w:jc w:val="left"/>
        <w:rPr>
          <w:rFonts w:ascii="Arial" w:hAnsi="Arial" w:cs="Arial"/>
          <w:b/>
          <w:szCs w:val="19"/>
          <w:lang w:val="en-US"/>
        </w:rPr>
      </w:pPr>
      <w:r>
        <w:rPr>
          <w:rFonts w:ascii="Arial" w:hAnsi="Arial" w:cs="Arial"/>
          <w:b/>
          <w:szCs w:val="19"/>
          <w:lang w:val="en-US"/>
        </w:rPr>
        <w:t>Other Income Recognition</w:t>
      </w:r>
    </w:p>
    <w:p w:rsidR="00215CBC" w:rsidRDefault="00215CBC" w:rsidP="00215CBC">
      <w:pPr>
        <w:pStyle w:val="NormalIndent"/>
        <w:spacing w:after="0"/>
        <w:ind w:left="0"/>
        <w:jc w:val="left"/>
        <w:rPr>
          <w:rFonts w:ascii="Arial" w:hAnsi="Arial" w:cs="Arial"/>
          <w:b/>
          <w:szCs w:val="19"/>
          <w:lang w:val="en-US"/>
        </w:rPr>
      </w:pPr>
    </w:p>
    <w:p w:rsidR="00215CBC" w:rsidRDefault="00215CBC" w:rsidP="00215CBC">
      <w:pPr>
        <w:autoSpaceDE w:val="0"/>
        <w:autoSpaceDN w:val="0"/>
        <w:adjustRightInd w:val="0"/>
        <w:spacing w:after="0"/>
        <w:rPr>
          <w:rFonts w:ascii="Arial" w:hAnsi="Arial" w:cs="Arial"/>
          <w:color w:val="000000"/>
          <w:sz w:val="19"/>
          <w:szCs w:val="19"/>
        </w:rPr>
      </w:pPr>
      <w:r w:rsidRPr="00215CBC">
        <w:rPr>
          <w:rFonts w:ascii="Arial" w:hAnsi="Arial" w:cs="Arial"/>
          <w:color w:val="000000"/>
          <w:sz w:val="19"/>
          <w:szCs w:val="19"/>
        </w:rPr>
        <w:t>Sales comprise the fair value of the consideration received or receivable for the sale of</w:t>
      </w:r>
      <w:r>
        <w:rPr>
          <w:rFonts w:ascii="Arial" w:hAnsi="Arial" w:cs="Arial"/>
          <w:color w:val="000000"/>
          <w:sz w:val="19"/>
          <w:szCs w:val="19"/>
        </w:rPr>
        <w:t xml:space="preserve"> </w:t>
      </w:r>
      <w:r w:rsidRPr="00215CBC">
        <w:rPr>
          <w:rFonts w:ascii="Arial" w:hAnsi="Arial" w:cs="Arial"/>
          <w:color w:val="000000"/>
          <w:sz w:val="19"/>
          <w:szCs w:val="19"/>
        </w:rPr>
        <w:t>goods and rendering of services in the ordinary course of the Group’s activities. Sales</w:t>
      </w:r>
      <w:r>
        <w:rPr>
          <w:rFonts w:ascii="Arial" w:hAnsi="Arial" w:cs="Arial"/>
          <w:color w:val="000000"/>
          <w:sz w:val="19"/>
          <w:szCs w:val="19"/>
        </w:rPr>
        <w:t xml:space="preserve"> </w:t>
      </w:r>
      <w:r w:rsidRPr="00215CBC">
        <w:rPr>
          <w:rFonts w:ascii="Arial" w:hAnsi="Arial" w:cs="Arial"/>
          <w:color w:val="000000"/>
          <w:sz w:val="19"/>
          <w:szCs w:val="19"/>
        </w:rPr>
        <w:t>are presented, net of value-added tax, rebates and discounts, and after eliminating</w:t>
      </w:r>
      <w:r>
        <w:rPr>
          <w:rFonts w:ascii="Arial" w:hAnsi="Arial" w:cs="Arial"/>
          <w:color w:val="000000"/>
          <w:sz w:val="19"/>
          <w:szCs w:val="19"/>
        </w:rPr>
        <w:t xml:space="preserve"> </w:t>
      </w:r>
      <w:r w:rsidRPr="00215CBC">
        <w:rPr>
          <w:rFonts w:ascii="Arial" w:hAnsi="Arial" w:cs="Arial"/>
          <w:color w:val="000000"/>
          <w:sz w:val="19"/>
          <w:szCs w:val="19"/>
        </w:rPr>
        <w:t>sales within the Group.</w:t>
      </w:r>
    </w:p>
    <w:p w:rsidR="00215CBC" w:rsidRPr="00215CBC" w:rsidRDefault="00215CBC" w:rsidP="00215CBC">
      <w:pPr>
        <w:autoSpaceDE w:val="0"/>
        <w:autoSpaceDN w:val="0"/>
        <w:adjustRightInd w:val="0"/>
        <w:spacing w:after="0"/>
        <w:rPr>
          <w:rFonts w:ascii="Arial" w:hAnsi="Arial" w:cs="Arial"/>
          <w:color w:val="000000"/>
          <w:sz w:val="19"/>
          <w:szCs w:val="19"/>
        </w:rPr>
      </w:pPr>
    </w:p>
    <w:p w:rsidR="00215CBC" w:rsidRDefault="00215CBC" w:rsidP="00215CBC">
      <w:pPr>
        <w:autoSpaceDE w:val="0"/>
        <w:autoSpaceDN w:val="0"/>
        <w:adjustRightInd w:val="0"/>
        <w:spacing w:after="0"/>
        <w:rPr>
          <w:rFonts w:ascii="Arial" w:hAnsi="Arial" w:cs="Arial"/>
          <w:color w:val="000000"/>
          <w:sz w:val="19"/>
          <w:szCs w:val="19"/>
        </w:rPr>
      </w:pPr>
      <w:r w:rsidRPr="00215CBC">
        <w:rPr>
          <w:rFonts w:ascii="Arial" w:hAnsi="Arial" w:cs="Arial"/>
          <w:color w:val="000000"/>
          <w:sz w:val="19"/>
          <w:szCs w:val="19"/>
        </w:rPr>
        <w:t>The Group recognises revenue when the amount of revenue and related cost can be</w:t>
      </w:r>
      <w:r>
        <w:rPr>
          <w:rFonts w:ascii="Arial" w:hAnsi="Arial" w:cs="Arial"/>
          <w:color w:val="000000"/>
          <w:sz w:val="19"/>
          <w:szCs w:val="19"/>
        </w:rPr>
        <w:t xml:space="preserve"> </w:t>
      </w:r>
      <w:r w:rsidRPr="00215CBC">
        <w:rPr>
          <w:rFonts w:ascii="Arial" w:hAnsi="Arial" w:cs="Arial"/>
          <w:color w:val="000000"/>
          <w:sz w:val="19"/>
          <w:szCs w:val="19"/>
        </w:rPr>
        <w:t>reliably measured, it is probable that the collectability of the related receivables is</w:t>
      </w:r>
      <w:r>
        <w:rPr>
          <w:rFonts w:ascii="Arial" w:hAnsi="Arial" w:cs="Arial"/>
          <w:color w:val="000000"/>
          <w:sz w:val="19"/>
          <w:szCs w:val="19"/>
        </w:rPr>
        <w:t xml:space="preserve"> </w:t>
      </w:r>
      <w:r w:rsidRPr="00215CBC">
        <w:rPr>
          <w:rFonts w:ascii="Arial" w:hAnsi="Arial" w:cs="Arial"/>
          <w:color w:val="000000"/>
          <w:sz w:val="19"/>
          <w:szCs w:val="19"/>
        </w:rPr>
        <w:t>reasonably assured and when the specific criteria for each of the Group’s activities are</w:t>
      </w:r>
      <w:r>
        <w:rPr>
          <w:rFonts w:ascii="Arial" w:hAnsi="Arial" w:cs="Arial"/>
          <w:color w:val="000000"/>
          <w:sz w:val="19"/>
          <w:szCs w:val="19"/>
        </w:rPr>
        <w:t xml:space="preserve"> met.</w:t>
      </w:r>
    </w:p>
    <w:p w:rsidR="00215CBC" w:rsidRDefault="00215CBC" w:rsidP="00215CBC">
      <w:pPr>
        <w:autoSpaceDE w:val="0"/>
        <w:autoSpaceDN w:val="0"/>
        <w:adjustRightInd w:val="0"/>
        <w:spacing w:after="0"/>
        <w:rPr>
          <w:rFonts w:ascii="Arial" w:hAnsi="Arial" w:cs="Arial"/>
          <w:color w:val="000000"/>
          <w:sz w:val="19"/>
          <w:szCs w:val="19"/>
        </w:rPr>
      </w:pPr>
    </w:p>
    <w:p w:rsidR="00D229FC" w:rsidRDefault="00D229FC" w:rsidP="00215CBC">
      <w:pPr>
        <w:autoSpaceDE w:val="0"/>
        <w:autoSpaceDN w:val="0"/>
        <w:adjustRightInd w:val="0"/>
        <w:spacing w:after="0"/>
        <w:rPr>
          <w:rFonts w:ascii="Arial" w:hAnsi="Arial" w:cs="Arial"/>
          <w:b/>
          <w:color w:val="000000"/>
          <w:sz w:val="19"/>
          <w:szCs w:val="19"/>
        </w:rPr>
      </w:pPr>
      <w:r w:rsidRPr="00D229FC">
        <w:rPr>
          <w:rFonts w:ascii="Arial" w:hAnsi="Arial" w:cs="Arial"/>
          <w:b/>
          <w:color w:val="000000"/>
          <w:sz w:val="19"/>
          <w:szCs w:val="19"/>
        </w:rPr>
        <w:t>Related Party Transactions</w:t>
      </w:r>
    </w:p>
    <w:p w:rsidR="00D229FC" w:rsidRPr="00D229FC" w:rsidRDefault="00D229FC" w:rsidP="00215CBC">
      <w:pPr>
        <w:autoSpaceDE w:val="0"/>
        <w:autoSpaceDN w:val="0"/>
        <w:adjustRightInd w:val="0"/>
        <w:spacing w:after="0"/>
        <w:rPr>
          <w:rFonts w:ascii="Arial" w:hAnsi="Arial" w:cs="Arial"/>
          <w:color w:val="000000"/>
          <w:sz w:val="19"/>
          <w:szCs w:val="19"/>
        </w:rPr>
      </w:pPr>
      <w:r w:rsidRPr="00D229FC">
        <w:rPr>
          <w:rFonts w:ascii="Arial" w:hAnsi="Arial" w:cs="Arial"/>
          <w:color w:val="000000"/>
          <w:sz w:val="19"/>
          <w:szCs w:val="19"/>
        </w:rPr>
        <w:t>Homes for Northumberland have adopted the</w:t>
      </w:r>
      <w:r>
        <w:rPr>
          <w:rFonts w:ascii="Arial" w:hAnsi="Arial" w:cs="Arial"/>
          <w:color w:val="000000"/>
          <w:sz w:val="19"/>
          <w:szCs w:val="19"/>
        </w:rPr>
        <w:t xml:space="preserve"> F</w:t>
      </w:r>
      <w:r w:rsidRPr="00D229FC">
        <w:rPr>
          <w:rFonts w:ascii="Arial" w:hAnsi="Arial" w:cs="Arial"/>
          <w:color w:val="000000"/>
          <w:sz w:val="19"/>
          <w:szCs w:val="19"/>
        </w:rPr>
        <w:t xml:space="preserve">RS </w:t>
      </w:r>
      <w:r>
        <w:rPr>
          <w:rFonts w:ascii="Arial" w:hAnsi="Arial" w:cs="Arial"/>
          <w:color w:val="000000"/>
          <w:sz w:val="19"/>
          <w:szCs w:val="19"/>
        </w:rPr>
        <w:t xml:space="preserve">8 (paragraph 3) </w:t>
      </w:r>
      <w:r w:rsidRPr="00D229FC">
        <w:rPr>
          <w:rFonts w:ascii="Arial" w:hAnsi="Arial" w:cs="Arial"/>
          <w:color w:val="000000"/>
          <w:sz w:val="19"/>
          <w:szCs w:val="19"/>
        </w:rPr>
        <w:t>exemption for disclosure of related parties as consolidated accounts are prepared by Northumberland Coun</w:t>
      </w:r>
      <w:r>
        <w:rPr>
          <w:rFonts w:ascii="Arial" w:hAnsi="Arial" w:cs="Arial"/>
          <w:color w:val="000000"/>
          <w:sz w:val="19"/>
          <w:szCs w:val="19"/>
        </w:rPr>
        <w:t>t</w:t>
      </w:r>
      <w:r w:rsidRPr="00D229FC">
        <w:rPr>
          <w:rFonts w:ascii="Arial" w:hAnsi="Arial" w:cs="Arial"/>
          <w:color w:val="000000"/>
          <w:sz w:val="19"/>
          <w:szCs w:val="19"/>
        </w:rPr>
        <w:t>y Council.</w:t>
      </w:r>
    </w:p>
    <w:p w:rsidR="00762EF4" w:rsidRDefault="00581681" w:rsidP="00B91AE5">
      <w:pPr>
        <w:pStyle w:val="Heading1"/>
        <w:numPr>
          <w:ilvl w:val="0"/>
          <w:numId w:val="0"/>
        </w:numPr>
        <w:spacing w:before="0" w:after="0"/>
        <w:jc w:val="both"/>
        <w:rPr>
          <w:rFonts w:ascii="Arial" w:hAnsi="Arial" w:cs="Arial"/>
          <w:caps w:val="0"/>
          <w:sz w:val="24"/>
          <w:szCs w:val="19"/>
        </w:rPr>
      </w:pPr>
      <w:bookmarkStart w:id="9" w:name="_Toc390775315"/>
      <w:r w:rsidRPr="00762EF4">
        <w:rPr>
          <w:rFonts w:ascii="Arial" w:hAnsi="Arial" w:cs="Arial"/>
          <w:sz w:val="24"/>
          <w:szCs w:val="19"/>
        </w:rPr>
        <w:lastRenderedPageBreak/>
        <w:t xml:space="preserve">2 </w:t>
      </w:r>
      <w:r w:rsidRPr="00762EF4">
        <w:rPr>
          <w:rFonts w:ascii="Arial" w:hAnsi="Arial" w:cs="Arial"/>
          <w:sz w:val="24"/>
          <w:szCs w:val="19"/>
        </w:rPr>
        <w:tab/>
      </w:r>
      <w:r w:rsidR="00762EF4">
        <w:rPr>
          <w:rFonts w:ascii="Arial" w:hAnsi="Arial" w:cs="Arial"/>
          <w:caps w:val="0"/>
          <w:sz w:val="24"/>
          <w:szCs w:val="19"/>
        </w:rPr>
        <w:t>Analysis of Turnover a</w:t>
      </w:r>
      <w:r w:rsidR="00762EF4" w:rsidRPr="00762EF4">
        <w:rPr>
          <w:rFonts w:ascii="Arial" w:hAnsi="Arial" w:cs="Arial"/>
          <w:caps w:val="0"/>
          <w:sz w:val="24"/>
          <w:szCs w:val="19"/>
        </w:rPr>
        <w:t>nd Operating Surplus</w:t>
      </w:r>
      <w:bookmarkEnd w:id="9"/>
    </w:p>
    <w:tbl>
      <w:tblPr>
        <w:tblW w:w="9498" w:type="dxa"/>
        <w:tblInd w:w="28" w:type="dxa"/>
        <w:tblLayout w:type="fixed"/>
        <w:tblCellMar>
          <w:left w:w="28" w:type="dxa"/>
          <w:right w:w="28" w:type="dxa"/>
        </w:tblCellMar>
        <w:tblLook w:val="0000" w:firstRow="0" w:lastRow="0" w:firstColumn="0" w:lastColumn="0" w:noHBand="0" w:noVBand="0"/>
      </w:tblPr>
      <w:tblGrid>
        <w:gridCol w:w="5308"/>
        <w:gridCol w:w="816"/>
        <w:gridCol w:w="1106"/>
        <w:gridCol w:w="1134"/>
        <w:gridCol w:w="1134"/>
      </w:tblGrid>
      <w:tr w:rsidR="00A45169" w:rsidRPr="00C46A29" w:rsidTr="00762EF4">
        <w:trPr>
          <w:cantSplit/>
        </w:trPr>
        <w:tc>
          <w:tcPr>
            <w:tcW w:w="5308" w:type="dxa"/>
          </w:tcPr>
          <w:p w:rsidR="00A45169" w:rsidRPr="00070D17" w:rsidRDefault="00A45169" w:rsidP="003A1BD9">
            <w:pPr>
              <w:pStyle w:val="Thead"/>
              <w:rPr>
                <w:rFonts w:ascii="Arial" w:hAnsi="Arial" w:cs="Arial"/>
                <w:sz w:val="19"/>
                <w:szCs w:val="19"/>
              </w:rPr>
            </w:pPr>
          </w:p>
        </w:tc>
        <w:tc>
          <w:tcPr>
            <w:tcW w:w="816" w:type="dxa"/>
          </w:tcPr>
          <w:p w:rsidR="00A45169" w:rsidRPr="00070D17" w:rsidRDefault="00A45169" w:rsidP="003A1BD9">
            <w:pPr>
              <w:pStyle w:val="Thead"/>
              <w:rPr>
                <w:rFonts w:ascii="Arial" w:hAnsi="Arial" w:cs="Arial"/>
                <w:sz w:val="19"/>
                <w:szCs w:val="19"/>
              </w:rPr>
            </w:pPr>
          </w:p>
        </w:tc>
        <w:tc>
          <w:tcPr>
            <w:tcW w:w="1106" w:type="dxa"/>
          </w:tcPr>
          <w:p w:rsidR="00A45169" w:rsidRPr="00070D17" w:rsidRDefault="00A45169" w:rsidP="003A1BD9">
            <w:pPr>
              <w:pStyle w:val="Thead"/>
              <w:rPr>
                <w:rFonts w:ascii="Arial" w:hAnsi="Arial" w:cs="Arial"/>
                <w:sz w:val="19"/>
                <w:szCs w:val="19"/>
              </w:rPr>
            </w:pPr>
          </w:p>
        </w:tc>
        <w:tc>
          <w:tcPr>
            <w:tcW w:w="1134" w:type="dxa"/>
          </w:tcPr>
          <w:p w:rsidR="00A45169" w:rsidRPr="00270631" w:rsidRDefault="00BB2A59" w:rsidP="003A1BD9">
            <w:pPr>
              <w:pStyle w:val="Thead"/>
              <w:rPr>
                <w:rFonts w:ascii="Arial" w:hAnsi="Arial" w:cs="Arial"/>
                <w:sz w:val="19"/>
                <w:szCs w:val="19"/>
              </w:rPr>
            </w:pPr>
            <w:r w:rsidRPr="00270631">
              <w:rPr>
                <w:rFonts w:ascii="Arial" w:hAnsi="Arial" w:cs="Arial"/>
                <w:sz w:val="19"/>
                <w:szCs w:val="19"/>
              </w:rPr>
              <w:t>2015</w:t>
            </w:r>
          </w:p>
          <w:p w:rsidR="00A45169" w:rsidRPr="00270631" w:rsidRDefault="00270CEB" w:rsidP="003A1BD9">
            <w:pPr>
              <w:pStyle w:val="Thead"/>
              <w:rPr>
                <w:rFonts w:ascii="Arial" w:hAnsi="Arial" w:cs="Arial"/>
                <w:sz w:val="19"/>
                <w:szCs w:val="19"/>
              </w:rPr>
            </w:pPr>
            <w:r w:rsidRPr="00270631">
              <w:rPr>
                <w:rFonts w:ascii="Arial" w:hAnsi="Arial" w:cs="Arial"/>
                <w:sz w:val="19"/>
                <w:szCs w:val="19"/>
              </w:rPr>
              <w:t>£0</w:t>
            </w:r>
            <w:r w:rsidR="00A45169" w:rsidRPr="00270631">
              <w:rPr>
                <w:rFonts w:ascii="Arial" w:hAnsi="Arial" w:cs="Arial"/>
                <w:sz w:val="19"/>
                <w:szCs w:val="19"/>
              </w:rPr>
              <w:t>00</w:t>
            </w:r>
          </w:p>
        </w:tc>
        <w:tc>
          <w:tcPr>
            <w:tcW w:w="1134" w:type="dxa"/>
          </w:tcPr>
          <w:p w:rsidR="00A45169" w:rsidRPr="00BB2A59" w:rsidRDefault="00BB2A59" w:rsidP="003A1BD9">
            <w:pPr>
              <w:pStyle w:val="Thead"/>
              <w:rPr>
                <w:rFonts w:ascii="Arial" w:hAnsi="Arial" w:cs="Arial"/>
                <w:sz w:val="19"/>
                <w:szCs w:val="19"/>
              </w:rPr>
            </w:pPr>
            <w:r w:rsidRPr="00BB2A59">
              <w:rPr>
                <w:rFonts w:ascii="Arial" w:hAnsi="Arial" w:cs="Arial"/>
                <w:sz w:val="19"/>
                <w:szCs w:val="19"/>
              </w:rPr>
              <w:t>2014</w:t>
            </w:r>
          </w:p>
          <w:p w:rsidR="00A45169" w:rsidRPr="00BB2A59" w:rsidRDefault="00270CEB" w:rsidP="003A1BD9">
            <w:pPr>
              <w:pStyle w:val="Thead"/>
              <w:rPr>
                <w:rFonts w:ascii="Arial" w:hAnsi="Arial" w:cs="Arial"/>
                <w:sz w:val="19"/>
                <w:szCs w:val="19"/>
              </w:rPr>
            </w:pPr>
            <w:r w:rsidRPr="00BB2A59">
              <w:rPr>
                <w:rFonts w:ascii="Arial" w:hAnsi="Arial" w:cs="Arial"/>
                <w:sz w:val="19"/>
                <w:szCs w:val="19"/>
              </w:rPr>
              <w:t>£0</w:t>
            </w:r>
            <w:r w:rsidR="00A45169" w:rsidRPr="00BB2A59">
              <w:rPr>
                <w:rFonts w:ascii="Arial" w:hAnsi="Arial" w:cs="Arial"/>
                <w:sz w:val="19"/>
                <w:szCs w:val="19"/>
              </w:rPr>
              <w:t>00</w:t>
            </w:r>
          </w:p>
        </w:tc>
      </w:tr>
      <w:tr w:rsidR="00A45169" w:rsidRPr="00C46A29" w:rsidTr="00762EF4">
        <w:trPr>
          <w:cantSplit/>
        </w:trPr>
        <w:tc>
          <w:tcPr>
            <w:tcW w:w="5308" w:type="dxa"/>
          </w:tcPr>
          <w:p w:rsidR="00A45169" w:rsidRPr="00BB2A59" w:rsidRDefault="00A45169" w:rsidP="003A1BD9">
            <w:pPr>
              <w:pStyle w:val="Tindent"/>
              <w:rPr>
                <w:rFonts w:ascii="Arial" w:hAnsi="Arial" w:cs="Arial"/>
                <w:b/>
                <w:sz w:val="19"/>
                <w:szCs w:val="19"/>
              </w:rPr>
            </w:pPr>
            <w:r w:rsidRPr="00BB2A59">
              <w:rPr>
                <w:rFonts w:ascii="Arial" w:hAnsi="Arial" w:cs="Arial"/>
                <w:b/>
                <w:sz w:val="19"/>
                <w:szCs w:val="19"/>
              </w:rPr>
              <w:t>Turnover</w:t>
            </w: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270631" w:rsidRDefault="00A45169" w:rsidP="003A1BD9">
            <w:pPr>
              <w:pStyle w:val="Tdec"/>
              <w:rPr>
                <w:rFonts w:ascii="Arial" w:hAnsi="Arial" w:cs="Arial"/>
                <w:sz w:val="19"/>
                <w:szCs w:val="19"/>
              </w:rPr>
            </w:pPr>
          </w:p>
        </w:tc>
        <w:tc>
          <w:tcPr>
            <w:tcW w:w="1134" w:type="dxa"/>
          </w:tcPr>
          <w:p w:rsidR="00A45169" w:rsidRPr="00BB2A59" w:rsidRDefault="00A45169" w:rsidP="003A1BD9">
            <w:pPr>
              <w:pStyle w:val="Tdec"/>
              <w:rPr>
                <w:rFonts w:ascii="Arial" w:hAnsi="Arial" w:cs="Arial"/>
                <w:sz w:val="19"/>
                <w:szCs w:val="19"/>
              </w:rPr>
            </w:pPr>
          </w:p>
        </w:tc>
      </w:tr>
      <w:tr w:rsidR="00A45169" w:rsidRPr="00C46A29" w:rsidTr="00762EF4">
        <w:trPr>
          <w:cantSplit/>
        </w:trPr>
        <w:tc>
          <w:tcPr>
            <w:tcW w:w="5308" w:type="dxa"/>
          </w:tcPr>
          <w:p w:rsidR="00A45169" w:rsidRPr="00BB2A59" w:rsidRDefault="00A45169" w:rsidP="003A1BD9">
            <w:pPr>
              <w:pStyle w:val="Tindent"/>
              <w:rPr>
                <w:rFonts w:ascii="Arial" w:hAnsi="Arial" w:cs="Arial"/>
                <w:sz w:val="19"/>
                <w:szCs w:val="19"/>
              </w:rPr>
            </w:pPr>
            <w:r w:rsidRPr="00BB2A59">
              <w:rPr>
                <w:rFonts w:ascii="Arial" w:hAnsi="Arial" w:cs="Arial"/>
                <w:sz w:val="19"/>
                <w:szCs w:val="19"/>
              </w:rPr>
              <w:t>Management fee</w:t>
            </w: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FA4325" w:rsidP="003A1BD9">
            <w:pPr>
              <w:pStyle w:val="Tdec"/>
              <w:rPr>
                <w:rFonts w:ascii="Arial" w:hAnsi="Arial" w:cs="Arial"/>
                <w:sz w:val="19"/>
                <w:szCs w:val="19"/>
              </w:rPr>
            </w:pPr>
            <w:r w:rsidRPr="00BC2CD5">
              <w:rPr>
                <w:rFonts w:ascii="Arial" w:hAnsi="Arial" w:cs="Arial"/>
                <w:sz w:val="19"/>
                <w:szCs w:val="19"/>
              </w:rPr>
              <w:t>6,</w:t>
            </w:r>
            <w:r w:rsidR="00270631" w:rsidRPr="00BC2CD5">
              <w:rPr>
                <w:rFonts w:ascii="Arial" w:hAnsi="Arial" w:cs="Arial"/>
                <w:sz w:val="19"/>
                <w:szCs w:val="19"/>
              </w:rPr>
              <w:t>668</w:t>
            </w:r>
          </w:p>
        </w:tc>
        <w:tc>
          <w:tcPr>
            <w:tcW w:w="1134" w:type="dxa"/>
          </w:tcPr>
          <w:p w:rsidR="00A45169" w:rsidRPr="00BB2A59" w:rsidRDefault="00A45169" w:rsidP="003A1BD9">
            <w:pPr>
              <w:pStyle w:val="Tdec"/>
              <w:rPr>
                <w:rFonts w:ascii="Arial" w:hAnsi="Arial" w:cs="Arial"/>
                <w:sz w:val="19"/>
                <w:szCs w:val="19"/>
              </w:rPr>
            </w:pPr>
            <w:r w:rsidRPr="00BB2A59">
              <w:rPr>
                <w:rFonts w:ascii="Arial" w:hAnsi="Arial" w:cs="Arial"/>
                <w:sz w:val="19"/>
                <w:szCs w:val="19"/>
              </w:rPr>
              <w:t>6,4</w:t>
            </w:r>
            <w:r w:rsidR="00BB2A59" w:rsidRPr="00BB2A59">
              <w:rPr>
                <w:rFonts w:ascii="Arial" w:hAnsi="Arial" w:cs="Arial"/>
                <w:sz w:val="19"/>
                <w:szCs w:val="19"/>
              </w:rPr>
              <w:t>74</w:t>
            </w:r>
          </w:p>
        </w:tc>
      </w:tr>
      <w:tr w:rsidR="00A45169" w:rsidRPr="00C46A29" w:rsidTr="00762EF4">
        <w:trPr>
          <w:cantSplit/>
        </w:trPr>
        <w:tc>
          <w:tcPr>
            <w:tcW w:w="5308" w:type="dxa"/>
          </w:tcPr>
          <w:p w:rsidR="00A45169" w:rsidRPr="00BB2A59" w:rsidRDefault="00A45169" w:rsidP="003A1BD9">
            <w:pPr>
              <w:pStyle w:val="Tindent"/>
              <w:rPr>
                <w:rFonts w:ascii="Arial" w:hAnsi="Arial" w:cs="Arial"/>
                <w:sz w:val="19"/>
                <w:szCs w:val="19"/>
              </w:rPr>
            </w:pPr>
            <w:r w:rsidRPr="00BB2A59">
              <w:rPr>
                <w:rFonts w:ascii="Arial" w:hAnsi="Arial" w:cs="Arial"/>
                <w:sz w:val="19"/>
                <w:szCs w:val="19"/>
              </w:rPr>
              <w:t>Repairs and maintenance</w:t>
            </w: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FA4325" w:rsidP="003A1BD9">
            <w:pPr>
              <w:pStyle w:val="Tdec"/>
              <w:rPr>
                <w:rFonts w:ascii="Arial" w:hAnsi="Arial" w:cs="Arial"/>
                <w:sz w:val="19"/>
                <w:szCs w:val="19"/>
              </w:rPr>
            </w:pPr>
            <w:r w:rsidRPr="00BC2CD5">
              <w:rPr>
                <w:rFonts w:ascii="Arial" w:hAnsi="Arial" w:cs="Arial"/>
                <w:sz w:val="19"/>
                <w:szCs w:val="19"/>
              </w:rPr>
              <w:t>4,</w:t>
            </w:r>
            <w:r w:rsidR="00270631" w:rsidRPr="00BC2CD5">
              <w:rPr>
                <w:rFonts w:ascii="Arial" w:hAnsi="Arial" w:cs="Arial"/>
                <w:sz w:val="19"/>
                <w:szCs w:val="19"/>
              </w:rPr>
              <w:t>858</w:t>
            </w:r>
          </w:p>
        </w:tc>
        <w:tc>
          <w:tcPr>
            <w:tcW w:w="1134" w:type="dxa"/>
          </w:tcPr>
          <w:p w:rsidR="00A45169" w:rsidRPr="00BB2A59" w:rsidRDefault="00A45169" w:rsidP="003A1BD9">
            <w:pPr>
              <w:pStyle w:val="Tdec"/>
              <w:rPr>
                <w:rFonts w:ascii="Arial" w:hAnsi="Arial" w:cs="Arial"/>
                <w:sz w:val="19"/>
                <w:szCs w:val="19"/>
              </w:rPr>
            </w:pPr>
            <w:r w:rsidRPr="00BB2A59">
              <w:rPr>
                <w:rFonts w:ascii="Arial" w:hAnsi="Arial" w:cs="Arial"/>
                <w:sz w:val="19"/>
                <w:szCs w:val="19"/>
              </w:rPr>
              <w:t>4,716</w:t>
            </w:r>
          </w:p>
        </w:tc>
      </w:tr>
      <w:tr w:rsidR="00A45169" w:rsidRPr="00C46A29" w:rsidTr="00762EF4">
        <w:trPr>
          <w:cantSplit/>
        </w:trPr>
        <w:tc>
          <w:tcPr>
            <w:tcW w:w="5308" w:type="dxa"/>
          </w:tcPr>
          <w:p w:rsidR="00A45169" w:rsidRPr="00BB2A59" w:rsidRDefault="00A45169" w:rsidP="003A1BD9">
            <w:pPr>
              <w:pStyle w:val="Tindent"/>
              <w:rPr>
                <w:rFonts w:ascii="Arial" w:hAnsi="Arial" w:cs="Arial"/>
                <w:sz w:val="19"/>
                <w:szCs w:val="19"/>
              </w:rPr>
            </w:pP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A45169" w:rsidP="003A1BD9">
            <w:pPr>
              <w:pStyle w:val="S9"/>
              <w:spacing w:line="240" w:lineRule="auto"/>
              <w:rPr>
                <w:rFonts w:ascii="Arial" w:hAnsi="Arial" w:cs="Arial"/>
                <w:sz w:val="19"/>
                <w:szCs w:val="19"/>
              </w:rPr>
            </w:pPr>
          </w:p>
        </w:tc>
        <w:tc>
          <w:tcPr>
            <w:tcW w:w="1134" w:type="dxa"/>
          </w:tcPr>
          <w:p w:rsidR="00A45169" w:rsidRPr="00BB2A59" w:rsidRDefault="00A45169" w:rsidP="003A1BD9">
            <w:pPr>
              <w:pStyle w:val="S9"/>
              <w:spacing w:line="240" w:lineRule="auto"/>
              <w:rPr>
                <w:rFonts w:ascii="Arial" w:hAnsi="Arial" w:cs="Arial"/>
                <w:sz w:val="19"/>
                <w:szCs w:val="19"/>
              </w:rPr>
            </w:pPr>
          </w:p>
        </w:tc>
      </w:tr>
      <w:tr w:rsidR="00A45169" w:rsidRPr="00C46A29" w:rsidTr="00762EF4">
        <w:trPr>
          <w:cantSplit/>
        </w:trPr>
        <w:tc>
          <w:tcPr>
            <w:tcW w:w="5308" w:type="dxa"/>
          </w:tcPr>
          <w:p w:rsidR="00A45169" w:rsidRPr="00BB2A59" w:rsidRDefault="00A45169" w:rsidP="003A1BD9">
            <w:pPr>
              <w:pStyle w:val="Tindent"/>
              <w:rPr>
                <w:rFonts w:ascii="Arial" w:hAnsi="Arial" w:cs="Arial"/>
                <w:sz w:val="19"/>
                <w:szCs w:val="19"/>
              </w:rPr>
            </w:pP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B6219B" w:rsidP="003A1BD9">
            <w:pPr>
              <w:pStyle w:val="Tdec"/>
              <w:rPr>
                <w:rFonts w:ascii="Arial" w:hAnsi="Arial" w:cs="Arial"/>
                <w:sz w:val="19"/>
                <w:szCs w:val="19"/>
              </w:rPr>
            </w:pPr>
            <w:r w:rsidRPr="00BC2CD5">
              <w:rPr>
                <w:rFonts w:ascii="Arial" w:hAnsi="Arial" w:cs="Arial"/>
                <w:sz w:val="19"/>
                <w:szCs w:val="19"/>
              </w:rPr>
              <w:t>11,</w:t>
            </w:r>
            <w:r w:rsidR="00270631" w:rsidRPr="00BC2CD5">
              <w:rPr>
                <w:rFonts w:ascii="Arial" w:hAnsi="Arial" w:cs="Arial"/>
                <w:sz w:val="19"/>
                <w:szCs w:val="19"/>
              </w:rPr>
              <w:t>526</w:t>
            </w:r>
          </w:p>
        </w:tc>
        <w:tc>
          <w:tcPr>
            <w:tcW w:w="1134" w:type="dxa"/>
          </w:tcPr>
          <w:p w:rsidR="00A45169" w:rsidRPr="00BB2A59" w:rsidRDefault="00A45169" w:rsidP="003A1BD9">
            <w:pPr>
              <w:pStyle w:val="Tdec"/>
              <w:rPr>
                <w:rFonts w:ascii="Arial" w:hAnsi="Arial" w:cs="Arial"/>
                <w:sz w:val="19"/>
                <w:szCs w:val="19"/>
              </w:rPr>
            </w:pPr>
            <w:r w:rsidRPr="00BB2A59">
              <w:rPr>
                <w:rFonts w:ascii="Arial" w:hAnsi="Arial" w:cs="Arial"/>
                <w:sz w:val="19"/>
                <w:szCs w:val="19"/>
              </w:rPr>
              <w:t>11,</w:t>
            </w:r>
            <w:r w:rsidR="00BB2A59" w:rsidRPr="00BB2A59">
              <w:rPr>
                <w:rFonts w:ascii="Arial" w:hAnsi="Arial" w:cs="Arial"/>
                <w:sz w:val="19"/>
                <w:szCs w:val="19"/>
              </w:rPr>
              <w:t>190</w:t>
            </w:r>
          </w:p>
        </w:tc>
      </w:tr>
      <w:tr w:rsidR="00A45169" w:rsidRPr="00C46A29" w:rsidTr="00762EF4">
        <w:trPr>
          <w:cantSplit/>
        </w:trPr>
        <w:tc>
          <w:tcPr>
            <w:tcW w:w="5308" w:type="dxa"/>
          </w:tcPr>
          <w:p w:rsidR="00A45169" w:rsidRPr="00BB2A59" w:rsidRDefault="00A45169" w:rsidP="003A1BD9">
            <w:pPr>
              <w:pStyle w:val="Tindent"/>
              <w:rPr>
                <w:rFonts w:ascii="Arial" w:hAnsi="Arial" w:cs="Arial"/>
                <w:sz w:val="19"/>
                <w:szCs w:val="19"/>
              </w:rPr>
            </w:pP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A45169" w:rsidP="003A1BD9">
            <w:pPr>
              <w:pStyle w:val="D9"/>
              <w:spacing w:line="240" w:lineRule="auto"/>
              <w:rPr>
                <w:rFonts w:ascii="Arial" w:hAnsi="Arial" w:cs="Arial"/>
                <w:sz w:val="19"/>
                <w:szCs w:val="19"/>
              </w:rPr>
            </w:pPr>
          </w:p>
        </w:tc>
        <w:tc>
          <w:tcPr>
            <w:tcW w:w="1134" w:type="dxa"/>
          </w:tcPr>
          <w:p w:rsidR="00A45169" w:rsidRPr="00BB2A59" w:rsidRDefault="00A45169" w:rsidP="003A1BD9">
            <w:pPr>
              <w:pStyle w:val="D9"/>
              <w:spacing w:line="240" w:lineRule="auto"/>
              <w:rPr>
                <w:rFonts w:ascii="Arial" w:hAnsi="Arial" w:cs="Arial"/>
                <w:sz w:val="19"/>
                <w:szCs w:val="19"/>
              </w:rPr>
            </w:pPr>
          </w:p>
        </w:tc>
      </w:tr>
      <w:tr w:rsidR="00A45169" w:rsidRPr="00C46A29" w:rsidTr="00762EF4">
        <w:trPr>
          <w:cantSplit/>
        </w:trPr>
        <w:tc>
          <w:tcPr>
            <w:tcW w:w="5308" w:type="dxa"/>
          </w:tcPr>
          <w:p w:rsidR="00A45169" w:rsidRPr="00BB2A59" w:rsidRDefault="00A45169" w:rsidP="003A1BD9">
            <w:pPr>
              <w:pStyle w:val="Tindent"/>
              <w:rPr>
                <w:rFonts w:ascii="Arial" w:hAnsi="Arial" w:cs="Arial"/>
                <w:b/>
                <w:sz w:val="19"/>
                <w:szCs w:val="19"/>
              </w:rPr>
            </w:pPr>
            <w:r w:rsidRPr="00BB2A59">
              <w:rPr>
                <w:rFonts w:ascii="Arial" w:hAnsi="Arial" w:cs="Arial"/>
                <w:b/>
                <w:sz w:val="19"/>
                <w:szCs w:val="19"/>
              </w:rPr>
              <w:t>Operating costs</w:t>
            </w:r>
          </w:p>
          <w:p w:rsidR="00AF2A52" w:rsidRPr="00BB2A59" w:rsidRDefault="00AF2A52" w:rsidP="003A1BD9">
            <w:pPr>
              <w:pStyle w:val="Tindent"/>
              <w:rPr>
                <w:rFonts w:ascii="Arial" w:hAnsi="Arial" w:cs="Arial"/>
                <w:sz w:val="19"/>
                <w:szCs w:val="19"/>
              </w:rPr>
            </w:pPr>
            <w:r w:rsidRPr="00BB2A59">
              <w:rPr>
                <w:rFonts w:ascii="Arial" w:hAnsi="Arial" w:cs="Arial"/>
                <w:sz w:val="19"/>
                <w:szCs w:val="19"/>
              </w:rPr>
              <w:t>Management of housing stock</w:t>
            </w: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A45169" w:rsidP="003A1BD9">
            <w:pPr>
              <w:pStyle w:val="Tdec"/>
              <w:rPr>
                <w:rFonts w:ascii="Arial" w:hAnsi="Arial" w:cs="Arial"/>
                <w:sz w:val="19"/>
                <w:szCs w:val="19"/>
              </w:rPr>
            </w:pPr>
          </w:p>
          <w:p w:rsidR="00AF2A52" w:rsidRPr="00BC2CD5" w:rsidRDefault="00270631" w:rsidP="003A1BD9">
            <w:pPr>
              <w:pStyle w:val="Tdec"/>
              <w:rPr>
                <w:rFonts w:ascii="Arial" w:hAnsi="Arial" w:cs="Arial"/>
                <w:sz w:val="19"/>
                <w:szCs w:val="19"/>
              </w:rPr>
            </w:pPr>
            <w:r w:rsidRPr="00BC2CD5">
              <w:rPr>
                <w:rFonts w:ascii="Arial" w:hAnsi="Arial" w:cs="Arial"/>
                <w:sz w:val="19"/>
                <w:szCs w:val="19"/>
              </w:rPr>
              <w:t>(6,292</w:t>
            </w:r>
            <w:r w:rsidR="00AF2A52" w:rsidRPr="00BC2CD5">
              <w:rPr>
                <w:rFonts w:ascii="Arial" w:hAnsi="Arial" w:cs="Arial"/>
                <w:sz w:val="19"/>
                <w:szCs w:val="19"/>
              </w:rPr>
              <w:t>)</w:t>
            </w:r>
          </w:p>
        </w:tc>
        <w:tc>
          <w:tcPr>
            <w:tcW w:w="1134" w:type="dxa"/>
          </w:tcPr>
          <w:p w:rsidR="00A45169" w:rsidRPr="00BB2A59" w:rsidRDefault="00A45169" w:rsidP="003A1BD9">
            <w:pPr>
              <w:pStyle w:val="Tdec"/>
              <w:rPr>
                <w:rFonts w:ascii="Arial" w:hAnsi="Arial" w:cs="Arial"/>
                <w:sz w:val="19"/>
                <w:szCs w:val="19"/>
              </w:rPr>
            </w:pPr>
          </w:p>
          <w:p w:rsidR="00AF2A52" w:rsidRPr="00BB2A59" w:rsidRDefault="00BB2A59" w:rsidP="003A1BD9">
            <w:pPr>
              <w:pStyle w:val="Tdec"/>
              <w:rPr>
                <w:rFonts w:ascii="Arial" w:hAnsi="Arial" w:cs="Arial"/>
                <w:sz w:val="19"/>
                <w:szCs w:val="19"/>
              </w:rPr>
            </w:pPr>
            <w:r w:rsidRPr="00BB2A59">
              <w:rPr>
                <w:rFonts w:ascii="Arial" w:hAnsi="Arial" w:cs="Arial"/>
                <w:sz w:val="19"/>
                <w:szCs w:val="19"/>
              </w:rPr>
              <w:t>(6,081</w:t>
            </w:r>
            <w:r w:rsidR="00AF2A52" w:rsidRPr="00BB2A59">
              <w:rPr>
                <w:rFonts w:ascii="Arial" w:hAnsi="Arial" w:cs="Arial"/>
                <w:sz w:val="19"/>
                <w:szCs w:val="19"/>
              </w:rPr>
              <w:t>)</w:t>
            </w:r>
          </w:p>
        </w:tc>
      </w:tr>
      <w:tr w:rsidR="00A45169" w:rsidRPr="00C46A29" w:rsidTr="00762EF4">
        <w:trPr>
          <w:cantSplit/>
        </w:trPr>
        <w:tc>
          <w:tcPr>
            <w:tcW w:w="5308" w:type="dxa"/>
          </w:tcPr>
          <w:p w:rsidR="00A45169" w:rsidRPr="00BB2A59" w:rsidRDefault="00A45169" w:rsidP="003A1BD9">
            <w:pPr>
              <w:pStyle w:val="Tindent"/>
              <w:rPr>
                <w:rFonts w:ascii="Arial" w:hAnsi="Arial" w:cs="Arial"/>
                <w:sz w:val="19"/>
                <w:szCs w:val="19"/>
              </w:rPr>
            </w:pPr>
            <w:r w:rsidRPr="00BB2A59">
              <w:rPr>
                <w:rFonts w:ascii="Arial" w:hAnsi="Arial" w:cs="Arial"/>
                <w:sz w:val="19"/>
                <w:szCs w:val="19"/>
              </w:rPr>
              <w:t>Repairs and maintenance of housing stock</w:t>
            </w: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BC2CD5" w:rsidP="003A1BD9">
            <w:pPr>
              <w:pStyle w:val="Tdec"/>
              <w:rPr>
                <w:rFonts w:ascii="Arial" w:hAnsi="Arial" w:cs="Arial"/>
                <w:sz w:val="19"/>
                <w:szCs w:val="19"/>
              </w:rPr>
            </w:pPr>
            <w:r w:rsidRPr="00BC2CD5">
              <w:rPr>
                <w:rFonts w:ascii="Arial" w:hAnsi="Arial" w:cs="Arial"/>
                <w:sz w:val="19"/>
                <w:szCs w:val="19"/>
              </w:rPr>
              <w:t>(10,305</w:t>
            </w:r>
            <w:r w:rsidR="00B6219B" w:rsidRPr="00BC2CD5">
              <w:rPr>
                <w:rFonts w:ascii="Arial" w:hAnsi="Arial" w:cs="Arial"/>
                <w:sz w:val="19"/>
                <w:szCs w:val="19"/>
              </w:rPr>
              <w:t>)</w:t>
            </w:r>
          </w:p>
        </w:tc>
        <w:tc>
          <w:tcPr>
            <w:tcW w:w="1134" w:type="dxa"/>
          </w:tcPr>
          <w:p w:rsidR="00A45169" w:rsidRPr="00BB2A59" w:rsidRDefault="00BB2A59" w:rsidP="003A1BD9">
            <w:pPr>
              <w:pStyle w:val="Tdec"/>
              <w:rPr>
                <w:rFonts w:ascii="Arial" w:hAnsi="Arial" w:cs="Arial"/>
                <w:sz w:val="19"/>
                <w:szCs w:val="19"/>
              </w:rPr>
            </w:pPr>
            <w:r w:rsidRPr="00BB2A59">
              <w:rPr>
                <w:rFonts w:ascii="Arial" w:hAnsi="Arial" w:cs="Arial"/>
                <w:sz w:val="19"/>
                <w:szCs w:val="19"/>
              </w:rPr>
              <w:t>(6,765</w:t>
            </w:r>
            <w:r w:rsidR="00A45169" w:rsidRPr="00BB2A59">
              <w:rPr>
                <w:rFonts w:ascii="Arial" w:hAnsi="Arial" w:cs="Arial"/>
                <w:sz w:val="19"/>
                <w:szCs w:val="19"/>
              </w:rPr>
              <w:t>)</w:t>
            </w:r>
          </w:p>
        </w:tc>
      </w:tr>
      <w:tr w:rsidR="00A45169" w:rsidRPr="00C46A29" w:rsidTr="00762EF4">
        <w:trPr>
          <w:cantSplit/>
        </w:trPr>
        <w:tc>
          <w:tcPr>
            <w:tcW w:w="5308" w:type="dxa"/>
          </w:tcPr>
          <w:p w:rsidR="00A45169" w:rsidRPr="00BB2A59" w:rsidRDefault="00A45169" w:rsidP="003A1BD9">
            <w:pPr>
              <w:pStyle w:val="Tindent"/>
              <w:rPr>
                <w:rFonts w:ascii="Arial" w:hAnsi="Arial" w:cs="Arial"/>
                <w:sz w:val="19"/>
                <w:szCs w:val="19"/>
              </w:rPr>
            </w:pPr>
            <w:r w:rsidRPr="00BB2A59">
              <w:rPr>
                <w:rFonts w:ascii="Arial" w:hAnsi="Arial" w:cs="Arial"/>
                <w:sz w:val="19"/>
                <w:szCs w:val="19"/>
              </w:rPr>
              <w:t>Sheltered units and community houses</w:t>
            </w:r>
          </w:p>
          <w:p w:rsidR="000736D0" w:rsidRPr="00BB2A59" w:rsidRDefault="000736D0" w:rsidP="003A1BD9">
            <w:pPr>
              <w:pStyle w:val="Tindent"/>
              <w:rPr>
                <w:rFonts w:ascii="Arial" w:hAnsi="Arial" w:cs="Arial"/>
                <w:sz w:val="19"/>
                <w:szCs w:val="19"/>
              </w:rPr>
            </w:pPr>
            <w:r w:rsidRPr="00BB2A59">
              <w:rPr>
                <w:rFonts w:ascii="Arial" w:hAnsi="Arial" w:cs="Arial"/>
                <w:sz w:val="19"/>
                <w:szCs w:val="19"/>
              </w:rPr>
              <w:t xml:space="preserve">Management of </w:t>
            </w:r>
            <w:r w:rsidR="00C5267F" w:rsidRPr="00BB2A59">
              <w:rPr>
                <w:rFonts w:ascii="Arial" w:hAnsi="Arial" w:cs="Arial"/>
                <w:sz w:val="19"/>
                <w:szCs w:val="19"/>
              </w:rPr>
              <w:t>integrated</w:t>
            </w:r>
            <w:r w:rsidRPr="00BB2A59">
              <w:rPr>
                <w:rFonts w:ascii="Arial" w:hAnsi="Arial" w:cs="Arial"/>
                <w:sz w:val="19"/>
                <w:szCs w:val="19"/>
              </w:rPr>
              <w:t xml:space="preserve"> care facility</w:t>
            </w: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p w:rsidR="000736D0" w:rsidRPr="00C46A29" w:rsidRDefault="000736D0" w:rsidP="003A1BD9">
            <w:pPr>
              <w:pStyle w:val="Tdec"/>
              <w:rPr>
                <w:rFonts w:ascii="Arial" w:hAnsi="Arial" w:cs="Arial"/>
                <w:sz w:val="19"/>
                <w:szCs w:val="19"/>
                <w:highlight w:val="yellow"/>
              </w:rPr>
            </w:pPr>
          </w:p>
        </w:tc>
        <w:tc>
          <w:tcPr>
            <w:tcW w:w="1134" w:type="dxa"/>
          </w:tcPr>
          <w:p w:rsidR="000736D0" w:rsidRPr="00BC2CD5" w:rsidRDefault="00B6219B" w:rsidP="003A1BD9">
            <w:pPr>
              <w:pStyle w:val="Tdec"/>
              <w:rPr>
                <w:rFonts w:ascii="Arial" w:hAnsi="Arial" w:cs="Arial"/>
                <w:sz w:val="19"/>
                <w:szCs w:val="19"/>
              </w:rPr>
            </w:pPr>
            <w:r w:rsidRPr="00BC2CD5">
              <w:rPr>
                <w:rFonts w:ascii="Arial" w:hAnsi="Arial" w:cs="Arial"/>
                <w:sz w:val="19"/>
                <w:szCs w:val="19"/>
              </w:rPr>
              <w:t>(32</w:t>
            </w:r>
            <w:r w:rsidR="00270631" w:rsidRPr="00BC2CD5">
              <w:rPr>
                <w:rFonts w:ascii="Arial" w:hAnsi="Arial" w:cs="Arial"/>
                <w:sz w:val="19"/>
                <w:szCs w:val="19"/>
              </w:rPr>
              <w:t>2</w:t>
            </w:r>
            <w:r w:rsidR="00AF2A52" w:rsidRPr="00BC2CD5">
              <w:rPr>
                <w:rFonts w:ascii="Arial" w:hAnsi="Arial" w:cs="Arial"/>
                <w:sz w:val="19"/>
                <w:szCs w:val="19"/>
              </w:rPr>
              <w:t>)</w:t>
            </w:r>
          </w:p>
          <w:p w:rsidR="00A45169" w:rsidRPr="00BC2CD5" w:rsidRDefault="00270631" w:rsidP="003A1BD9">
            <w:pPr>
              <w:pStyle w:val="Tdec"/>
              <w:rPr>
                <w:rFonts w:ascii="Arial" w:hAnsi="Arial" w:cs="Arial"/>
                <w:sz w:val="19"/>
                <w:szCs w:val="19"/>
              </w:rPr>
            </w:pPr>
            <w:r w:rsidRPr="00BC2CD5">
              <w:rPr>
                <w:rFonts w:ascii="Arial" w:hAnsi="Arial" w:cs="Arial"/>
                <w:sz w:val="19"/>
                <w:szCs w:val="19"/>
              </w:rPr>
              <w:t>(206</w:t>
            </w:r>
            <w:r w:rsidR="00B6219B" w:rsidRPr="00BC2CD5">
              <w:rPr>
                <w:rFonts w:ascii="Arial" w:hAnsi="Arial" w:cs="Arial"/>
                <w:sz w:val="19"/>
                <w:szCs w:val="19"/>
              </w:rPr>
              <w:t>)</w:t>
            </w:r>
          </w:p>
        </w:tc>
        <w:tc>
          <w:tcPr>
            <w:tcW w:w="1134" w:type="dxa"/>
          </w:tcPr>
          <w:p w:rsidR="00A45169" w:rsidRPr="00BB2A59" w:rsidRDefault="00BB2A59" w:rsidP="003A1BD9">
            <w:pPr>
              <w:pStyle w:val="Tdec"/>
              <w:rPr>
                <w:rFonts w:ascii="Arial" w:hAnsi="Arial" w:cs="Arial"/>
                <w:sz w:val="19"/>
                <w:szCs w:val="19"/>
              </w:rPr>
            </w:pPr>
            <w:r w:rsidRPr="00BB2A59">
              <w:rPr>
                <w:rFonts w:ascii="Arial" w:hAnsi="Arial" w:cs="Arial"/>
                <w:sz w:val="19"/>
                <w:szCs w:val="19"/>
              </w:rPr>
              <w:t>(323</w:t>
            </w:r>
            <w:r w:rsidR="00A45169" w:rsidRPr="00BB2A59">
              <w:rPr>
                <w:rFonts w:ascii="Arial" w:hAnsi="Arial" w:cs="Arial"/>
                <w:sz w:val="19"/>
                <w:szCs w:val="19"/>
              </w:rPr>
              <w:t>)</w:t>
            </w:r>
          </w:p>
          <w:p w:rsidR="000736D0" w:rsidRPr="00BB2A59" w:rsidRDefault="00BB2A59" w:rsidP="003A1BD9">
            <w:pPr>
              <w:pStyle w:val="Tdec"/>
              <w:rPr>
                <w:rFonts w:ascii="Arial" w:hAnsi="Arial" w:cs="Arial"/>
                <w:sz w:val="19"/>
                <w:szCs w:val="19"/>
              </w:rPr>
            </w:pPr>
            <w:r w:rsidRPr="00BB2A59">
              <w:rPr>
                <w:rFonts w:ascii="Arial" w:hAnsi="Arial" w:cs="Arial"/>
                <w:sz w:val="19"/>
                <w:szCs w:val="19"/>
              </w:rPr>
              <w:t>(72)</w:t>
            </w:r>
          </w:p>
        </w:tc>
      </w:tr>
      <w:tr w:rsidR="00A45169" w:rsidRPr="00C46A29" w:rsidTr="00762EF4">
        <w:trPr>
          <w:cantSplit/>
        </w:trPr>
        <w:tc>
          <w:tcPr>
            <w:tcW w:w="5308" w:type="dxa"/>
          </w:tcPr>
          <w:p w:rsidR="00A45169" w:rsidRPr="00BB2A59" w:rsidRDefault="00A45169" w:rsidP="003A1BD9">
            <w:pPr>
              <w:pStyle w:val="Tindent"/>
              <w:rPr>
                <w:rFonts w:ascii="Arial" w:hAnsi="Arial" w:cs="Arial"/>
                <w:sz w:val="19"/>
                <w:szCs w:val="19"/>
              </w:rPr>
            </w:pPr>
            <w:r w:rsidRPr="00BB2A59">
              <w:rPr>
                <w:rFonts w:ascii="Arial" w:hAnsi="Arial" w:cs="Arial"/>
                <w:sz w:val="19"/>
                <w:szCs w:val="19"/>
              </w:rPr>
              <w:t>Procurement unit</w:t>
            </w: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270631" w:rsidP="003A1BD9">
            <w:pPr>
              <w:pStyle w:val="Tdec"/>
              <w:rPr>
                <w:rFonts w:ascii="Arial" w:hAnsi="Arial" w:cs="Arial"/>
                <w:sz w:val="19"/>
                <w:szCs w:val="19"/>
              </w:rPr>
            </w:pPr>
            <w:r w:rsidRPr="00BC2CD5">
              <w:rPr>
                <w:rFonts w:ascii="Arial" w:hAnsi="Arial" w:cs="Arial"/>
                <w:sz w:val="19"/>
                <w:szCs w:val="19"/>
              </w:rPr>
              <w:t>(579</w:t>
            </w:r>
            <w:r w:rsidR="00B6219B" w:rsidRPr="00BC2CD5">
              <w:rPr>
                <w:rFonts w:ascii="Arial" w:hAnsi="Arial" w:cs="Arial"/>
                <w:sz w:val="19"/>
                <w:szCs w:val="19"/>
              </w:rPr>
              <w:t>)</w:t>
            </w:r>
          </w:p>
        </w:tc>
        <w:tc>
          <w:tcPr>
            <w:tcW w:w="1134" w:type="dxa"/>
          </w:tcPr>
          <w:p w:rsidR="00A45169" w:rsidRPr="00BB2A59" w:rsidRDefault="00BB2A59" w:rsidP="003A1BD9">
            <w:pPr>
              <w:pStyle w:val="Tdec"/>
              <w:rPr>
                <w:rFonts w:ascii="Arial" w:hAnsi="Arial" w:cs="Arial"/>
                <w:sz w:val="19"/>
                <w:szCs w:val="19"/>
              </w:rPr>
            </w:pPr>
            <w:r w:rsidRPr="00BB2A59">
              <w:rPr>
                <w:rFonts w:ascii="Arial" w:hAnsi="Arial" w:cs="Arial"/>
                <w:sz w:val="19"/>
                <w:szCs w:val="19"/>
              </w:rPr>
              <w:t>(586</w:t>
            </w:r>
            <w:r w:rsidR="00A45169" w:rsidRPr="00BB2A59">
              <w:rPr>
                <w:rFonts w:ascii="Arial" w:hAnsi="Arial" w:cs="Arial"/>
                <w:sz w:val="19"/>
                <w:szCs w:val="19"/>
              </w:rPr>
              <w:t>)</w:t>
            </w:r>
          </w:p>
        </w:tc>
      </w:tr>
      <w:tr w:rsidR="00A45169" w:rsidRPr="00C46A29" w:rsidTr="00762EF4">
        <w:trPr>
          <w:cantSplit/>
        </w:trPr>
        <w:tc>
          <w:tcPr>
            <w:tcW w:w="5308" w:type="dxa"/>
          </w:tcPr>
          <w:p w:rsidR="00A45169" w:rsidRPr="00BB2A59" w:rsidRDefault="00A45169" w:rsidP="003A1BD9">
            <w:pPr>
              <w:pStyle w:val="Tindent"/>
              <w:rPr>
                <w:rFonts w:ascii="Arial" w:hAnsi="Arial" w:cs="Arial"/>
                <w:sz w:val="19"/>
                <w:szCs w:val="19"/>
              </w:rPr>
            </w:pP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A45169" w:rsidP="003A1BD9">
            <w:pPr>
              <w:pStyle w:val="S9"/>
              <w:spacing w:line="240" w:lineRule="auto"/>
              <w:rPr>
                <w:rFonts w:ascii="Arial" w:hAnsi="Arial" w:cs="Arial"/>
                <w:sz w:val="19"/>
                <w:szCs w:val="19"/>
              </w:rPr>
            </w:pPr>
          </w:p>
        </w:tc>
        <w:tc>
          <w:tcPr>
            <w:tcW w:w="1134" w:type="dxa"/>
          </w:tcPr>
          <w:p w:rsidR="00A45169" w:rsidRPr="00BB2A59" w:rsidRDefault="00A45169" w:rsidP="003A1BD9">
            <w:pPr>
              <w:pStyle w:val="S9"/>
              <w:spacing w:line="240" w:lineRule="auto"/>
              <w:rPr>
                <w:rFonts w:ascii="Arial" w:hAnsi="Arial" w:cs="Arial"/>
                <w:sz w:val="19"/>
                <w:szCs w:val="19"/>
              </w:rPr>
            </w:pPr>
          </w:p>
        </w:tc>
      </w:tr>
      <w:tr w:rsidR="00A45169" w:rsidRPr="00C46A29" w:rsidTr="00762EF4">
        <w:trPr>
          <w:cantSplit/>
        </w:trPr>
        <w:tc>
          <w:tcPr>
            <w:tcW w:w="5308" w:type="dxa"/>
          </w:tcPr>
          <w:p w:rsidR="00A45169" w:rsidRPr="00BB2A59" w:rsidRDefault="00A45169" w:rsidP="003A1BD9">
            <w:pPr>
              <w:pStyle w:val="Tindent"/>
              <w:rPr>
                <w:rFonts w:ascii="Arial" w:hAnsi="Arial" w:cs="Arial"/>
                <w:sz w:val="19"/>
                <w:szCs w:val="19"/>
              </w:rPr>
            </w:pP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BC2CD5" w:rsidP="003A1BD9">
            <w:pPr>
              <w:pStyle w:val="Tdec"/>
              <w:rPr>
                <w:rFonts w:ascii="Arial" w:hAnsi="Arial" w:cs="Arial"/>
                <w:sz w:val="19"/>
                <w:szCs w:val="19"/>
              </w:rPr>
            </w:pPr>
            <w:r w:rsidRPr="00BC2CD5">
              <w:rPr>
                <w:rFonts w:ascii="Arial" w:hAnsi="Arial" w:cs="Arial"/>
                <w:sz w:val="19"/>
                <w:szCs w:val="19"/>
              </w:rPr>
              <w:t>(17,704</w:t>
            </w:r>
            <w:r w:rsidR="00FA4325" w:rsidRPr="00BC2CD5">
              <w:rPr>
                <w:rFonts w:ascii="Arial" w:hAnsi="Arial" w:cs="Arial"/>
                <w:sz w:val="19"/>
                <w:szCs w:val="19"/>
              </w:rPr>
              <w:t>)</w:t>
            </w:r>
          </w:p>
        </w:tc>
        <w:tc>
          <w:tcPr>
            <w:tcW w:w="1134" w:type="dxa"/>
          </w:tcPr>
          <w:p w:rsidR="00A45169" w:rsidRPr="00BB2A59" w:rsidRDefault="00BB2A59" w:rsidP="003A1BD9">
            <w:pPr>
              <w:pStyle w:val="Tdec"/>
              <w:rPr>
                <w:rFonts w:ascii="Arial" w:hAnsi="Arial" w:cs="Arial"/>
                <w:sz w:val="19"/>
                <w:szCs w:val="19"/>
              </w:rPr>
            </w:pPr>
            <w:r w:rsidRPr="00BB2A59">
              <w:rPr>
                <w:rFonts w:ascii="Arial" w:hAnsi="Arial" w:cs="Arial"/>
                <w:sz w:val="19"/>
                <w:szCs w:val="19"/>
              </w:rPr>
              <w:t>(13,827</w:t>
            </w:r>
            <w:r w:rsidR="00BB1C9F" w:rsidRPr="00BB2A59">
              <w:rPr>
                <w:rFonts w:ascii="Arial" w:hAnsi="Arial" w:cs="Arial"/>
                <w:sz w:val="19"/>
                <w:szCs w:val="19"/>
              </w:rPr>
              <w:t>)</w:t>
            </w:r>
          </w:p>
        </w:tc>
      </w:tr>
      <w:tr w:rsidR="00A45169" w:rsidRPr="00C46A29" w:rsidTr="00762EF4">
        <w:trPr>
          <w:cantSplit/>
        </w:trPr>
        <w:tc>
          <w:tcPr>
            <w:tcW w:w="5308" w:type="dxa"/>
          </w:tcPr>
          <w:p w:rsidR="00A45169" w:rsidRPr="00BB2A59" w:rsidRDefault="00A45169" w:rsidP="003A1BD9">
            <w:pPr>
              <w:pStyle w:val="Tindent"/>
              <w:rPr>
                <w:rFonts w:ascii="Arial" w:hAnsi="Arial" w:cs="Arial"/>
                <w:sz w:val="19"/>
                <w:szCs w:val="19"/>
              </w:rPr>
            </w:pP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A45169" w:rsidP="003A1BD9">
            <w:pPr>
              <w:pStyle w:val="D9"/>
              <w:spacing w:line="240" w:lineRule="auto"/>
              <w:rPr>
                <w:rFonts w:ascii="Arial" w:hAnsi="Arial" w:cs="Arial"/>
                <w:sz w:val="19"/>
                <w:szCs w:val="19"/>
              </w:rPr>
            </w:pPr>
          </w:p>
        </w:tc>
        <w:tc>
          <w:tcPr>
            <w:tcW w:w="1134" w:type="dxa"/>
          </w:tcPr>
          <w:p w:rsidR="00A45169" w:rsidRPr="00BB2A59" w:rsidRDefault="00A45169" w:rsidP="003A1BD9">
            <w:pPr>
              <w:pStyle w:val="D9"/>
              <w:spacing w:line="240" w:lineRule="auto"/>
              <w:rPr>
                <w:rFonts w:ascii="Arial" w:hAnsi="Arial" w:cs="Arial"/>
                <w:sz w:val="19"/>
                <w:szCs w:val="19"/>
              </w:rPr>
            </w:pPr>
          </w:p>
        </w:tc>
      </w:tr>
      <w:tr w:rsidR="00A45169" w:rsidRPr="00C46A29" w:rsidTr="00762EF4">
        <w:trPr>
          <w:cantSplit/>
        </w:trPr>
        <w:tc>
          <w:tcPr>
            <w:tcW w:w="5308" w:type="dxa"/>
          </w:tcPr>
          <w:p w:rsidR="00A45169" w:rsidRPr="00BB2A59" w:rsidRDefault="00BB1C9F" w:rsidP="003A1BD9">
            <w:pPr>
              <w:pStyle w:val="Tindent"/>
              <w:rPr>
                <w:rFonts w:ascii="Arial" w:hAnsi="Arial" w:cs="Arial"/>
                <w:sz w:val="19"/>
                <w:szCs w:val="19"/>
              </w:rPr>
            </w:pPr>
            <w:r w:rsidRPr="00BB2A59">
              <w:rPr>
                <w:rFonts w:ascii="Arial" w:hAnsi="Arial" w:cs="Arial"/>
                <w:sz w:val="19"/>
                <w:szCs w:val="19"/>
              </w:rPr>
              <w:t>Other operating income (other management fees including  Capital programme and other income)</w:t>
            </w: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A45169" w:rsidP="003A1BD9">
            <w:pPr>
              <w:pStyle w:val="Tdec"/>
              <w:rPr>
                <w:rFonts w:ascii="Arial" w:hAnsi="Arial" w:cs="Arial"/>
                <w:sz w:val="19"/>
                <w:szCs w:val="19"/>
              </w:rPr>
            </w:pPr>
          </w:p>
          <w:p w:rsidR="00FA4325" w:rsidRPr="00BC2CD5" w:rsidRDefault="00270631" w:rsidP="003A1BD9">
            <w:pPr>
              <w:pStyle w:val="Tdec"/>
              <w:rPr>
                <w:rFonts w:ascii="Arial" w:hAnsi="Arial" w:cs="Arial"/>
                <w:sz w:val="19"/>
                <w:szCs w:val="19"/>
              </w:rPr>
            </w:pPr>
            <w:r w:rsidRPr="00BC2CD5">
              <w:rPr>
                <w:rFonts w:ascii="Arial" w:hAnsi="Arial" w:cs="Arial"/>
                <w:sz w:val="19"/>
                <w:szCs w:val="19"/>
              </w:rPr>
              <w:t>7,652</w:t>
            </w:r>
          </w:p>
        </w:tc>
        <w:tc>
          <w:tcPr>
            <w:tcW w:w="1134" w:type="dxa"/>
          </w:tcPr>
          <w:p w:rsidR="00A45169" w:rsidRPr="00BB2A59" w:rsidRDefault="00A45169" w:rsidP="003A1BD9">
            <w:pPr>
              <w:pStyle w:val="Tdec"/>
              <w:rPr>
                <w:rFonts w:ascii="Arial" w:hAnsi="Arial" w:cs="Arial"/>
                <w:sz w:val="19"/>
                <w:szCs w:val="19"/>
              </w:rPr>
            </w:pPr>
          </w:p>
          <w:p w:rsidR="00BB1C9F" w:rsidRPr="00BB2A59" w:rsidRDefault="00BB2A59" w:rsidP="003A1BD9">
            <w:pPr>
              <w:pStyle w:val="Tdec"/>
              <w:rPr>
                <w:rFonts w:ascii="Arial" w:hAnsi="Arial" w:cs="Arial"/>
                <w:sz w:val="19"/>
                <w:szCs w:val="19"/>
              </w:rPr>
            </w:pPr>
            <w:r w:rsidRPr="00BB2A59">
              <w:rPr>
                <w:rFonts w:ascii="Arial" w:hAnsi="Arial" w:cs="Arial"/>
                <w:sz w:val="19"/>
                <w:szCs w:val="19"/>
              </w:rPr>
              <w:t>3,136</w:t>
            </w:r>
          </w:p>
        </w:tc>
      </w:tr>
      <w:tr w:rsidR="00A45169" w:rsidRPr="00C46A29" w:rsidTr="00762EF4">
        <w:trPr>
          <w:cantSplit/>
        </w:trPr>
        <w:tc>
          <w:tcPr>
            <w:tcW w:w="5308" w:type="dxa"/>
          </w:tcPr>
          <w:p w:rsidR="00A45169" w:rsidRPr="00BB2A59" w:rsidRDefault="00A45169" w:rsidP="003A1BD9">
            <w:pPr>
              <w:pStyle w:val="Tindent"/>
              <w:rPr>
                <w:rFonts w:ascii="Arial" w:hAnsi="Arial" w:cs="Arial"/>
                <w:sz w:val="19"/>
                <w:szCs w:val="19"/>
              </w:rPr>
            </w:pP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A45169" w:rsidP="003A1BD9">
            <w:pPr>
              <w:pStyle w:val="D9"/>
              <w:spacing w:line="240" w:lineRule="auto"/>
              <w:rPr>
                <w:rFonts w:ascii="Arial" w:hAnsi="Arial" w:cs="Arial"/>
                <w:sz w:val="19"/>
                <w:szCs w:val="19"/>
              </w:rPr>
            </w:pPr>
          </w:p>
        </w:tc>
        <w:tc>
          <w:tcPr>
            <w:tcW w:w="1134" w:type="dxa"/>
          </w:tcPr>
          <w:p w:rsidR="00A45169" w:rsidRPr="00BB2A59" w:rsidRDefault="00A45169" w:rsidP="003A1BD9">
            <w:pPr>
              <w:pStyle w:val="D9"/>
              <w:spacing w:line="240" w:lineRule="auto"/>
              <w:rPr>
                <w:rFonts w:ascii="Arial" w:hAnsi="Arial" w:cs="Arial"/>
                <w:sz w:val="19"/>
                <w:szCs w:val="19"/>
              </w:rPr>
            </w:pPr>
          </w:p>
        </w:tc>
      </w:tr>
      <w:tr w:rsidR="00A45169" w:rsidRPr="00C46A29" w:rsidTr="00762EF4">
        <w:trPr>
          <w:cantSplit/>
        </w:trPr>
        <w:tc>
          <w:tcPr>
            <w:tcW w:w="5308" w:type="dxa"/>
          </w:tcPr>
          <w:p w:rsidR="00A45169" w:rsidRPr="00BB2A59" w:rsidRDefault="00A45169" w:rsidP="003A1BD9">
            <w:pPr>
              <w:pStyle w:val="Tindent"/>
              <w:rPr>
                <w:rFonts w:ascii="Arial" w:hAnsi="Arial" w:cs="Arial"/>
                <w:sz w:val="19"/>
                <w:szCs w:val="19"/>
              </w:rPr>
            </w:pP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A45169" w:rsidP="003A1BD9">
            <w:pPr>
              <w:pStyle w:val="Tdec"/>
              <w:rPr>
                <w:rFonts w:ascii="Arial" w:hAnsi="Arial" w:cs="Arial"/>
                <w:sz w:val="19"/>
                <w:szCs w:val="19"/>
              </w:rPr>
            </w:pPr>
          </w:p>
        </w:tc>
        <w:tc>
          <w:tcPr>
            <w:tcW w:w="1134" w:type="dxa"/>
          </w:tcPr>
          <w:p w:rsidR="00A45169" w:rsidRPr="00BB2A59" w:rsidRDefault="00A45169" w:rsidP="003A1BD9">
            <w:pPr>
              <w:pStyle w:val="Tdec"/>
              <w:rPr>
                <w:rFonts w:ascii="Arial" w:hAnsi="Arial" w:cs="Arial"/>
                <w:sz w:val="19"/>
                <w:szCs w:val="19"/>
              </w:rPr>
            </w:pPr>
          </w:p>
        </w:tc>
      </w:tr>
      <w:tr w:rsidR="00A45169" w:rsidRPr="00070D17" w:rsidTr="00762EF4">
        <w:trPr>
          <w:cantSplit/>
        </w:trPr>
        <w:tc>
          <w:tcPr>
            <w:tcW w:w="5308" w:type="dxa"/>
          </w:tcPr>
          <w:p w:rsidR="00A45169" w:rsidRPr="00BB2A59" w:rsidRDefault="00F16068" w:rsidP="003A1BD9">
            <w:pPr>
              <w:pStyle w:val="Tindent"/>
              <w:rPr>
                <w:rFonts w:ascii="Arial" w:hAnsi="Arial" w:cs="Arial"/>
                <w:sz w:val="19"/>
                <w:szCs w:val="19"/>
              </w:rPr>
            </w:pPr>
            <w:r w:rsidRPr="00BB2A59">
              <w:rPr>
                <w:rFonts w:ascii="Arial" w:hAnsi="Arial" w:cs="Arial"/>
                <w:sz w:val="19"/>
                <w:szCs w:val="19"/>
              </w:rPr>
              <w:t>Operating</w:t>
            </w:r>
            <w:r w:rsidR="00BB1C9F" w:rsidRPr="00BB2A59">
              <w:rPr>
                <w:rFonts w:ascii="Arial" w:hAnsi="Arial" w:cs="Arial"/>
                <w:sz w:val="19"/>
                <w:szCs w:val="19"/>
              </w:rPr>
              <w:t xml:space="preserve"> </w:t>
            </w:r>
            <w:r w:rsidR="00FA4325" w:rsidRPr="00BB2A59">
              <w:rPr>
                <w:rFonts w:ascii="Arial" w:hAnsi="Arial" w:cs="Arial"/>
                <w:sz w:val="19"/>
                <w:szCs w:val="19"/>
              </w:rPr>
              <w:t>profit/</w:t>
            </w:r>
            <w:r w:rsidR="00BB1C9F" w:rsidRPr="00BB2A59">
              <w:rPr>
                <w:rFonts w:ascii="Arial" w:hAnsi="Arial" w:cs="Arial"/>
                <w:sz w:val="19"/>
                <w:szCs w:val="19"/>
              </w:rPr>
              <w:t>deficit</w:t>
            </w:r>
          </w:p>
        </w:tc>
        <w:tc>
          <w:tcPr>
            <w:tcW w:w="816" w:type="dxa"/>
          </w:tcPr>
          <w:p w:rsidR="00A45169" w:rsidRPr="00C46A29" w:rsidRDefault="00A45169" w:rsidP="003A1BD9">
            <w:pPr>
              <w:pStyle w:val="Tdec"/>
              <w:rPr>
                <w:rFonts w:ascii="Arial" w:hAnsi="Arial" w:cs="Arial"/>
                <w:sz w:val="19"/>
                <w:szCs w:val="19"/>
                <w:highlight w:val="yellow"/>
              </w:rPr>
            </w:pPr>
          </w:p>
        </w:tc>
        <w:tc>
          <w:tcPr>
            <w:tcW w:w="1106" w:type="dxa"/>
          </w:tcPr>
          <w:p w:rsidR="00A45169" w:rsidRPr="00C46A29" w:rsidRDefault="00A45169" w:rsidP="003A1BD9">
            <w:pPr>
              <w:pStyle w:val="Tdec"/>
              <w:rPr>
                <w:rFonts w:ascii="Arial" w:hAnsi="Arial" w:cs="Arial"/>
                <w:sz w:val="19"/>
                <w:szCs w:val="19"/>
                <w:highlight w:val="yellow"/>
              </w:rPr>
            </w:pPr>
          </w:p>
        </w:tc>
        <w:tc>
          <w:tcPr>
            <w:tcW w:w="1134" w:type="dxa"/>
          </w:tcPr>
          <w:p w:rsidR="00A45169" w:rsidRPr="00BC2CD5" w:rsidRDefault="00270631" w:rsidP="003A1BD9">
            <w:pPr>
              <w:pStyle w:val="Tdec"/>
              <w:rPr>
                <w:rFonts w:ascii="Arial" w:hAnsi="Arial" w:cs="Arial"/>
                <w:sz w:val="19"/>
                <w:szCs w:val="19"/>
              </w:rPr>
            </w:pPr>
            <w:r w:rsidRPr="00BC2CD5">
              <w:rPr>
                <w:rFonts w:ascii="Arial" w:hAnsi="Arial" w:cs="Arial"/>
                <w:sz w:val="19"/>
                <w:szCs w:val="19"/>
              </w:rPr>
              <w:t>1,4</w:t>
            </w:r>
            <w:r w:rsidR="00BC2CD5" w:rsidRPr="00BC2CD5">
              <w:rPr>
                <w:rFonts w:ascii="Arial" w:hAnsi="Arial" w:cs="Arial"/>
                <w:sz w:val="19"/>
                <w:szCs w:val="19"/>
              </w:rPr>
              <w:t>74</w:t>
            </w:r>
          </w:p>
        </w:tc>
        <w:tc>
          <w:tcPr>
            <w:tcW w:w="1134" w:type="dxa"/>
          </w:tcPr>
          <w:p w:rsidR="00A45169" w:rsidRPr="00BB2A59" w:rsidRDefault="00BB2A59" w:rsidP="003A1BD9">
            <w:pPr>
              <w:pStyle w:val="Tdec"/>
              <w:rPr>
                <w:rFonts w:ascii="Arial" w:hAnsi="Arial" w:cs="Arial"/>
                <w:sz w:val="19"/>
                <w:szCs w:val="19"/>
              </w:rPr>
            </w:pPr>
            <w:r w:rsidRPr="00BB2A59">
              <w:rPr>
                <w:rFonts w:ascii="Arial" w:hAnsi="Arial" w:cs="Arial"/>
                <w:sz w:val="19"/>
                <w:szCs w:val="19"/>
              </w:rPr>
              <w:t>499</w:t>
            </w:r>
          </w:p>
        </w:tc>
      </w:tr>
      <w:tr w:rsidR="00A45169" w:rsidRPr="00070D17" w:rsidTr="00762EF4">
        <w:trPr>
          <w:cantSplit/>
        </w:trPr>
        <w:tc>
          <w:tcPr>
            <w:tcW w:w="5308" w:type="dxa"/>
          </w:tcPr>
          <w:p w:rsidR="00A45169" w:rsidRPr="00070D17" w:rsidRDefault="00A45169" w:rsidP="003A1BD9">
            <w:pPr>
              <w:pStyle w:val="B0"/>
              <w:spacing w:line="240" w:lineRule="auto"/>
              <w:rPr>
                <w:rFonts w:ascii="Arial" w:hAnsi="Arial" w:cs="Arial"/>
                <w:sz w:val="19"/>
                <w:szCs w:val="19"/>
              </w:rPr>
            </w:pPr>
          </w:p>
        </w:tc>
        <w:tc>
          <w:tcPr>
            <w:tcW w:w="816" w:type="dxa"/>
          </w:tcPr>
          <w:p w:rsidR="00A45169" w:rsidRPr="00070D17" w:rsidRDefault="00A45169" w:rsidP="003A1BD9">
            <w:pPr>
              <w:pStyle w:val="B0"/>
              <w:spacing w:line="240" w:lineRule="auto"/>
              <w:rPr>
                <w:rFonts w:ascii="Arial" w:hAnsi="Arial" w:cs="Arial"/>
                <w:sz w:val="19"/>
                <w:szCs w:val="19"/>
              </w:rPr>
            </w:pPr>
          </w:p>
        </w:tc>
        <w:tc>
          <w:tcPr>
            <w:tcW w:w="1106" w:type="dxa"/>
          </w:tcPr>
          <w:p w:rsidR="00A45169" w:rsidRPr="00070D17" w:rsidRDefault="00A45169" w:rsidP="003A1BD9">
            <w:pPr>
              <w:pStyle w:val="B0"/>
              <w:spacing w:line="240" w:lineRule="auto"/>
              <w:rPr>
                <w:rFonts w:ascii="Arial" w:hAnsi="Arial" w:cs="Arial"/>
                <w:sz w:val="19"/>
                <w:szCs w:val="19"/>
              </w:rPr>
            </w:pPr>
          </w:p>
        </w:tc>
        <w:tc>
          <w:tcPr>
            <w:tcW w:w="1134" w:type="dxa"/>
          </w:tcPr>
          <w:p w:rsidR="00A45169" w:rsidRPr="00070D17" w:rsidRDefault="00A45169" w:rsidP="003A1BD9">
            <w:pPr>
              <w:pStyle w:val="D9"/>
              <w:spacing w:line="240" w:lineRule="auto"/>
              <w:rPr>
                <w:rFonts w:ascii="Arial" w:hAnsi="Arial" w:cs="Arial"/>
                <w:sz w:val="19"/>
                <w:szCs w:val="19"/>
              </w:rPr>
            </w:pPr>
          </w:p>
        </w:tc>
        <w:tc>
          <w:tcPr>
            <w:tcW w:w="1134" w:type="dxa"/>
          </w:tcPr>
          <w:p w:rsidR="00A45169" w:rsidRPr="00BB2A59" w:rsidRDefault="00A45169" w:rsidP="003A1BD9">
            <w:pPr>
              <w:pStyle w:val="D9"/>
              <w:spacing w:line="240" w:lineRule="auto"/>
              <w:rPr>
                <w:rFonts w:ascii="Arial" w:hAnsi="Arial" w:cs="Arial"/>
                <w:sz w:val="19"/>
                <w:szCs w:val="19"/>
              </w:rPr>
            </w:pPr>
          </w:p>
        </w:tc>
      </w:tr>
    </w:tbl>
    <w:p w:rsidR="00DE1A52" w:rsidRDefault="00DE1A52" w:rsidP="00B91AE5">
      <w:pPr>
        <w:pStyle w:val="Heading1"/>
        <w:numPr>
          <w:ilvl w:val="0"/>
          <w:numId w:val="0"/>
        </w:numPr>
        <w:spacing w:before="0" w:after="0"/>
        <w:ind w:left="567" w:hanging="207"/>
        <w:rPr>
          <w:rFonts w:ascii="Arial" w:hAnsi="Arial" w:cs="Arial"/>
          <w:sz w:val="24"/>
          <w:szCs w:val="19"/>
        </w:rPr>
      </w:pPr>
    </w:p>
    <w:p w:rsidR="00B91AE5" w:rsidRPr="00374FAB" w:rsidRDefault="00DE1A52" w:rsidP="00B91AE5">
      <w:pPr>
        <w:spacing w:after="0"/>
        <w:jc w:val="left"/>
        <w:rPr>
          <w:rFonts w:ascii="Arial" w:hAnsi="Arial" w:cs="Arial"/>
          <w:b/>
          <w:caps/>
          <w:sz w:val="24"/>
          <w:szCs w:val="19"/>
        </w:rPr>
      </w:pPr>
      <w:r>
        <w:rPr>
          <w:rFonts w:ascii="Arial" w:hAnsi="Arial" w:cs="Arial"/>
          <w:sz w:val="24"/>
          <w:szCs w:val="19"/>
        </w:rPr>
        <w:br w:type="page"/>
      </w:r>
    </w:p>
    <w:p w:rsidR="00B91AE5" w:rsidRPr="00C46A29" w:rsidRDefault="00B91AE5" w:rsidP="00B91AE5">
      <w:pPr>
        <w:spacing w:after="0"/>
        <w:jc w:val="left"/>
        <w:rPr>
          <w:rFonts w:ascii="Arial" w:hAnsi="Arial" w:cs="Arial"/>
          <w:sz w:val="19"/>
          <w:szCs w:val="19"/>
          <w:highlight w:val="yellow"/>
          <w:lang w:val="en-US"/>
        </w:rPr>
      </w:pPr>
      <w:bookmarkStart w:id="10" w:name="_GoBack"/>
      <w:bookmarkEnd w:id="10"/>
    </w:p>
    <w:p w:rsidR="00DC316C" w:rsidRPr="00374FAB" w:rsidRDefault="00FA2584" w:rsidP="000C5B6A">
      <w:pPr>
        <w:pStyle w:val="Heading1"/>
        <w:numPr>
          <w:ilvl w:val="0"/>
          <w:numId w:val="33"/>
        </w:numPr>
        <w:spacing w:before="0" w:after="0"/>
        <w:ind w:left="567" w:hanging="567"/>
        <w:rPr>
          <w:rFonts w:ascii="Arial" w:hAnsi="Arial" w:cs="Arial"/>
          <w:caps w:val="0"/>
          <w:sz w:val="24"/>
          <w:szCs w:val="19"/>
        </w:rPr>
      </w:pPr>
      <w:bookmarkStart w:id="11" w:name="_Toc390775317"/>
      <w:r w:rsidRPr="00374FAB">
        <w:rPr>
          <w:rFonts w:ascii="Arial" w:hAnsi="Arial" w:cs="Arial"/>
          <w:caps w:val="0"/>
          <w:sz w:val="24"/>
          <w:szCs w:val="19"/>
        </w:rPr>
        <w:t xml:space="preserve">Surplus / (Deficit) </w:t>
      </w:r>
      <w:r w:rsidR="00B91AE5" w:rsidRPr="00374FAB">
        <w:rPr>
          <w:rFonts w:ascii="Arial" w:hAnsi="Arial" w:cs="Arial"/>
          <w:caps w:val="0"/>
          <w:sz w:val="24"/>
          <w:szCs w:val="19"/>
        </w:rPr>
        <w:t>on Ordinary Activities Before Taxation</w:t>
      </w:r>
      <w:bookmarkEnd w:id="11"/>
    </w:p>
    <w:p w:rsidR="00B91AE5" w:rsidRPr="00C46A29" w:rsidRDefault="00B91AE5" w:rsidP="000C5B6A">
      <w:pPr>
        <w:pStyle w:val="NormalIndent"/>
        <w:spacing w:after="0"/>
        <w:rPr>
          <w:highlight w:val="yellow"/>
        </w:rPr>
      </w:pPr>
    </w:p>
    <w:tbl>
      <w:tblPr>
        <w:tblW w:w="9498" w:type="dxa"/>
        <w:tblLayout w:type="fixed"/>
        <w:tblCellMar>
          <w:left w:w="28" w:type="dxa"/>
          <w:right w:w="28" w:type="dxa"/>
        </w:tblCellMar>
        <w:tblLook w:val="0000" w:firstRow="0" w:lastRow="0" w:firstColumn="0" w:lastColumn="0" w:noHBand="0" w:noVBand="0"/>
      </w:tblPr>
      <w:tblGrid>
        <w:gridCol w:w="5308"/>
        <w:gridCol w:w="816"/>
        <w:gridCol w:w="1106"/>
        <w:gridCol w:w="1134"/>
        <w:gridCol w:w="1134"/>
      </w:tblGrid>
      <w:tr w:rsidR="00BB1C9F" w:rsidRPr="00C46A29" w:rsidTr="003D06E8">
        <w:trPr>
          <w:cantSplit/>
        </w:trPr>
        <w:tc>
          <w:tcPr>
            <w:tcW w:w="5308" w:type="dxa"/>
          </w:tcPr>
          <w:p w:rsidR="00BB1C9F" w:rsidRPr="00C46A29" w:rsidRDefault="00BB1C9F" w:rsidP="003A1BD9">
            <w:pPr>
              <w:pStyle w:val="Thead"/>
              <w:rPr>
                <w:rFonts w:ascii="Arial" w:hAnsi="Arial" w:cs="Arial"/>
                <w:sz w:val="19"/>
                <w:szCs w:val="19"/>
                <w:highlight w:val="yellow"/>
              </w:rPr>
            </w:pPr>
          </w:p>
        </w:tc>
        <w:tc>
          <w:tcPr>
            <w:tcW w:w="816" w:type="dxa"/>
          </w:tcPr>
          <w:p w:rsidR="00BB1C9F" w:rsidRPr="00C46A29" w:rsidRDefault="00BB1C9F" w:rsidP="003A1BD9">
            <w:pPr>
              <w:pStyle w:val="Thead"/>
              <w:rPr>
                <w:rFonts w:ascii="Arial" w:hAnsi="Arial" w:cs="Arial"/>
                <w:sz w:val="19"/>
                <w:szCs w:val="19"/>
                <w:highlight w:val="yellow"/>
              </w:rPr>
            </w:pPr>
          </w:p>
        </w:tc>
        <w:tc>
          <w:tcPr>
            <w:tcW w:w="1106" w:type="dxa"/>
          </w:tcPr>
          <w:p w:rsidR="00BB1C9F" w:rsidRPr="00C46A29" w:rsidRDefault="00BB1C9F" w:rsidP="003A1BD9">
            <w:pPr>
              <w:pStyle w:val="Thead"/>
              <w:rPr>
                <w:rFonts w:ascii="Arial" w:hAnsi="Arial" w:cs="Arial"/>
                <w:sz w:val="19"/>
                <w:szCs w:val="19"/>
                <w:highlight w:val="yellow"/>
              </w:rPr>
            </w:pPr>
          </w:p>
        </w:tc>
        <w:tc>
          <w:tcPr>
            <w:tcW w:w="1134" w:type="dxa"/>
          </w:tcPr>
          <w:p w:rsidR="00BB1C9F" w:rsidRPr="00374FAB" w:rsidRDefault="00BB2A59" w:rsidP="003A1BD9">
            <w:pPr>
              <w:pStyle w:val="Thead"/>
              <w:rPr>
                <w:rFonts w:ascii="Arial" w:hAnsi="Arial" w:cs="Arial"/>
                <w:sz w:val="19"/>
                <w:szCs w:val="19"/>
              </w:rPr>
            </w:pPr>
            <w:r w:rsidRPr="00374FAB">
              <w:rPr>
                <w:rFonts w:ascii="Arial" w:hAnsi="Arial" w:cs="Arial"/>
                <w:sz w:val="19"/>
                <w:szCs w:val="19"/>
              </w:rPr>
              <w:t>2015</w:t>
            </w:r>
          </w:p>
          <w:p w:rsidR="00BB1C9F" w:rsidRPr="00374FAB" w:rsidRDefault="00BB1C9F" w:rsidP="003A1BD9">
            <w:pPr>
              <w:pStyle w:val="Thead"/>
              <w:rPr>
                <w:rFonts w:ascii="Arial" w:hAnsi="Arial" w:cs="Arial"/>
                <w:sz w:val="19"/>
                <w:szCs w:val="19"/>
              </w:rPr>
            </w:pPr>
            <w:r w:rsidRPr="00374FAB">
              <w:rPr>
                <w:rFonts w:ascii="Arial" w:hAnsi="Arial" w:cs="Arial"/>
                <w:sz w:val="19"/>
                <w:szCs w:val="19"/>
              </w:rPr>
              <w:t>£</w:t>
            </w:r>
            <w:r w:rsidR="00270CEB" w:rsidRPr="00374FAB">
              <w:rPr>
                <w:rFonts w:ascii="Arial" w:hAnsi="Arial" w:cs="Arial"/>
                <w:sz w:val="19"/>
                <w:szCs w:val="19"/>
              </w:rPr>
              <w:t>000</w:t>
            </w:r>
          </w:p>
        </w:tc>
        <w:tc>
          <w:tcPr>
            <w:tcW w:w="1134" w:type="dxa"/>
          </w:tcPr>
          <w:p w:rsidR="00BB1C9F" w:rsidRPr="00BB2A59" w:rsidRDefault="00BB2A59" w:rsidP="003A1BD9">
            <w:pPr>
              <w:pStyle w:val="Thead"/>
              <w:rPr>
                <w:rFonts w:ascii="Arial" w:hAnsi="Arial" w:cs="Arial"/>
                <w:sz w:val="19"/>
                <w:szCs w:val="19"/>
              </w:rPr>
            </w:pPr>
            <w:r w:rsidRPr="00BB2A59">
              <w:rPr>
                <w:rFonts w:ascii="Arial" w:hAnsi="Arial" w:cs="Arial"/>
                <w:sz w:val="19"/>
                <w:szCs w:val="19"/>
              </w:rPr>
              <w:t>2014</w:t>
            </w:r>
          </w:p>
          <w:p w:rsidR="00BB1C9F" w:rsidRPr="00BB2A59" w:rsidRDefault="00BB1C9F" w:rsidP="003A1BD9">
            <w:pPr>
              <w:pStyle w:val="Thead"/>
              <w:rPr>
                <w:rFonts w:ascii="Arial" w:hAnsi="Arial" w:cs="Arial"/>
                <w:sz w:val="19"/>
                <w:szCs w:val="19"/>
              </w:rPr>
            </w:pPr>
            <w:r w:rsidRPr="00BB2A59">
              <w:rPr>
                <w:rFonts w:ascii="Arial" w:hAnsi="Arial" w:cs="Arial"/>
                <w:sz w:val="19"/>
                <w:szCs w:val="19"/>
              </w:rPr>
              <w:t>£</w:t>
            </w:r>
            <w:r w:rsidR="00270CEB" w:rsidRPr="00BB2A59">
              <w:rPr>
                <w:rFonts w:ascii="Arial" w:hAnsi="Arial" w:cs="Arial"/>
                <w:sz w:val="19"/>
                <w:szCs w:val="19"/>
              </w:rPr>
              <w:t>000</w:t>
            </w:r>
          </w:p>
        </w:tc>
      </w:tr>
      <w:tr w:rsidR="00BB1C9F" w:rsidRPr="00C46A29" w:rsidTr="003D06E8">
        <w:trPr>
          <w:cantSplit/>
        </w:trPr>
        <w:tc>
          <w:tcPr>
            <w:tcW w:w="5308" w:type="dxa"/>
          </w:tcPr>
          <w:p w:rsidR="00BB1C9F" w:rsidRPr="00BB2A59" w:rsidRDefault="005300DC" w:rsidP="003A1BD9">
            <w:pPr>
              <w:pStyle w:val="Tindent"/>
              <w:rPr>
                <w:rFonts w:ascii="Arial" w:hAnsi="Arial" w:cs="Arial"/>
                <w:sz w:val="19"/>
                <w:szCs w:val="19"/>
              </w:rPr>
            </w:pPr>
            <w:r>
              <w:rPr>
                <w:rFonts w:ascii="Arial" w:hAnsi="Arial" w:cs="Arial"/>
                <w:sz w:val="19"/>
                <w:szCs w:val="19"/>
              </w:rPr>
              <w:t>Surplus</w:t>
            </w:r>
            <w:r w:rsidR="00BB1C9F" w:rsidRPr="00BB2A59">
              <w:rPr>
                <w:rFonts w:ascii="Arial" w:hAnsi="Arial" w:cs="Arial"/>
                <w:sz w:val="19"/>
                <w:szCs w:val="19"/>
              </w:rPr>
              <w:t xml:space="preserve"> on ordinary activities before taxation is stated after charging:</w:t>
            </w:r>
          </w:p>
        </w:tc>
        <w:tc>
          <w:tcPr>
            <w:tcW w:w="816" w:type="dxa"/>
          </w:tcPr>
          <w:p w:rsidR="00BB1C9F" w:rsidRPr="00C46A29" w:rsidRDefault="00BB1C9F" w:rsidP="003A1BD9">
            <w:pPr>
              <w:pStyle w:val="Tdec"/>
              <w:rPr>
                <w:rFonts w:ascii="Arial" w:hAnsi="Arial" w:cs="Arial"/>
                <w:sz w:val="19"/>
                <w:szCs w:val="19"/>
                <w:highlight w:val="yellow"/>
              </w:rPr>
            </w:pPr>
          </w:p>
        </w:tc>
        <w:tc>
          <w:tcPr>
            <w:tcW w:w="1106" w:type="dxa"/>
          </w:tcPr>
          <w:p w:rsidR="00BB1C9F" w:rsidRPr="00C46A29" w:rsidRDefault="00BB1C9F" w:rsidP="003A1BD9">
            <w:pPr>
              <w:pStyle w:val="Tdec"/>
              <w:rPr>
                <w:rFonts w:ascii="Arial" w:hAnsi="Arial" w:cs="Arial"/>
                <w:sz w:val="19"/>
                <w:szCs w:val="19"/>
                <w:highlight w:val="yellow"/>
              </w:rPr>
            </w:pPr>
          </w:p>
        </w:tc>
        <w:tc>
          <w:tcPr>
            <w:tcW w:w="1134" w:type="dxa"/>
          </w:tcPr>
          <w:p w:rsidR="00BB1C9F" w:rsidRPr="00BC2CD5" w:rsidRDefault="00BB1C9F" w:rsidP="003A1BD9">
            <w:pPr>
              <w:pStyle w:val="Tdec"/>
              <w:rPr>
                <w:rFonts w:ascii="Arial" w:hAnsi="Arial" w:cs="Arial"/>
                <w:sz w:val="19"/>
                <w:szCs w:val="19"/>
              </w:rPr>
            </w:pPr>
          </w:p>
        </w:tc>
        <w:tc>
          <w:tcPr>
            <w:tcW w:w="1134" w:type="dxa"/>
          </w:tcPr>
          <w:p w:rsidR="00BB1C9F" w:rsidRPr="00BB2A59" w:rsidRDefault="00BB1C9F" w:rsidP="003A1BD9">
            <w:pPr>
              <w:pStyle w:val="Tdec"/>
              <w:rPr>
                <w:rFonts w:ascii="Arial" w:hAnsi="Arial" w:cs="Arial"/>
                <w:sz w:val="19"/>
                <w:szCs w:val="19"/>
              </w:rPr>
            </w:pPr>
          </w:p>
        </w:tc>
      </w:tr>
      <w:tr w:rsidR="00BB1C9F" w:rsidRPr="00C46A29" w:rsidTr="003D06E8">
        <w:trPr>
          <w:cantSplit/>
        </w:trPr>
        <w:tc>
          <w:tcPr>
            <w:tcW w:w="5308" w:type="dxa"/>
          </w:tcPr>
          <w:p w:rsidR="00BB1C9F" w:rsidRPr="00BB2A59" w:rsidRDefault="00BB1C9F" w:rsidP="003A1BD9">
            <w:pPr>
              <w:pStyle w:val="Tindent"/>
              <w:rPr>
                <w:rFonts w:ascii="Arial" w:hAnsi="Arial" w:cs="Arial"/>
                <w:sz w:val="19"/>
                <w:szCs w:val="19"/>
              </w:rPr>
            </w:pPr>
            <w:r w:rsidRPr="00BB2A59">
              <w:rPr>
                <w:rFonts w:ascii="Arial" w:hAnsi="Arial" w:cs="Arial"/>
                <w:sz w:val="19"/>
                <w:szCs w:val="19"/>
              </w:rPr>
              <w:t>Depreciation of tangible fixed assets</w:t>
            </w:r>
          </w:p>
        </w:tc>
        <w:tc>
          <w:tcPr>
            <w:tcW w:w="816" w:type="dxa"/>
          </w:tcPr>
          <w:p w:rsidR="00BB1C9F" w:rsidRPr="00C46A29" w:rsidRDefault="00BB1C9F" w:rsidP="003A1BD9">
            <w:pPr>
              <w:pStyle w:val="Tdec"/>
              <w:rPr>
                <w:rFonts w:ascii="Arial" w:hAnsi="Arial" w:cs="Arial"/>
                <w:sz w:val="19"/>
                <w:szCs w:val="19"/>
                <w:highlight w:val="yellow"/>
              </w:rPr>
            </w:pPr>
          </w:p>
        </w:tc>
        <w:tc>
          <w:tcPr>
            <w:tcW w:w="1106" w:type="dxa"/>
          </w:tcPr>
          <w:p w:rsidR="00BB1C9F" w:rsidRPr="00C46A29" w:rsidRDefault="00BB1C9F" w:rsidP="003A1BD9">
            <w:pPr>
              <w:pStyle w:val="Tdec"/>
              <w:rPr>
                <w:rFonts w:ascii="Arial" w:hAnsi="Arial" w:cs="Arial"/>
                <w:sz w:val="19"/>
                <w:szCs w:val="19"/>
                <w:highlight w:val="yellow"/>
              </w:rPr>
            </w:pPr>
          </w:p>
        </w:tc>
        <w:tc>
          <w:tcPr>
            <w:tcW w:w="1134" w:type="dxa"/>
          </w:tcPr>
          <w:p w:rsidR="00BB1C9F" w:rsidRPr="00BC2CD5" w:rsidRDefault="00125362" w:rsidP="003A1BD9">
            <w:pPr>
              <w:pStyle w:val="Tdec"/>
              <w:rPr>
                <w:rFonts w:ascii="Arial" w:hAnsi="Arial" w:cs="Arial"/>
                <w:sz w:val="19"/>
                <w:szCs w:val="19"/>
              </w:rPr>
            </w:pPr>
            <w:r w:rsidRPr="00BC2CD5">
              <w:rPr>
                <w:rFonts w:ascii="Arial" w:hAnsi="Arial" w:cs="Arial"/>
                <w:sz w:val="19"/>
                <w:szCs w:val="19"/>
              </w:rPr>
              <w:t>1</w:t>
            </w:r>
            <w:r w:rsidR="00374FAB" w:rsidRPr="00BC2CD5">
              <w:rPr>
                <w:rFonts w:ascii="Arial" w:hAnsi="Arial" w:cs="Arial"/>
                <w:sz w:val="19"/>
                <w:szCs w:val="19"/>
              </w:rPr>
              <w:t>1</w:t>
            </w:r>
            <w:r w:rsidR="00723DFA">
              <w:rPr>
                <w:rFonts w:ascii="Arial" w:hAnsi="Arial" w:cs="Arial"/>
                <w:sz w:val="19"/>
                <w:szCs w:val="19"/>
              </w:rPr>
              <w:t>5</w:t>
            </w:r>
          </w:p>
        </w:tc>
        <w:tc>
          <w:tcPr>
            <w:tcW w:w="1134" w:type="dxa"/>
          </w:tcPr>
          <w:p w:rsidR="00BB1C9F" w:rsidRPr="00BB2A59" w:rsidRDefault="00BB1C9F" w:rsidP="003A1BD9">
            <w:pPr>
              <w:pStyle w:val="Tdec"/>
              <w:rPr>
                <w:rFonts w:ascii="Arial" w:hAnsi="Arial" w:cs="Arial"/>
                <w:sz w:val="19"/>
                <w:szCs w:val="19"/>
              </w:rPr>
            </w:pPr>
            <w:r w:rsidRPr="00BB2A59">
              <w:rPr>
                <w:rFonts w:ascii="Arial" w:hAnsi="Arial" w:cs="Arial"/>
                <w:sz w:val="19"/>
                <w:szCs w:val="19"/>
              </w:rPr>
              <w:t>1</w:t>
            </w:r>
            <w:r w:rsidR="00BB2A59" w:rsidRPr="00BB2A59">
              <w:rPr>
                <w:rFonts w:ascii="Arial" w:hAnsi="Arial" w:cs="Arial"/>
                <w:sz w:val="19"/>
                <w:szCs w:val="19"/>
              </w:rPr>
              <w:t>52</w:t>
            </w:r>
          </w:p>
        </w:tc>
      </w:tr>
      <w:tr w:rsidR="00BB1C9F" w:rsidRPr="00C46A29" w:rsidTr="003D06E8">
        <w:trPr>
          <w:cantSplit/>
        </w:trPr>
        <w:tc>
          <w:tcPr>
            <w:tcW w:w="5308" w:type="dxa"/>
          </w:tcPr>
          <w:p w:rsidR="00BB1C9F" w:rsidRPr="00BB2A59" w:rsidRDefault="00BB1C9F" w:rsidP="003A1BD9">
            <w:pPr>
              <w:pStyle w:val="Tindent"/>
              <w:rPr>
                <w:rFonts w:ascii="Arial" w:hAnsi="Arial" w:cs="Arial"/>
                <w:sz w:val="19"/>
                <w:szCs w:val="19"/>
              </w:rPr>
            </w:pPr>
            <w:r w:rsidRPr="00BB2A59">
              <w:rPr>
                <w:rFonts w:ascii="Arial" w:hAnsi="Arial" w:cs="Arial"/>
                <w:sz w:val="19"/>
                <w:szCs w:val="19"/>
              </w:rPr>
              <w:t>Payments under operating leases</w:t>
            </w:r>
          </w:p>
        </w:tc>
        <w:tc>
          <w:tcPr>
            <w:tcW w:w="816" w:type="dxa"/>
          </w:tcPr>
          <w:p w:rsidR="00BB1C9F" w:rsidRPr="00C46A29" w:rsidRDefault="00BB1C9F" w:rsidP="003A1BD9">
            <w:pPr>
              <w:pStyle w:val="Tdec"/>
              <w:rPr>
                <w:rFonts w:ascii="Arial" w:hAnsi="Arial" w:cs="Arial"/>
                <w:sz w:val="19"/>
                <w:szCs w:val="19"/>
                <w:highlight w:val="yellow"/>
              </w:rPr>
            </w:pPr>
          </w:p>
        </w:tc>
        <w:tc>
          <w:tcPr>
            <w:tcW w:w="1106" w:type="dxa"/>
          </w:tcPr>
          <w:p w:rsidR="00BB1C9F" w:rsidRPr="00C46A29" w:rsidRDefault="00BB1C9F" w:rsidP="003A1BD9">
            <w:pPr>
              <w:pStyle w:val="Tdec"/>
              <w:rPr>
                <w:rFonts w:ascii="Arial" w:hAnsi="Arial" w:cs="Arial"/>
                <w:sz w:val="19"/>
                <w:szCs w:val="19"/>
                <w:highlight w:val="yellow"/>
              </w:rPr>
            </w:pPr>
          </w:p>
        </w:tc>
        <w:tc>
          <w:tcPr>
            <w:tcW w:w="1134" w:type="dxa"/>
          </w:tcPr>
          <w:p w:rsidR="00BB1C9F" w:rsidRPr="00BC2CD5" w:rsidRDefault="00FF5377" w:rsidP="003A1BD9">
            <w:pPr>
              <w:pStyle w:val="Tdec"/>
              <w:rPr>
                <w:rFonts w:ascii="Arial" w:hAnsi="Arial" w:cs="Arial"/>
                <w:sz w:val="19"/>
                <w:szCs w:val="19"/>
              </w:rPr>
            </w:pPr>
            <w:r w:rsidRPr="00BC2CD5">
              <w:rPr>
                <w:rFonts w:ascii="Arial" w:hAnsi="Arial" w:cs="Arial"/>
                <w:sz w:val="19"/>
                <w:szCs w:val="19"/>
              </w:rPr>
              <w:t>4</w:t>
            </w:r>
            <w:r w:rsidR="00374FAB" w:rsidRPr="00BC2CD5">
              <w:rPr>
                <w:rFonts w:ascii="Arial" w:hAnsi="Arial" w:cs="Arial"/>
                <w:sz w:val="19"/>
                <w:szCs w:val="19"/>
              </w:rPr>
              <w:t>71</w:t>
            </w:r>
          </w:p>
        </w:tc>
        <w:tc>
          <w:tcPr>
            <w:tcW w:w="1134" w:type="dxa"/>
          </w:tcPr>
          <w:p w:rsidR="00BB1C9F" w:rsidRPr="00BB2A59" w:rsidRDefault="00BB2A59" w:rsidP="003A1BD9">
            <w:pPr>
              <w:pStyle w:val="Tdec"/>
              <w:rPr>
                <w:rFonts w:ascii="Arial" w:hAnsi="Arial" w:cs="Arial"/>
                <w:sz w:val="19"/>
                <w:szCs w:val="19"/>
              </w:rPr>
            </w:pPr>
            <w:r w:rsidRPr="00BB2A59">
              <w:rPr>
                <w:rFonts w:ascii="Arial" w:hAnsi="Arial" w:cs="Arial"/>
                <w:sz w:val="19"/>
                <w:szCs w:val="19"/>
              </w:rPr>
              <w:t>457</w:t>
            </w:r>
          </w:p>
        </w:tc>
      </w:tr>
      <w:tr w:rsidR="00114071" w:rsidRPr="00C46A29" w:rsidTr="003D06E8">
        <w:trPr>
          <w:cantSplit/>
        </w:trPr>
        <w:tc>
          <w:tcPr>
            <w:tcW w:w="5308" w:type="dxa"/>
          </w:tcPr>
          <w:p w:rsidR="00114071" w:rsidRPr="00BB2A59" w:rsidRDefault="00114071" w:rsidP="003A1BD9">
            <w:pPr>
              <w:pStyle w:val="Tindent"/>
              <w:rPr>
                <w:rFonts w:ascii="Arial" w:hAnsi="Arial" w:cs="Arial"/>
                <w:sz w:val="19"/>
                <w:szCs w:val="19"/>
              </w:rPr>
            </w:pPr>
          </w:p>
        </w:tc>
        <w:tc>
          <w:tcPr>
            <w:tcW w:w="816" w:type="dxa"/>
          </w:tcPr>
          <w:p w:rsidR="00114071" w:rsidRPr="00C46A29" w:rsidRDefault="00114071" w:rsidP="003A1BD9">
            <w:pPr>
              <w:pStyle w:val="Tdec"/>
              <w:rPr>
                <w:rFonts w:ascii="Arial" w:hAnsi="Arial" w:cs="Arial"/>
                <w:sz w:val="19"/>
                <w:szCs w:val="19"/>
                <w:highlight w:val="yellow"/>
              </w:rPr>
            </w:pPr>
          </w:p>
        </w:tc>
        <w:tc>
          <w:tcPr>
            <w:tcW w:w="1106" w:type="dxa"/>
          </w:tcPr>
          <w:p w:rsidR="00114071" w:rsidRPr="00C46A29" w:rsidRDefault="00114071" w:rsidP="003A1BD9">
            <w:pPr>
              <w:pStyle w:val="Tdec"/>
              <w:rPr>
                <w:rFonts w:ascii="Arial" w:hAnsi="Arial" w:cs="Arial"/>
                <w:sz w:val="19"/>
                <w:szCs w:val="19"/>
                <w:highlight w:val="yellow"/>
              </w:rPr>
            </w:pPr>
          </w:p>
        </w:tc>
        <w:tc>
          <w:tcPr>
            <w:tcW w:w="1134" w:type="dxa"/>
          </w:tcPr>
          <w:p w:rsidR="00114071" w:rsidRPr="00BC2CD5" w:rsidRDefault="00114071" w:rsidP="003A1BD9">
            <w:pPr>
              <w:pStyle w:val="Tdec"/>
              <w:rPr>
                <w:rFonts w:ascii="Arial" w:hAnsi="Arial" w:cs="Arial"/>
                <w:sz w:val="19"/>
                <w:szCs w:val="19"/>
              </w:rPr>
            </w:pPr>
          </w:p>
        </w:tc>
        <w:tc>
          <w:tcPr>
            <w:tcW w:w="1134" w:type="dxa"/>
          </w:tcPr>
          <w:p w:rsidR="00114071" w:rsidRPr="00BB2A59" w:rsidRDefault="00114071" w:rsidP="003A1BD9">
            <w:pPr>
              <w:pStyle w:val="Tdec"/>
              <w:rPr>
                <w:rFonts w:ascii="Arial" w:hAnsi="Arial" w:cs="Arial"/>
                <w:sz w:val="19"/>
                <w:szCs w:val="19"/>
              </w:rPr>
            </w:pPr>
          </w:p>
        </w:tc>
      </w:tr>
      <w:tr w:rsidR="00BB1C9F" w:rsidRPr="00C46A29" w:rsidTr="003D06E8">
        <w:trPr>
          <w:cantSplit/>
        </w:trPr>
        <w:tc>
          <w:tcPr>
            <w:tcW w:w="5308" w:type="dxa"/>
          </w:tcPr>
          <w:p w:rsidR="00BB1C9F" w:rsidRPr="00BB2A59" w:rsidRDefault="00BB1C9F" w:rsidP="003A1BD9">
            <w:pPr>
              <w:pStyle w:val="Tindent"/>
              <w:rPr>
                <w:rFonts w:ascii="Arial" w:hAnsi="Arial" w:cs="Arial"/>
                <w:sz w:val="19"/>
                <w:szCs w:val="19"/>
              </w:rPr>
            </w:pPr>
            <w:r w:rsidRPr="00BB2A59">
              <w:rPr>
                <w:rFonts w:ascii="Arial" w:hAnsi="Arial" w:cs="Arial"/>
                <w:sz w:val="19"/>
                <w:szCs w:val="19"/>
              </w:rPr>
              <w:t>Release of deferred income</w:t>
            </w:r>
          </w:p>
        </w:tc>
        <w:tc>
          <w:tcPr>
            <w:tcW w:w="816" w:type="dxa"/>
          </w:tcPr>
          <w:p w:rsidR="00BB1C9F" w:rsidRPr="00C46A29" w:rsidRDefault="00BB1C9F" w:rsidP="003A1BD9">
            <w:pPr>
              <w:pStyle w:val="Tdec"/>
              <w:rPr>
                <w:rFonts w:ascii="Arial" w:hAnsi="Arial" w:cs="Arial"/>
                <w:sz w:val="19"/>
                <w:szCs w:val="19"/>
                <w:highlight w:val="yellow"/>
              </w:rPr>
            </w:pPr>
          </w:p>
        </w:tc>
        <w:tc>
          <w:tcPr>
            <w:tcW w:w="1106" w:type="dxa"/>
          </w:tcPr>
          <w:p w:rsidR="00BB1C9F" w:rsidRPr="00C46A29" w:rsidRDefault="00BB1C9F" w:rsidP="003A1BD9">
            <w:pPr>
              <w:pStyle w:val="Tdec"/>
              <w:rPr>
                <w:rFonts w:ascii="Arial" w:hAnsi="Arial" w:cs="Arial"/>
                <w:sz w:val="19"/>
                <w:szCs w:val="19"/>
                <w:highlight w:val="yellow"/>
              </w:rPr>
            </w:pPr>
          </w:p>
        </w:tc>
        <w:tc>
          <w:tcPr>
            <w:tcW w:w="1134" w:type="dxa"/>
          </w:tcPr>
          <w:p w:rsidR="00BB1C9F" w:rsidRPr="00BC2CD5" w:rsidRDefault="00125362" w:rsidP="003A1BD9">
            <w:pPr>
              <w:pStyle w:val="Tdec"/>
              <w:rPr>
                <w:rFonts w:ascii="Arial" w:hAnsi="Arial" w:cs="Arial"/>
                <w:sz w:val="19"/>
                <w:szCs w:val="19"/>
              </w:rPr>
            </w:pPr>
            <w:r w:rsidRPr="00BC2CD5">
              <w:rPr>
                <w:rFonts w:ascii="Arial" w:hAnsi="Arial" w:cs="Arial"/>
                <w:sz w:val="19"/>
                <w:szCs w:val="19"/>
              </w:rPr>
              <w:t>(21)</w:t>
            </w:r>
          </w:p>
        </w:tc>
        <w:tc>
          <w:tcPr>
            <w:tcW w:w="1134" w:type="dxa"/>
          </w:tcPr>
          <w:p w:rsidR="00BB1C9F" w:rsidRPr="00BB2A59" w:rsidRDefault="00BB1C9F" w:rsidP="003A1BD9">
            <w:pPr>
              <w:pStyle w:val="Tdec"/>
              <w:rPr>
                <w:rFonts w:ascii="Arial" w:hAnsi="Arial" w:cs="Arial"/>
                <w:sz w:val="19"/>
                <w:szCs w:val="19"/>
              </w:rPr>
            </w:pPr>
            <w:r w:rsidRPr="00BB2A59">
              <w:rPr>
                <w:rFonts w:ascii="Arial" w:hAnsi="Arial" w:cs="Arial"/>
                <w:sz w:val="19"/>
                <w:szCs w:val="19"/>
              </w:rPr>
              <w:t>(21)</w:t>
            </w:r>
          </w:p>
        </w:tc>
      </w:tr>
      <w:tr w:rsidR="00BB1C9F" w:rsidRPr="00C46A29" w:rsidTr="003D06E8">
        <w:trPr>
          <w:cantSplit/>
        </w:trPr>
        <w:tc>
          <w:tcPr>
            <w:tcW w:w="5308" w:type="dxa"/>
          </w:tcPr>
          <w:p w:rsidR="00BB1C9F" w:rsidRPr="00BB2A59" w:rsidRDefault="00BB1C9F" w:rsidP="003A1BD9">
            <w:pPr>
              <w:pStyle w:val="B0"/>
              <w:spacing w:line="240" w:lineRule="auto"/>
              <w:rPr>
                <w:rFonts w:ascii="Arial" w:hAnsi="Arial" w:cs="Arial"/>
                <w:sz w:val="19"/>
                <w:szCs w:val="19"/>
              </w:rPr>
            </w:pPr>
          </w:p>
        </w:tc>
        <w:tc>
          <w:tcPr>
            <w:tcW w:w="816" w:type="dxa"/>
          </w:tcPr>
          <w:p w:rsidR="00BB1C9F" w:rsidRPr="00C46A29" w:rsidRDefault="00BB1C9F" w:rsidP="003A1BD9">
            <w:pPr>
              <w:pStyle w:val="B0"/>
              <w:spacing w:line="240" w:lineRule="auto"/>
              <w:rPr>
                <w:rFonts w:ascii="Arial" w:hAnsi="Arial" w:cs="Arial"/>
                <w:sz w:val="19"/>
                <w:szCs w:val="19"/>
                <w:highlight w:val="yellow"/>
              </w:rPr>
            </w:pPr>
          </w:p>
        </w:tc>
        <w:tc>
          <w:tcPr>
            <w:tcW w:w="1106" w:type="dxa"/>
          </w:tcPr>
          <w:p w:rsidR="00BB1C9F" w:rsidRPr="00C46A29" w:rsidRDefault="00BB1C9F" w:rsidP="003A1BD9">
            <w:pPr>
              <w:pStyle w:val="B0"/>
              <w:spacing w:line="240" w:lineRule="auto"/>
              <w:rPr>
                <w:rFonts w:ascii="Arial" w:hAnsi="Arial" w:cs="Arial"/>
                <w:sz w:val="19"/>
                <w:szCs w:val="19"/>
                <w:highlight w:val="yellow"/>
              </w:rPr>
            </w:pPr>
          </w:p>
        </w:tc>
        <w:tc>
          <w:tcPr>
            <w:tcW w:w="1134" w:type="dxa"/>
          </w:tcPr>
          <w:p w:rsidR="00BB1C9F" w:rsidRPr="00C46A29" w:rsidRDefault="00BB1C9F" w:rsidP="003A1BD9">
            <w:pPr>
              <w:pStyle w:val="D9"/>
              <w:spacing w:line="240" w:lineRule="auto"/>
              <w:rPr>
                <w:rFonts w:ascii="Arial" w:hAnsi="Arial" w:cs="Arial"/>
                <w:sz w:val="19"/>
                <w:szCs w:val="19"/>
                <w:highlight w:val="yellow"/>
              </w:rPr>
            </w:pPr>
          </w:p>
        </w:tc>
        <w:tc>
          <w:tcPr>
            <w:tcW w:w="1134" w:type="dxa"/>
          </w:tcPr>
          <w:p w:rsidR="00BB1C9F" w:rsidRPr="00BB2A59" w:rsidRDefault="00BB1C9F" w:rsidP="003A1BD9">
            <w:pPr>
              <w:pStyle w:val="D9"/>
              <w:spacing w:line="240" w:lineRule="auto"/>
              <w:rPr>
                <w:rFonts w:ascii="Arial" w:hAnsi="Arial" w:cs="Arial"/>
                <w:sz w:val="19"/>
                <w:szCs w:val="19"/>
              </w:rPr>
            </w:pPr>
          </w:p>
        </w:tc>
      </w:tr>
      <w:tr w:rsidR="00BB1C9F" w:rsidRPr="00C46A29" w:rsidTr="003D06E8">
        <w:trPr>
          <w:cantSplit/>
        </w:trPr>
        <w:tc>
          <w:tcPr>
            <w:tcW w:w="5308" w:type="dxa"/>
          </w:tcPr>
          <w:p w:rsidR="00BB1C9F" w:rsidRPr="00BB2A59" w:rsidRDefault="00BB1C9F" w:rsidP="003A1BD9">
            <w:pPr>
              <w:pStyle w:val="Tindent"/>
              <w:rPr>
                <w:rFonts w:ascii="Arial" w:hAnsi="Arial" w:cs="Arial"/>
                <w:sz w:val="19"/>
                <w:szCs w:val="19"/>
              </w:rPr>
            </w:pPr>
          </w:p>
        </w:tc>
        <w:tc>
          <w:tcPr>
            <w:tcW w:w="816" w:type="dxa"/>
          </w:tcPr>
          <w:p w:rsidR="00BB1C9F" w:rsidRPr="00C46A29" w:rsidRDefault="00BB1C9F" w:rsidP="003A1BD9">
            <w:pPr>
              <w:pStyle w:val="Tdec"/>
              <w:rPr>
                <w:rFonts w:ascii="Arial" w:hAnsi="Arial" w:cs="Arial"/>
                <w:sz w:val="19"/>
                <w:szCs w:val="19"/>
                <w:highlight w:val="yellow"/>
              </w:rPr>
            </w:pPr>
          </w:p>
        </w:tc>
        <w:tc>
          <w:tcPr>
            <w:tcW w:w="1106" w:type="dxa"/>
          </w:tcPr>
          <w:p w:rsidR="00BB1C9F" w:rsidRPr="00C46A29" w:rsidRDefault="00BB1C9F" w:rsidP="003A1BD9">
            <w:pPr>
              <w:pStyle w:val="Tdec"/>
              <w:rPr>
                <w:rFonts w:ascii="Arial" w:hAnsi="Arial" w:cs="Arial"/>
                <w:sz w:val="19"/>
                <w:szCs w:val="19"/>
                <w:highlight w:val="yellow"/>
              </w:rPr>
            </w:pPr>
          </w:p>
        </w:tc>
        <w:tc>
          <w:tcPr>
            <w:tcW w:w="1134" w:type="dxa"/>
          </w:tcPr>
          <w:p w:rsidR="00BB1C9F" w:rsidRPr="00C46A29" w:rsidRDefault="00BB1C9F" w:rsidP="003A1BD9">
            <w:pPr>
              <w:pStyle w:val="Tdec"/>
              <w:rPr>
                <w:rFonts w:ascii="Arial" w:hAnsi="Arial" w:cs="Arial"/>
                <w:sz w:val="19"/>
                <w:szCs w:val="19"/>
                <w:highlight w:val="yellow"/>
              </w:rPr>
            </w:pPr>
          </w:p>
        </w:tc>
        <w:tc>
          <w:tcPr>
            <w:tcW w:w="1134" w:type="dxa"/>
          </w:tcPr>
          <w:p w:rsidR="00BB1C9F" w:rsidRPr="00BB2A59" w:rsidRDefault="00BB1C9F" w:rsidP="003A1BD9">
            <w:pPr>
              <w:pStyle w:val="Tdec"/>
              <w:rPr>
                <w:rFonts w:ascii="Arial" w:hAnsi="Arial" w:cs="Arial"/>
                <w:sz w:val="19"/>
                <w:szCs w:val="19"/>
              </w:rPr>
            </w:pPr>
          </w:p>
        </w:tc>
      </w:tr>
      <w:tr w:rsidR="00BB1C9F" w:rsidRPr="00C46A29" w:rsidTr="003D06E8">
        <w:trPr>
          <w:cantSplit/>
        </w:trPr>
        <w:tc>
          <w:tcPr>
            <w:tcW w:w="5308" w:type="dxa"/>
          </w:tcPr>
          <w:p w:rsidR="00BB1C9F" w:rsidRPr="00BB2A59" w:rsidRDefault="00BB1C9F" w:rsidP="003A1BD9">
            <w:pPr>
              <w:pStyle w:val="Tindent"/>
              <w:rPr>
                <w:rFonts w:ascii="Arial" w:hAnsi="Arial" w:cs="Arial"/>
                <w:sz w:val="19"/>
                <w:szCs w:val="19"/>
              </w:rPr>
            </w:pPr>
          </w:p>
        </w:tc>
        <w:tc>
          <w:tcPr>
            <w:tcW w:w="816" w:type="dxa"/>
          </w:tcPr>
          <w:p w:rsidR="00BB1C9F" w:rsidRPr="00C46A29" w:rsidRDefault="00BB1C9F" w:rsidP="003A1BD9">
            <w:pPr>
              <w:pStyle w:val="Tdec"/>
              <w:rPr>
                <w:rFonts w:ascii="Arial" w:hAnsi="Arial" w:cs="Arial"/>
                <w:sz w:val="19"/>
                <w:szCs w:val="19"/>
                <w:highlight w:val="yellow"/>
              </w:rPr>
            </w:pPr>
          </w:p>
        </w:tc>
        <w:tc>
          <w:tcPr>
            <w:tcW w:w="1106" w:type="dxa"/>
          </w:tcPr>
          <w:p w:rsidR="00BB1C9F" w:rsidRPr="00C46A29" w:rsidRDefault="00BB1C9F" w:rsidP="003A1BD9">
            <w:pPr>
              <w:pStyle w:val="Tdec"/>
              <w:rPr>
                <w:rFonts w:ascii="Arial" w:hAnsi="Arial" w:cs="Arial"/>
                <w:sz w:val="19"/>
                <w:szCs w:val="19"/>
                <w:highlight w:val="yellow"/>
              </w:rPr>
            </w:pPr>
          </w:p>
        </w:tc>
        <w:tc>
          <w:tcPr>
            <w:tcW w:w="1134" w:type="dxa"/>
          </w:tcPr>
          <w:p w:rsidR="00BB1C9F" w:rsidRPr="00C46A29" w:rsidRDefault="00BB1C9F" w:rsidP="003A1BD9">
            <w:pPr>
              <w:pStyle w:val="Tdec"/>
              <w:rPr>
                <w:rFonts w:ascii="Arial" w:hAnsi="Arial" w:cs="Arial"/>
                <w:sz w:val="19"/>
                <w:szCs w:val="19"/>
                <w:highlight w:val="yellow"/>
              </w:rPr>
            </w:pPr>
          </w:p>
        </w:tc>
        <w:tc>
          <w:tcPr>
            <w:tcW w:w="1134" w:type="dxa"/>
          </w:tcPr>
          <w:p w:rsidR="00BB1C9F" w:rsidRPr="00BB2A59" w:rsidRDefault="00BB1C9F" w:rsidP="003A1BD9">
            <w:pPr>
              <w:pStyle w:val="Tdec"/>
              <w:rPr>
                <w:rFonts w:ascii="Arial" w:hAnsi="Arial" w:cs="Arial"/>
                <w:sz w:val="19"/>
                <w:szCs w:val="19"/>
              </w:rPr>
            </w:pPr>
          </w:p>
        </w:tc>
      </w:tr>
      <w:tr w:rsidR="006D4766" w:rsidRPr="00C46A29" w:rsidTr="003D06E8">
        <w:trPr>
          <w:cantSplit/>
        </w:trPr>
        <w:tc>
          <w:tcPr>
            <w:tcW w:w="5308" w:type="dxa"/>
          </w:tcPr>
          <w:p w:rsidR="006D4766" w:rsidRPr="00BB2A59" w:rsidRDefault="006D4766" w:rsidP="003A1BD9">
            <w:pPr>
              <w:pStyle w:val="Thead"/>
              <w:rPr>
                <w:rFonts w:ascii="Arial" w:hAnsi="Arial" w:cs="Arial"/>
                <w:sz w:val="19"/>
                <w:szCs w:val="19"/>
              </w:rPr>
            </w:pPr>
          </w:p>
        </w:tc>
        <w:tc>
          <w:tcPr>
            <w:tcW w:w="816" w:type="dxa"/>
          </w:tcPr>
          <w:p w:rsidR="006D4766" w:rsidRPr="00C46A29" w:rsidRDefault="006D4766" w:rsidP="003A1BD9">
            <w:pPr>
              <w:pStyle w:val="Thead"/>
              <w:rPr>
                <w:rFonts w:ascii="Arial" w:hAnsi="Arial" w:cs="Arial"/>
                <w:sz w:val="19"/>
                <w:szCs w:val="19"/>
                <w:highlight w:val="yellow"/>
              </w:rPr>
            </w:pPr>
          </w:p>
        </w:tc>
        <w:tc>
          <w:tcPr>
            <w:tcW w:w="1106" w:type="dxa"/>
          </w:tcPr>
          <w:p w:rsidR="006D4766" w:rsidRPr="00C46A29" w:rsidRDefault="006D4766" w:rsidP="003A1BD9">
            <w:pPr>
              <w:pStyle w:val="Thead"/>
              <w:rPr>
                <w:rFonts w:ascii="Arial" w:hAnsi="Arial" w:cs="Arial"/>
                <w:sz w:val="19"/>
                <w:szCs w:val="19"/>
                <w:highlight w:val="yellow"/>
              </w:rPr>
            </w:pPr>
          </w:p>
        </w:tc>
        <w:tc>
          <w:tcPr>
            <w:tcW w:w="1134" w:type="dxa"/>
          </w:tcPr>
          <w:p w:rsidR="006D4766" w:rsidRPr="00C46A29" w:rsidRDefault="006D4766" w:rsidP="003A1BD9">
            <w:pPr>
              <w:pStyle w:val="Thead"/>
              <w:rPr>
                <w:rFonts w:ascii="Arial" w:hAnsi="Arial" w:cs="Arial"/>
                <w:sz w:val="19"/>
                <w:szCs w:val="19"/>
                <w:highlight w:val="yellow"/>
              </w:rPr>
            </w:pPr>
          </w:p>
        </w:tc>
        <w:tc>
          <w:tcPr>
            <w:tcW w:w="1134" w:type="dxa"/>
          </w:tcPr>
          <w:p w:rsidR="006D4766" w:rsidRPr="00BB2A59" w:rsidRDefault="006D4766" w:rsidP="003A1BD9">
            <w:pPr>
              <w:pStyle w:val="Thead"/>
              <w:rPr>
                <w:rFonts w:ascii="Arial" w:hAnsi="Arial" w:cs="Arial"/>
                <w:sz w:val="19"/>
                <w:szCs w:val="19"/>
              </w:rPr>
            </w:pPr>
          </w:p>
        </w:tc>
      </w:tr>
      <w:tr w:rsidR="006D4766" w:rsidRPr="00C46A29" w:rsidTr="003D06E8">
        <w:trPr>
          <w:cantSplit/>
        </w:trPr>
        <w:tc>
          <w:tcPr>
            <w:tcW w:w="5308" w:type="dxa"/>
          </w:tcPr>
          <w:p w:rsidR="006D4766" w:rsidRPr="00BB2A59" w:rsidRDefault="00215CBC" w:rsidP="003A1BD9">
            <w:pPr>
              <w:pStyle w:val="Tindent"/>
              <w:rPr>
                <w:rFonts w:ascii="Arial" w:hAnsi="Arial" w:cs="Arial"/>
                <w:sz w:val="19"/>
                <w:szCs w:val="19"/>
              </w:rPr>
            </w:pPr>
            <w:r>
              <w:rPr>
                <w:rFonts w:ascii="Arial" w:hAnsi="Arial" w:cs="Arial"/>
                <w:sz w:val="19"/>
                <w:szCs w:val="19"/>
              </w:rPr>
              <w:t>Auditor</w:t>
            </w:r>
            <w:r w:rsidR="00BB1C9F" w:rsidRPr="00BB2A59">
              <w:rPr>
                <w:rFonts w:ascii="Arial" w:hAnsi="Arial" w:cs="Arial"/>
                <w:sz w:val="19"/>
                <w:szCs w:val="19"/>
              </w:rPr>
              <w:t>’</w:t>
            </w:r>
            <w:r>
              <w:rPr>
                <w:rFonts w:ascii="Arial" w:hAnsi="Arial" w:cs="Arial"/>
                <w:sz w:val="19"/>
                <w:szCs w:val="19"/>
              </w:rPr>
              <w:t>s</w:t>
            </w:r>
            <w:r w:rsidR="00BB1C9F" w:rsidRPr="00BB2A59">
              <w:rPr>
                <w:rFonts w:ascii="Arial" w:hAnsi="Arial" w:cs="Arial"/>
                <w:sz w:val="19"/>
                <w:szCs w:val="19"/>
              </w:rPr>
              <w:t xml:space="preserve"> remuneration:</w:t>
            </w:r>
          </w:p>
        </w:tc>
        <w:tc>
          <w:tcPr>
            <w:tcW w:w="816" w:type="dxa"/>
          </w:tcPr>
          <w:p w:rsidR="006D4766" w:rsidRPr="00C46A29" w:rsidRDefault="006D4766" w:rsidP="003A1BD9">
            <w:pPr>
              <w:pStyle w:val="Tdec"/>
              <w:rPr>
                <w:rFonts w:ascii="Arial" w:hAnsi="Arial" w:cs="Arial"/>
                <w:sz w:val="19"/>
                <w:szCs w:val="19"/>
                <w:highlight w:val="yellow"/>
              </w:rPr>
            </w:pPr>
          </w:p>
        </w:tc>
        <w:tc>
          <w:tcPr>
            <w:tcW w:w="1106"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5300DC" w:rsidRDefault="006D4766" w:rsidP="003A1BD9">
            <w:pPr>
              <w:pStyle w:val="Tdec"/>
              <w:rPr>
                <w:rFonts w:ascii="Arial" w:hAnsi="Arial" w:cs="Arial"/>
                <w:sz w:val="19"/>
                <w:szCs w:val="19"/>
              </w:rPr>
            </w:pPr>
          </w:p>
        </w:tc>
        <w:tc>
          <w:tcPr>
            <w:tcW w:w="1134" w:type="dxa"/>
          </w:tcPr>
          <w:p w:rsidR="006D4766" w:rsidRPr="00BB2A59" w:rsidRDefault="006D4766" w:rsidP="003A1BD9">
            <w:pPr>
              <w:pStyle w:val="Tdec"/>
              <w:rPr>
                <w:rFonts w:ascii="Arial" w:hAnsi="Arial" w:cs="Arial"/>
                <w:sz w:val="19"/>
                <w:szCs w:val="19"/>
              </w:rPr>
            </w:pPr>
          </w:p>
        </w:tc>
      </w:tr>
      <w:tr w:rsidR="006D4766" w:rsidRPr="00C46A29" w:rsidTr="003D06E8">
        <w:trPr>
          <w:cantSplit/>
        </w:trPr>
        <w:tc>
          <w:tcPr>
            <w:tcW w:w="5308" w:type="dxa"/>
          </w:tcPr>
          <w:p w:rsidR="006D4766" w:rsidRPr="00BB2A59" w:rsidRDefault="00BB1C9F" w:rsidP="003A1BD9">
            <w:pPr>
              <w:pStyle w:val="Tindent"/>
              <w:rPr>
                <w:rFonts w:ascii="Arial" w:hAnsi="Arial" w:cs="Arial"/>
                <w:sz w:val="19"/>
                <w:szCs w:val="19"/>
              </w:rPr>
            </w:pPr>
            <w:r w:rsidRPr="00BB2A59">
              <w:rPr>
                <w:rFonts w:ascii="Arial" w:hAnsi="Arial" w:cs="Arial"/>
                <w:sz w:val="19"/>
                <w:szCs w:val="19"/>
              </w:rPr>
              <w:t>Audit of the financial statements</w:t>
            </w:r>
          </w:p>
        </w:tc>
        <w:tc>
          <w:tcPr>
            <w:tcW w:w="816" w:type="dxa"/>
          </w:tcPr>
          <w:p w:rsidR="006D4766" w:rsidRPr="00C46A29" w:rsidRDefault="006D4766" w:rsidP="003A1BD9">
            <w:pPr>
              <w:pStyle w:val="Tdec"/>
              <w:rPr>
                <w:rFonts w:ascii="Arial" w:hAnsi="Arial" w:cs="Arial"/>
                <w:sz w:val="19"/>
                <w:szCs w:val="19"/>
                <w:highlight w:val="yellow"/>
              </w:rPr>
            </w:pPr>
          </w:p>
        </w:tc>
        <w:tc>
          <w:tcPr>
            <w:tcW w:w="1106"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5300DC" w:rsidRDefault="00125362" w:rsidP="003A1BD9">
            <w:pPr>
              <w:pStyle w:val="Tdec"/>
              <w:rPr>
                <w:rFonts w:ascii="Arial" w:hAnsi="Arial" w:cs="Arial"/>
                <w:sz w:val="19"/>
                <w:szCs w:val="19"/>
              </w:rPr>
            </w:pPr>
            <w:r w:rsidRPr="005300DC">
              <w:rPr>
                <w:rFonts w:ascii="Arial" w:hAnsi="Arial" w:cs="Arial"/>
                <w:sz w:val="19"/>
                <w:szCs w:val="19"/>
              </w:rPr>
              <w:t>1</w:t>
            </w:r>
            <w:r w:rsidR="005300DC" w:rsidRPr="005300DC">
              <w:rPr>
                <w:rFonts w:ascii="Arial" w:hAnsi="Arial" w:cs="Arial"/>
                <w:sz w:val="19"/>
                <w:szCs w:val="19"/>
              </w:rPr>
              <w:t>6</w:t>
            </w:r>
          </w:p>
        </w:tc>
        <w:tc>
          <w:tcPr>
            <w:tcW w:w="1134" w:type="dxa"/>
          </w:tcPr>
          <w:p w:rsidR="006D4766" w:rsidRPr="00BB2A59" w:rsidRDefault="00BB1C9F" w:rsidP="003A1BD9">
            <w:pPr>
              <w:pStyle w:val="Tdec"/>
              <w:rPr>
                <w:rFonts w:ascii="Arial" w:hAnsi="Arial" w:cs="Arial"/>
                <w:sz w:val="19"/>
                <w:szCs w:val="19"/>
              </w:rPr>
            </w:pPr>
            <w:r w:rsidRPr="00BB2A59">
              <w:rPr>
                <w:rFonts w:ascii="Arial" w:hAnsi="Arial" w:cs="Arial"/>
                <w:sz w:val="19"/>
                <w:szCs w:val="19"/>
              </w:rPr>
              <w:t>1</w:t>
            </w:r>
            <w:r w:rsidR="00BB2A59" w:rsidRPr="00BB2A59">
              <w:rPr>
                <w:rFonts w:ascii="Arial" w:hAnsi="Arial" w:cs="Arial"/>
                <w:sz w:val="19"/>
                <w:szCs w:val="19"/>
              </w:rPr>
              <w:t>3</w:t>
            </w:r>
          </w:p>
        </w:tc>
      </w:tr>
      <w:tr w:rsidR="006D4766" w:rsidRPr="00C46A29" w:rsidTr="003D06E8">
        <w:trPr>
          <w:cantSplit/>
        </w:trPr>
        <w:tc>
          <w:tcPr>
            <w:tcW w:w="5308" w:type="dxa"/>
          </w:tcPr>
          <w:p w:rsidR="006D4766" w:rsidRPr="00BB2A59" w:rsidRDefault="00BB1C9F" w:rsidP="003A1BD9">
            <w:pPr>
              <w:pStyle w:val="Tindent"/>
              <w:rPr>
                <w:rFonts w:ascii="Arial" w:hAnsi="Arial" w:cs="Arial"/>
                <w:sz w:val="19"/>
                <w:szCs w:val="19"/>
              </w:rPr>
            </w:pPr>
            <w:r w:rsidRPr="00BB2A59">
              <w:rPr>
                <w:rFonts w:ascii="Arial" w:hAnsi="Arial" w:cs="Arial"/>
                <w:sz w:val="19"/>
                <w:szCs w:val="19"/>
              </w:rPr>
              <w:t>Other services relating to taxation</w:t>
            </w:r>
          </w:p>
        </w:tc>
        <w:tc>
          <w:tcPr>
            <w:tcW w:w="816" w:type="dxa"/>
          </w:tcPr>
          <w:p w:rsidR="006D4766" w:rsidRPr="00C46A29" w:rsidRDefault="006D4766" w:rsidP="003A1BD9">
            <w:pPr>
              <w:pStyle w:val="Tdec"/>
              <w:rPr>
                <w:rFonts w:ascii="Arial" w:hAnsi="Arial" w:cs="Arial"/>
                <w:sz w:val="19"/>
                <w:szCs w:val="19"/>
                <w:highlight w:val="yellow"/>
              </w:rPr>
            </w:pPr>
          </w:p>
        </w:tc>
        <w:tc>
          <w:tcPr>
            <w:tcW w:w="1106"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5300DC" w:rsidRDefault="005300DC" w:rsidP="003A1BD9">
            <w:pPr>
              <w:pStyle w:val="Tdec"/>
              <w:rPr>
                <w:rFonts w:ascii="Arial" w:hAnsi="Arial" w:cs="Arial"/>
                <w:sz w:val="19"/>
                <w:szCs w:val="19"/>
              </w:rPr>
            </w:pPr>
            <w:r w:rsidRPr="005300DC">
              <w:rPr>
                <w:rFonts w:ascii="Arial" w:hAnsi="Arial" w:cs="Arial"/>
                <w:sz w:val="19"/>
                <w:szCs w:val="19"/>
              </w:rPr>
              <w:t>2</w:t>
            </w:r>
          </w:p>
        </w:tc>
        <w:tc>
          <w:tcPr>
            <w:tcW w:w="1134" w:type="dxa"/>
          </w:tcPr>
          <w:p w:rsidR="006D4766" w:rsidRPr="00BB2A59" w:rsidRDefault="00BB2A59" w:rsidP="003A1BD9">
            <w:pPr>
              <w:pStyle w:val="Tdec"/>
              <w:rPr>
                <w:rFonts w:ascii="Arial" w:hAnsi="Arial" w:cs="Arial"/>
                <w:sz w:val="19"/>
                <w:szCs w:val="19"/>
              </w:rPr>
            </w:pPr>
            <w:r w:rsidRPr="00BB2A59">
              <w:rPr>
                <w:rFonts w:ascii="Arial" w:hAnsi="Arial" w:cs="Arial"/>
                <w:sz w:val="19"/>
                <w:szCs w:val="19"/>
              </w:rPr>
              <w:t>19</w:t>
            </w:r>
          </w:p>
        </w:tc>
      </w:tr>
      <w:tr w:rsidR="006D4766" w:rsidRPr="00C46A29" w:rsidTr="00BB2A59">
        <w:trPr>
          <w:cantSplit/>
          <w:trHeight w:val="66"/>
        </w:trPr>
        <w:tc>
          <w:tcPr>
            <w:tcW w:w="5308" w:type="dxa"/>
          </w:tcPr>
          <w:p w:rsidR="006D4766" w:rsidRPr="00C46A29" w:rsidRDefault="006D4766" w:rsidP="003A1BD9">
            <w:pPr>
              <w:pStyle w:val="Tindent"/>
              <w:rPr>
                <w:rFonts w:ascii="Arial" w:hAnsi="Arial" w:cs="Arial"/>
                <w:sz w:val="19"/>
                <w:szCs w:val="19"/>
                <w:highlight w:val="yellow"/>
              </w:rPr>
            </w:pPr>
          </w:p>
        </w:tc>
        <w:tc>
          <w:tcPr>
            <w:tcW w:w="816" w:type="dxa"/>
          </w:tcPr>
          <w:p w:rsidR="006D4766" w:rsidRPr="00C46A29" w:rsidRDefault="006D4766" w:rsidP="003A1BD9">
            <w:pPr>
              <w:pStyle w:val="Tdec"/>
              <w:rPr>
                <w:rFonts w:ascii="Arial" w:hAnsi="Arial" w:cs="Arial"/>
                <w:sz w:val="19"/>
                <w:szCs w:val="19"/>
                <w:highlight w:val="yellow"/>
              </w:rPr>
            </w:pPr>
          </w:p>
        </w:tc>
        <w:tc>
          <w:tcPr>
            <w:tcW w:w="1106" w:type="dxa"/>
          </w:tcPr>
          <w:p w:rsidR="006D4766" w:rsidRPr="00C46A29" w:rsidRDefault="006D4766" w:rsidP="003A1BD9">
            <w:pPr>
              <w:pStyle w:val="Tdec"/>
              <w:rPr>
                <w:rFonts w:ascii="Arial" w:hAnsi="Arial" w:cs="Arial"/>
                <w:sz w:val="19"/>
                <w:szCs w:val="19"/>
                <w:highlight w:val="yellow"/>
              </w:rPr>
            </w:pPr>
          </w:p>
        </w:tc>
        <w:tc>
          <w:tcPr>
            <w:tcW w:w="1134" w:type="dxa"/>
          </w:tcPr>
          <w:p w:rsidR="005F1CC2" w:rsidRPr="005300DC" w:rsidRDefault="005F1CC2" w:rsidP="003A1BD9">
            <w:pPr>
              <w:pStyle w:val="S9"/>
              <w:spacing w:line="240" w:lineRule="auto"/>
              <w:ind w:left="0"/>
              <w:rPr>
                <w:rFonts w:ascii="Arial" w:hAnsi="Arial" w:cs="Arial"/>
                <w:sz w:val="19"/>
                <w:szCs w:val="19"/>
              </w:rPr>
            </w:pPr>
          </w:p>
        </w:tc>
        <w:tc>
          <w:tcPr>
            <w:tcW w:w="1134" w:type="dxa"/>
          </w:tcPr>
          <w:p w:rsidR="00C61449" w:rsidRPr="00BB2A59" w:rsidRDefault="00C61449" w:rsidP="003A1BD9">
            <w:pPr>
              <w:pStyle w:val="S9"/>
              <w:spacing w:line="240" w:lineRule="auto"/>
              <w:rPr>
                <w:rFonts w:ascii="Arial" w:hAnsi="Arial" w:cs="Arial"/>
                <w:sz w:val="19"/>
                <w:szCs w:val="19"/>
              </w:rPr>
            </w:pPr>
          </w:p>
        </w:tc>
      </w:tr>
      <w:tr w:rsidR="00C61449" w:rsidRPr="00C46A29" w:rsidTr="003D06E8">
        <w:trPr>
          <w:cantSplit/>
        </w:trPr>
        <w:tc>
          <w:tcPr>
            <w:tcW w:w="5308" w:type="dxa"/>
          </w:tcPr>
          <w:p w:rsidR="00C61449" w:rsidRPr="00C46A29" w:rsidRDefault="00C61449" w:rsidP="003A1BD9">
            <w:pPr>
              <w:pStyle w:val="Tindent"/>
              <w:rPr>
                <w:rFonts w:ascii="Arial" w:hAnsi="Arial" w:cs="Arial"/>
                <w:sz w:val="19"/>
                <w:szCs w:val="19"/>
                <w:highlight w:val="yellow"/>
              </w:rPr>
            </w:pPr>
          </w:p>
        </w:tc>
        <w:tc>
          <w:tcPr>
            <w:tcW w:w="816" w:type="dxa"/>
          </w:tcPr>
          <w:p w:rsidR="00C61449" w:rsidRPr="00C46A29" w:rsidRDefault="00C61449" w:rsidP="003A1BD9">
            <w:pPr>
              <w:pStyle w:val="Tdec"/>
              <w:rPr>
                <w:rFonts w:ascii="Arial" w:hAnsi="Arial" w:cs="Arial"/>
                <w:sz w:val="19"/>
                <w:szCs w:val="19"/>
                <w:highlight w:val="yellow"/>
              </w:rPr>
            </w:pPr>
          </w:p>
        </w:tc>
        <w:tc>
          <w:tcPr>
            <w:tcW w:w="1106" w:type="dxa"/>
          </w:tcPr>
          <w:p w:rsidR="00C61449" w:rsidRPr="00C46A29" w:rsidRDefault="00C61449" w:rsidP="003A1BD9">
            <w:pPr>
              <w:pStyle w:val="Tdec"/>
              <w:rPr>
                <w:rFonts w:ascii="Arial" w:hAnsi="Arial" w:cs="Arial"/>
                <w:sz w:val="19"/>
                <w:szCs w:val="19"/>
                <w:highlight w:val="yellow"/>
              </w:rPr>
            </w:pPr>
          </w:p>
        </w:tc>
        <w:tc>
          <w:tcPr>
            <w:tcW w:w="1134" w:type="dxa"/>
          </w:tcPr>
          <w:p w:rsidR="00C61449" w:rsidRPr="005300DC" w:rsidRDefault="005300DC" w:rsidP="003A1BD9">
            <w:pPr>
              <w:pStyle w:val="Tdec"/>
              <w:rPr>
                <w:rFonts w:ascii="Arial" w:hAnsi="Arial" w:cs="Arial"/>
                <w:sz w:val="19"/>
                <w:szCs w:val="19"/>
              </w:rPr>
            </w:pPr>
            <w:r w:rsidRPr="005300DC">
              <w:rPr>
                <w:rFonts w:ascii="Arial" w:hAnsi="Arial" w:cs="Arial"/>
                <w:sz w:val="19"/>
                <w:szCs w:val="19"/>
              </w:rPr>
              <w:t>18</w:t>
            </w:r>
          </w:p>
        </w:tc>
        <w:tc>
          <w:tcPr>
            <w:tcW w:w="1134" w:type="dxa"/>
          </w:tcPr>
          <w:p w:rsidR="00C61449" w:rsidRPr="00BB2A59" w:rsidRDefault="00BB2A59" w:rsidP="003A1BD9">
            <w:pPr>
              <w:pStyle w:val="Tdec"/>
              <w:rPr>
                <w:rFonts w:ascii="Arial" w:hAnsi="Arial" w:cs="Arial"/>
                <w:sz w:val="19"/>
                <w:szCs w:val="19"/>
              </w:rPr>
            </w:pPr>
            <w:r w:rsidRPr="00BB2A59">
              <w:rPr>
                <w:rFonts w:ascii="Arial" w:hAnsi="Arial" w:cs="Arial"/>
                <w:sz w:val="19"/>
                <w:szCs w:val="19"/>
              </w:rPr>
              <w:t>32</w:t>
            </w:r>
          </w:p>
        </w:tc>
      </w:tr>
      <w:tr w:rsidR="00BB1C9F" w:rsidRPr="00C46A29" w:rsidTr="003D06E8">
        <w:trPr>
          <w:cantSplit/>
        </w:trPr>
        <w:tc>
          <w:tcPr>
            <w:tcW w:w="5308" w:type="dxa"/>
          </w:tcPr>
          <w:p w:rsidR="00BB1C9F" w:rsidRPr="00C46A29" w:rsidRDefault="00BB1C9F" w:rsidP="003A1BD9">
            <w:pPr>
              <w:pStyle w:val="B0"/>
              <w:spacing w:line="240" w:lineRule="auto"/>
              <w:rPr>
                <w:rFonts w:ascii="Arial" w:hAnsi="Arial" w:cs="Arial"/>
                <w:sz w:val="19"/>
                <w:szCs w:val="19"/>
                <w:highlight w:val="yellow"/>
              </w:rPr>
            </w:pPr>
          </w:p>
        </w:tc>
        <w:tc>
          <w:tcPr>
            <w:tcW w:w="816" w:type="dxa"/>
          </w:tcPr>
          <w:p w:rsidR="00BB1C9F" w:rsidRPr="00C46A29" w:rsidRDefault="00BB1C9F" w:rsidP="003A1BD9">
            <w:pPr>
              <w:pStyle w:val="B0"/>
              <w:spacing w:line="240" w:lineRule="auto"/>
              <w:rPr>
                <w:rFonts w:ascii="Arial" w:hAnsi="Arial" w:cs="Arial"/>
                <w:sz w:val="19"/>
                <w:szCs w:val="19"/>
                <w:highlight w:val="yellow"/>
              </w:rPr>
            </w:pPr>
          </w:p>
        </w:tc>
        <w:tc>
          <w:tcPr>
            <w:tcW w:w="1106" w:type="dxa"/>
          </w:tcPr>
          <w:p w:rsidR="00BB1C9F" w:rsidRPr="00C46A29" w:rsidRDefault="00BB1C9F" w:rsidP="003A1BD9">
            <w:pPr>
              <w:pStyle w:val="B0"/>
              <w:spacing w:line="240" w:lineRule="auto"/>
              <w:rPr>
                <w:rFonts w:ascii="Arial" w:hAnsi="Arial" w:cs="Arial"/>
                <w:sz w:val="19"/>
                <w:szCs w:val="19"/>
                <w:highlight w:val="yellow"/>
              </w:rPr>
            </w:pPr>
          </w:p>
        </w:tc>
        <w:tc>
          <w:tcPr>
            <w:tcW w:w="1134" w:type="dxa"/>
          </w:tcPr>
          <w:p w:rsidR="00BB1C9F" w:rsidRPr="00C46A29" w:rsidRDefault="00BB1C9F" w:rsidP="003A1BD9">
            <w:pPr>
              <w:pStyle w:val="D9"/>
              <w:spacing w:line="240" w:lineRule="auto"/>
              <w:rPr>
                <w:rFonts w:ascii="Arial" w:hAnsi="Arial" w:cs="Arial"/>
                <w:sz w:val="19"/>
                <w:szCs w:val="19"/>
                <w:highlight w:val="yellow"/>
              </w:rPr>
            </w:pPr>
          </w:p>
        </w:tc>
        <w:tc>
          <w:tcPr>
            <w:tcW w:w="1134" w:type="dxa"/>
          </w:tcPr>
          <w:p w:rsidR="00BB1C9F" w:rsidRPr="00C46A29" w:rsidRDefault="00BB1C9F" w:rsidP="003A1BD9">
            <w:pPr>
              <w:pStyle w:val="D9"/>
              <w:spacing w:line="240" w:lineRule="auto"/>
              <w:rPr>
                <w:rFonts w:ascii="Arial" w:hAnsi="Arial" w:cs="Arial"/>
                <w:sz w:val="19"/>
                <w:szCs w:val="19"/>
                <w:highlight w:val="yellow"/>
              </w:rPr>
            </w:pPr>
          </w:p>
        </w:tc>
      </w:tr>
    </w:tbl>
    <w:p w:rsidR="00BB1C9F" w:rsidRPr="00374FAB" w:rsidRDefault="000C5B6A" w:rsidP="000C5B6A">
      <w:pPr>
        <w:pStyle w:val="Heading1"/>
        <w:numPr>
          <w:ilvl w:val="0"/>
          <w:numId w:val="33"/>
        </w:numPr>
        <w:ind w:left="567" w:hanging="567"/>
        <w:rPr>
          <w:rFonts w:ascii="Arial" w:hAnsi="Arial" w:cs="Arial"/>
          <w:sz w:val="24"/>
          <w:szCs w:val="19"/>
        </w:rPr>
      </w:pPr>
      <w:bookmarkStart w:id="12" w:name="_Toc390775318"/>
      <w:r w:rsidRPr="00374FAB">
        <w:rPr>
          <w:rFonts w:ascii="Arial" w:hAnsi="Arial" w:cs="Arial"/>
          <w:caps w:val="0"/>
          <w:sz w:val="24"/>
          <w:szCs w:val="19"/>
        </w:rPr>
        <w:t>Remuneration of Directors</w:t>
      </w:r>
      <w:bookmarkEnd w:id="12"/>
    </w:p>
    <w:p w:rsidR="00215CBC" w:rsidRDefault="00215CBC" w:rsidP="00190BFF">
      <w:pPr>
        <w:rPr>
          <w:rFonts w:ascii="Arial" w:hAnsi="Arial" w:cs="Arial"/>
          <w:sz w:val="19"/>
          <w:szCs w:val="19"/>
        </w:rPr>
      </w:pPr>
      <w:r>
        <w:rPr>
          <w:rFonts w:ascii="Arial" w:hAnsi="Arial" w:cs="Arial"/>
          <w:sz w:val="19"/>
          <w:szCs w:val="19"/>
        </w:rPr>
        <w:t>The Chair is the only member of the Strategic Board who is remunerated. His remuneration in 2014/15 (£4,002) was paid directly to a charity on his behalf.</w:t>
      </w:r>
    </w:p>
    <w:p w:rsidR="00DE1A52" w:rsidRPr="00455A55" w:rsidRDefault="00190BFF" w:rsidP="00455A55">
      <w:pPr>
        <w:rPr>
          <w:rFonts w:ascii="Arial" w:hAnsi="Arial" w:cs="Arial"/>
          <w:sz w:val="19"/>
          <w:szCs w:val="19"/>
        </w:rPr>
      </w:pPr>
      <w:r w:rsidRPr="00190BFF">
        <w:rPr>
          <w:rFonts w:ascii="Arial" w:hAnsi="Arial" w:cs="Arial"/>
          <w:sz w:val="19"/>
          <w:szCs w:val="19"/>
        </w:rPr>
        <w:t xml:space="preserve">The aggregate amount of expenses reimbursed to Board </w:t>
      </w:r>
      <w:r w:rsidR="00BC2CD5">
        <w:rPr>
          <w:rFonts w:ascii="Arial" w:hAnsi="Arial" w:cs="Arial"/>
          <w:sz w:val="19"/>
          <w:szCs w:val="19"/>
        </w:rPr>
        <w:t>Members in the year was £1,790 </w:t>
      </w:r>
      <w:r w:rsidRPr="00190BFF">
        <w:rPr>
          <w:rFonts w:ascii="Arial" w:hAnsi="Arial" w:cs="Arial"/>
          <w:sz w:val="19"/>
          <w:szCs w:val="19"/>
        </w:rPr>
        <w:t xml:space="preserve">(2014: £2,046).  </w:t>
      </w:r>
    </w:p>
    <w:p w:rsidR="00662204" w:rsidRPr="00BB2A59" w:rsidRDefault="000C5B6A" w:rsidP="000C5B6A">
      <w:pPr>
        <w:pStyle w:val="Heading1"/>
        <w:numPr>
          <w:ilvl w:val="0"/>
          <w:numId w:val="33"/>
        </w:numPr>
        <w:tabs>
          <w:tab w:val="clear" w:pos="567"/>
        </w:tabs>
        <w:ind w:left="567" w:hanging="567"/>
        <w:rPr>
          <w:rFonts w:ascii="Arial" w:hAnsi="Arial" w:cs="Arial"/>
          <w:sz w:val="24"/>
          <w:szCs w:val="19"/>
        </w:rPr>
      </w:pPr>
      <w:bookmarkStart w:id="13" w:name="_Toc390775319"/>
      <w:r w:rsidRPr="00BB2A59">
        <w:rPr>
          <w:rFonts w:ascii="Arial" w:hAnsi="Arial" w:cs="Arial"/>
          <w:caps w:val="0"/>
          <w:sz w:val="24"/>
          <w:szCs w:val="19"/>
        </w:rPr>
        <w:t>Employee Information</w:t>
      </w:r>
      <w:bookmarkEnd w:id="13"/>
    </w:p>
    <w:p w:rsidR="00BB1C9F" w:rsidRPr="00190BFF" w:rsidRDefault="00AA6DF8" w:rsidP="000C5B6A">
      <w:pPr>
        <w:pStyle w:val="NormalIndent"/>
        <w:spacing w:after="0"/>
        <w:ind w:left="0"/>
        <w:jc w:val="left"/>
        <w:rPr>
          <w:rFonts w:ascii="Arial" w:hAnsi="Arial" w:cs="Arial"/>
          <w:sz w:val="19"/>
          <w:szCs w:val="19"/>
          <w:lang w:val="en-US"/>
        </w:rPr>
      </w:pPr>
      <w:r w:rsidRPr="00190BFF">
        <w:rPr>
          <w:rFonts w:ascii="Arial" w:hAnsi="Arial" w:cs="Arial"/>
          <w:sz w:val="19"/>
          <w:szCs w:val="19"/>
          <w:lang w:val="en-US"/>
        </w:rPr>
        <w:t xml:space="preserve">The average number of persons employed by the </w:t>
      </w:r>
      <w:r w:rsidR="00201B4C" w:rsidRPr="00190BFF">
        <w:rPr>
          <w:rFonts w:ascii="Arial" w:hAnsi="Arial" w:cs="Arial"/>
          <w:sz w:val="19"/>
          <w:szCs w:val="19"/>
          <w:lang w:val="en-US"/>
        </w:rPr>
        <w:t>Company</w:t>
      </w:r>
      <w:r w:rsidRPr="00190BFF">
        <w:rPr>
          <w:rFonts w:ascii="Arial" w:hAnsi="Arial" w:cs="Arial"/>
          <w:sz w:val="19"/>
          <w:szCs w:val="19"/>
          <w:lang w:val="en-US"/>
        </w:rPr>
        <w:t xml:space="preserve"> (excluding Directors) during the year, analysed by category, was as follows:</w:t>
      </w:r>
    </w:p>
    <w:p w:rsidR="000C5B6A" w:rsidRPr="00C46A29" w:rsidRDefault="000C5B6A" w:rsidP="000C5B6A">
      <w:pPr>
        <w:pStyle w:val="NormalIndent"/>
        <w:spacing w:after="0"/>
        <w:ind w:left="0"/>
        <w:jc w:val="left"/>
        <w:rPr>
          <w:rFonts w:ascii="Arial" w:hAnsi="Arial" w:cs="Arial"/>
          <w:sz w:val="19"/>
          <w:szCs w:val="19"/>
          <w:highlight w:val="yellow"/>
        </w:rPr>
      </w:pPr>
    </w:p>
    <w:tbl>
      <w:tblPr>
        <w:tblW w:w="9498" w:type="dxa"/>
        <w:tblLayout w:type="fixed"/>
        <w:tblCellMar>
          <w:left w:w="28" w:type="dxa"/>
          <w:right w:w="28" w:type="dxa"/>
        </w:tblCellMar>
        <w:tblLook w:val="0000" w:firstRow="0" w:lastRow="0" w:firstColumn="0" w:lastColumn="0" w:noHBand="0" w:noVBand="0"/>
      </w:tblPr>
      <w:tblGrid>
        <w:gridCol w:w="4962"/>
        <w:gridCol w:w="1162"/>
        <w:gridCol w:w="1106"/>
        <w:gridCol w:w="1134"/>
        <w:gridCol w:w="1134"/>
      </w:tblGrid>
      <w:tr w:rsidR="00BB1C9F" w:rsidRPr="00C46A29" w:rsidTr="00AA6DF8">
        <w:trPr>
          <w:cantSplit/>
        </w:trPr>
        <w:tc>
          <w:tcPr>
            <w:tcW w:w="4962" w:type="dxa"/>
          </w:tcPr>
          <w:p w:rsidR="00BB1C9F" w:rsidRPr="00C46A29" w:rsidRDefault="00BB1C9F" w:rsidP="003A1BD9">
            <w:pPr>
              <w:pStyle w:val="Thead"/>
              <w:rPr>
                <w:rFonts w:ascii="Arial" w:hAnsi="Arial" w:cs="Arial"/>
                <w:sz w:val="19"/>
                <w:szCs w:val="19"/>
                <w:highlight w:val="yellow"/>
              </w:rPr>
            </w:pPr>
          </w:p>
        </w:tc>
        <w:tc>
          <w:tcPr>
            <w:tcW w:w="1162" w:type="dxa"/>
          </w:tcPr>
          <w:p w:rsidR="00BB1C9F" w:rsidRPr="00C46A29" w:rsidRDefault="00BB1C9F" w:rsidP="003A1BD9">
            <w:pPr>
              <w:pStyle w:val="Thead"/>
              <w:rPr>
                <w:rFonts w:ascii="Arial" w:hAnsi="Arial" w:cs="Arial"/>
                <w:sz w:val="19"/>
                <w:szCs w:val="19"/>
                <w:highlight w:val="yellow"/>
              </w:rPr>
            </w:pPr>
          </w:p>
        </w:tc>
        <w:tc>
          <w:tcPr>
            <w:tcW w:w="1106" w:type="dxa"/>
          </w:tcPr>
          <w:p w:rsidR="00BB1C9F" w:rsidRPr="00C46A29" w:rsidRDefault="00BB1C9F" w:rsidP="003A1BD9">
            <w:pPr>
              <w:pStyle w:val="Thead"/>
              <w:rPr>
                <w:rFonts w:ascii="Arial" w:hAnsi="Arial" w:cs="Arial"/>
                <w:sz w:val="19"/>
                <w:szCs w:val="19"/>
                <w:highlight w:val="yellow"/>
              </w:rPr>
            </w:pPr>
          </w:p>
        </w:tc>
        <w:tc>
          <w:tcPr>
            <w:tcW w:w="1134" w:type="dxa"/>
          </w:tcPr>
          <w:p w:rsidR="00BB1C9F" w:rsidRPr="00374FAB" w:rsidRDefault="00BB1C9F" w:rsidP="003A1BD9">
            <w:pPr>
              <w:pStyle w:val="Thead"/>
              <w:rPr>
                <w:rFonts w:ascii="Arial" w:hAnsi="Arial" w:cs="Arial"/>
                <w:sz w:val="19"/>
                <w:szCs w:val="19"/>
              </w:rPr>
            </w:pPr>
            <w:r w:rsidRPr="00374FAB">
              <w:rPr>
                <w:rFonts w:ascii="Arial" w:hAnsi="Arial" w:cs="Arial"/>
                <w:sz w:val="19"/>
                <w:szCs w:val="19"/>
              </w:rPr>
              <w:t>201</w:t>
            </w:r>
            <w:r w:rsidR="00BB2A59" w:rsidRPr="00374FAB">
              <w:rPr>
                <w:rFonts w:ascii="Arial" w:hAnsi="Arial" w:cs="Arial"/>
                <w:sz w:val="19"/>
                <w:szCs w:val="19"/>
              </w:rPr>
              <w:t>5</w:t>
            </w:r>
          </w:p>
          <w:p w:rsidR="00BB1C9F" w:rsidRPr="00374FAB" w:rsidRDefault="00AA6DF8" w:rsidP="003A1BD9">
            <w:pPr>
              <w:pStyle w:val="Thead"/>
              <w:rPr>
                <w:rFonts w:ascii="Arial" w:hAnsi="Arial" w:cs="Arial"/>
                <w:sz w:val="19"/>
                <w:szCs w:val="19"/>
              </w:rPr>
            </w:pPr>
            <w:r w:rsidRPr="00374FAB">
              <w:rPr>
                <w:rFonts w:ascii="Arial" w:hAnsi="Arial" w:cs="Arial"/>
                <w:sz w:val="19"/>
                <w:szCs w:val="19"/>
              </w:rPr>
              <w:t>No.</w:t>
            </w:r>
          </w:p>
        </w:tc>
        <w:tc>
          <w:tcPr>
            <w:tcW w:w="1134" w:type="dxa"/>
          </w:tcPr>
          <w:p w:rsidR="00BB1C9F" w:rsidRPr="00BB2A59" w:rsidRDefault="00BB1C9F" w:rsidP="003A1BD9">
            <w:pPr>
              <w:pStyle w:val="Thead"/>
              <w:rPr>
                <w:rFonts w:ascii="Arial" w:hAnsi="Arial" w:cs="Arial"/>
                <w:sz w:val="19"/>
                <w:szCs w:val="19"/>
              </w:rPr>
            </w:pPr>
            <w:r w:rsidRPr="00BB2A59">
              <w:rPr>
                <w:rFonts w:ascii="Arial" w:hAnsi="Arial" w:cs="Arial"/>
                <w:sz w:val="19"/>
                <w:szCs w:val="19"/>
              </w:rPr>
              <w:t>201</w:t>
            </w:r>
            <w:r w:rsidR="00BB2A59" w:rsidRPr="00BB2A59">
              <w:rPr>
                <w:rFonts w:ascii="Arial" w:hAnsi="Arial" w:cs="Arial"/>
                <w:sz w:val="19"/>
                <w:szCs w:val="19"/>
              </w:rPr>
              <w:t>4</w:t>
            </w:r>
          </w:p>
          <w:p w:rsidR="00BB1C9F" w:rsidRPr="00BB2A59" w:rsidRDefault="00AA6DF8" w:rsidP="003A1BD9">
            <w:pPr>
              <w:pStyle w:val="Thead"/>
              <w:rPr>
                <w:rFonts w:ascii="Arial" w:hAnsi="Arial" w:cs="Arial"/>
                <w:sz w:val="19"/>
                <w:szCs w:val="19"/>
              </w:rPr>
            </w:pPr>
            <w:r w:rsidRPr="00BB2A59">
              <w:rPr>
                <w:rFonts w:ascii="Arial" w:hAnsi="Arial" w:cs="Arial"/>
                <w:sz w:val="19"/>
                <w:szCs w:val="19"/>
              </w:rPr>
              <w:t>No.</w:t>
            </w:r>
          </w:p>
        </w:tc>
      </w:tr>
      <w:tr w:rsidR="00BB1C9F" w:rsidRPr="00C46A29" w:rsidTr="00AA6DF8">
        <w:trPr>
          <w:cantSplit/>
        </w:trPr>
        <w:tc>
          <w:tcPr>
            <w:tcW w:w="4962" w:type="dxa"/>
          </w:tcPr>
          <w:p w:rsidR="00BB1C9F" w:rsidRPr="00C46A29" w:rsidRDefault="00BB1C9F" w:rsidP="003A1BD9">
            <w:pPr>
              <w:pStyle w:val="B0"/>
              <w:spacing w:line="240" w:lineRule="auto"/>
              <w:rPr>
                <w:rFonts w:ascii="Arial" w:hAnsi="Arial" w:cs="Arial"/>
                <w:sz w:val="19"/>
                <w:szCs w:val="19"/>
                <w:highlight w:val="yellow"/>
              </w:rPr>
            </w:pPr>
          </w:p>
        </w:tc>
        <w:tc>
          <w:tcPr>
            <w:tcW w:w="1162" w:type="dxa"/>
          </w:tcPr>
          <w:p w:rsidR="00BB1C9F" w:rsidRPr="00C46A29" w:rsidRDefault="00BB1C9F" w:rsidP="003A1BD9">
            <w:pPr>
              <w:pStyle w:val="B0"/>
              <w:spacing w:line="240" w:lineRule="auto"/>
              <w:rPr>
                <w:rFonts w:ascii="Arial" w:hAnsi="Arial" w:cs="Arial"/>
                <w:sz w:val="19"/>
                <w:szCs w:val="19"/>
                <w:highlight w:val="yellow"/>
              </w:rPr>
            </w:pPr>
          </w:p>
        </w:tc>
        <w:tc>
          <w:tcPr>
            <w:tcW w:w="1106" w:type="dxa"/>
          </w:tcPr>
          <w:p w:rsidR="00BB1C9F" w:rsidRPr="00C46A29" w:rsidRDefault="00BB1C9F" w:rsidP="003A1BD9">
            <w:pPr>
              <w:pStyle w:val="B0"/>
              <w:spacing w:line="240" w:lineRule="auto"/>
              <w:rPr>
                <w:rFonts w:ascii="Arial" w:hAnsi="Arial" w:cs="Arial"/>
                <w:sz w:val="19"/>
                <w:szCs w:val="19"/>
                <w:highlight w:val="yellow"/>
              </w:rPr>
            </w:pPr>
          </w:p>
        </w:tc>
        <w:tc>
          <w:tcPr>
            <w:tcW w:w="1134" w:type="dxa"/>
          </w:tcPr>
          <w:p w:rsidR="00BB1C9F" w:rsidRPr="00374FAB" w:rsidRDefault="00BB1C9F" w:rsidP="003A1BD9">
            <w:pPr>
              <w:pStyle w:val="B0"/>
              <w:spacing w:line="240" w:lineRule="auto"/>
              <w:rPr>
                <w:rFonts w:ascii="Arial" w:hAnsi="Arial" w:cs="Arial"/>
                <w:sz w:val="19"/>
                <w:szCs w:val="19"/>
              </w:rPr>
            </w:pPr>
          </w:p>
        </w:tc>
        <w:tc>
          <w:tcPr>
            <w:tcW w:w="1134" w:type="dxa"/>
          </w:tcPr>
          <w:p w:rsidR="00BB1C9F" w:rsidRPr="00BB2A59" w:rsidRDefault="00BB1C9F" w:rsidP="003A1BD9">
            <w:pPr>
              <w:pStyle w:val="B0"/>
              <w:spacing w:line="240" w:lineRule="auto"/>
              <w:rPr>
                <w:rFonts w:ascii="Arial" w:hAnsi="Arial" w:cs="Arial"/>
                <w:sz w:val="19"/>
                <w:szCs w:val="19"/>
              </w:rPr>
            </w:pPr>
          </w:p>
        </w:tc>
      </w:tr>
      <w:tr w:rsidR="00AA6DF8" w:rsidRPr="00C46A29" w:rsidTr="00AA6DF8">
        <w:trPr>
          <w:cantSplit/>
        </w:trPr>
        <w:tc>
          <w:tcPr>
            <w:tcW w:w="4962" w:type="dxa"/>
          </w:tcPr>
          <w:p w:rsidR="00AA6DF8" w:rsidRPr="00BB2A59" w:rsidRDefault="00AA6DF8" w:rsidP="003A1BD9">
            <w:pPr>
              <w:pStyle w:val="Tindent"/>
              <w:rPr>
                <w:rFonts w:ascii="Arial" w:hAnsi="Arial" w:cs="Arial"/>
                <w:sz w:val="19"/>
                <w:szCs w:val="19"/>
              </w:rPr>
            </w:pPr>
            <w:r w:rsidRPr="00BB2A59">
              <w:rPr>
                <w:rFonts w:ascii="Arial" w:hAnsi="Arial" w:cs="Arial"/>
                <w:sz w:val="19"/>
                <w:szCs w:val="19"/>
              </w:rPr>
              <w:t>Supervision and management</w:t>
            </w:r>
          </w:p>
        </w:tc>
        <w:tc>
          <w:tcPr>
            <w:tcW w:w="1162" w:type="dxa"/>
          </w:tcPr>
          <w:p w:rsidR="00AA6DF8" w:rsidRPr="00C46A29" w:rsidRDefault="00AA6DF8" w:rsidP="003A1BD9">
            <w:pPr>
              <w:pStyle w:val="Tdec"/>
              <w:rPr>
                <w:rFonts w:ascii="Arial" w:hAnsi="Arial" w:cs="Arial"/>
                <w:sz w:val="19"/>
                <w:szCs w:val="19"/>
                <w:highlight w:val="yellow"/>
              </w:rPr>
            </w:pPr>
          </w:p>
        </w:tc>
        <w:tc>
          <w:tcPr>
            <w:tcW w:w="1106" w:type="dxa"/>
          </w:tcPr>
          <w:p w:rsidR="00AA6DF8" w:rsidRPr="00C46A29" w:rsidRDefault="00AA6DF8" w:rsidP="003A1BD9">
            <w:pPr>
              <w:pStyle w:val="Tdec"/>
              <w:rPr>
                <w:rFonts w:ascii="Arial" w:hAnsi="Arial" w:cs="Arial"/>
                <w:sz w:val="19"/>
                <w:szCs w:val="19"/>
                <w:highlight w:val="yellow"/>
              </w:rPr>
            </w:pPr>
          </w:p>
        </w:tc>
        <w:tc>
          <w:tcPr>
            <w:tcW w:w="1134" w:type="dxa"/>
          </w:tcPr>
          <w:p w:rsidR="00AA6DF8" w:rsidRPr="00374FAB" w:rsidRDefault="00F36B82" w:rsidP="003A1BD9">
            <w:pPr>
              <w:pStyle w:val="Tdec"/>
              <w:rPr>
                <w:rFonts w:ascii="Arial" w:hAnsi="Arial" w:cs="Arial"/>
                <w:sz w:val="19"/>
                <w:szCs w:val="19"/>
              </w:rPr>
            </w:pPr>
            <w:r w:rsidRPr="00374FAB">
              <w:rPr>
                <w:rFonts w:ascii="Arial" w:hAnsi="Arial" w:cs="Arial"/>
                <w:sz w:val="19"/>
                <w:szCs w:val="19"/>
              </w:rPr>
              <w:t>9</w:t>
            </w:r>
            <w:r w:rsidR="00374FAB" w:rsidRPr="00374FAB">
              <w:rPr>
                <w:rFonts w:ascii="Arial" w:hAnsi="Arial" w:cs="Arial"/>
                <w:sz w:val="19"/>
                <w:szCs w:val="19"/>
              </w:rPr>
              <w:t>8</w:t>
            </w:r>
          </w:p>
        </w:tc>
        <w:tc>
          <w:tcPr>
            <w:tcW w:w="1134" w:type="dxa"/>
          </w:tcPr>
          <w:p w:rsidR="00AA6DF8" w:rsidRPr="00BB2A59" w:rsidRDefault="00AA6DF8" w:rsidP="003A1BD9">
            <w:pPr>
              <w:pStyle w:val="Tdec"/>
              <w:rPr>
                <w:rFonts w:ascii="Arial" w:hAnsi="Arial" w:cs="Arial"/>
                <w:sz w:val="19"/>
                <w:szCs w:val="19"/>
              </w:rPr>
            </w:pPr>
            <w:r w:rsidRPr="00BB2A59">
              <w:rPr>
                <w:rFonts w:ascii="Arial" w:hAnsi="Arial" w:cs="Arial"/>
                <w:sz w:val="19"/>
                <w:szCs w:val="19"/>
              </w:rPr>
              <w:t>99</w:t>
            </w:r>
          </w:p>
        </w:tc>
      </w:tr>
      <w:tr w:rsidR="00AA6DF8" w:rsidRPr="00C46A29" w:rsidTr="00AA6DF8">
        <w:trPr>
          <w:cantSplit/>
        </w:trPr>
        <w:tc>
          <w:tcPr>
            <w:tcW w:w="4962" w:type="dxa"/>
          </w:tcPr>
          <w:p w:rsidR="00AA6DF8" w:rsidRPr="00BB2A59" w:rsidRDefault="00AA6DF8" w:rsidP="003A1BD9">
            <w:pPr>
              <w:pStyle w:val="Tindent"/>
              <w:rPr>
                <w:rFonts w:ascii="Arial" w:hAnsi="Arial" w:cs="Arial"/>
                <w:sz w:val="19"/>
                <w:szCs w:val="19"/>
              </w:rPr>
            </w:pPr>
            <w:r w:rsidRPr="00BB2A59">
              <w:rPr>
                <w:rFonts w:ascii="Arial" w:hAnsi="Arial" w:cs="Arial"/>
                <w:sz w:val="19"/>
                <w:szCs w:val="19"/>
              </w:rPr>
              <w:t>Repairs and maintenance</w:t>
            </w:r>
          </w:p>
        </w:tc>
        <w:tc>
          <w:tcPr>
            <w:tcW w:w="1162" w:type="dxa"/>
          </w:tcPr>
          <w:p w:rsidR="00AA6DF8" w:rsidRPr="00C46A29" w:rsidRDefault="00AA6DF8" w:rsidP="003A1BD9">
            <w:pPr>
              <w:pStyle w:val="Tdec"/>
              <w:rPr>
                <w:rFonts w:ascii="Arial" w:hAnsi="Arial" w:cs="Arial"/>
                <w:sz w:val="19"/>
                <w:szCs w:val="19"/>
                <w:highlight w:val="yellow"/>
              </w:rPr>
            </w:pPr>
          </w:p>
        </w:tc>
        <w:tc>
          <w:tcPr>
            <w:tcW w:w="1106" w:type="dxa"/>
          </w:tcPr>
          <w:p w:rsidR="00AA6DF8" w:rsidRPr="00C46A29" w:rsidRDefault="00AA6DF8" w:rsidP="003A1BD9">
            <w:pPr>
              <w:pStyle w:val="Tdec"/>
              <w:rPr>
                <w:rFonts w:ascii="Arial" w:hAnsi="Arial" w:cs="Arial"/>
                <w:sz w:val="19"/>
                <w:szCs w:val="19"/>
                <w:highlight w:val="yellow"/>
              </w:rPr>
            </w:pPr>
          </w:p>
        </w:tc>
        <w:tc>
          <w:tcPr>
            <w:tcW w:w="1134" w:type="dxa"/>
          </w:tcPr>
          <w:p w:rsidR="00AA6DF8" w:rsidRPr="00374FAB" w:rsidRDefault="00F36B82" w:rsidP="003A1BD9">
            <w:pPr>
              <w:pStyle w:val="Tdec"/>
              <w:rPr>
                <w:rFonts w:ascii="Arial" w:hAnsi="Arial" w:cs="Arial"/>
                <w:sz w:val="19"/>
                <w:szCs w:val="19"/>
              </w:rPr>
            </w:pPr>
            <w:r w:rsidRPr="00374FAB">
              <w:rPr>
                <w:rFonts w:ascii="Arial" w:hAnsi="Arial" w:cs="Arial"/>
                <w:sz w:val="19"/>
                <w:szCs w:val="19"/>
              </w:rPr>
              <w:t>1</w:t>
            </w:r>
            <w:r w:rsidR="00374FAB" w:rsidRPr="00374FAB">
              <w:rPr>
                <w:rFonts w:ascii="Arial" w:hAnsi="Arial" w:cs="Arial"/>
                <w:sz w:val="19"/>
                <w:szCs w:val="19"/>
              </w:rPr>
              <w:t>63</w:t>
            </w:r>
          </w:p>
        </w:tc>
        <w:tc>
          <w:tcPr>
            <w:tcW w:w="1134" w:type="dxa"/>
          </w:tcPr>
          <w:p w:rsidR="00AA6DF8" w:rsidRPr="00BB2A59" w:rsidRDefault="00AA6DF8" w:rsidP="003A1BD9">
            <w:pPr>
              <w:pStyle w:val="Tdec"/>
              <w:rPr>
                <w:rFonts w:ascii="Arial" w:hAnsi="Arial" w:cs="Arial"/>
                <w:sz w:val="19"/>
                <w:szCs w:val="19"/>
              </w:rPr>
            </w:pPr>
            <w:r w:rsidRPr="00BB2A59">
              <w:rPr>
                <w:rFonts w:ascii="Arial" w:hAnsi="Arial" w:cs="Arial"/>
                <w:sz w:val="19"/>
                <w:szCs w:val="19"/>
              </w:rPr>
              <w:t>11</w:t>
            </w:r>
            <w:r w:rsidR="00BB2A59" w:rsidRPr="00BB2A59">
              <w:rPr>
                <w:rFonts w:ascii="Arial" w:hAnsi="Arial" w:cs="Arial"/>
                <w:sz w:val="19"/>
                <w:szCs w:val="19"/>
              </w:rPr>
              <w:t>8</w:t>
            </w:r>
          </w:p>
        </w:tc>
      </w:tr>
      <w:tr w:rsidR="00AA6DF8" w:rsidRPr="00C46A29" w:rsidTr="00AA6DF8">
        <w:trPr>
          <w:cantSplit/>
        </w:trPr>
        <w:tc>
          <w:tcPr>
            <w:tcW w:w="4962" w:type="dxa"/>
          </w:tcPr>
          <w:p w:rsidR="00AA6DF8" w:rsidRPr="00BB2A59" w:rsidRDefault="00AA6DF8" w:rsidP="003A1BD9">
            <w:pPr>
              <w:pStyle w:val="Tindent"/>
              <w:rPr>
                <w:rFonts w:ascii="Arial" w:hAnsi="Arial" w:cs="Arial"/>
                <w:sz w:val="19"/>
                <w:szCs w:val="19"/>
              </w:rPr>
            </w:pPr>
          </w:p>
        </w:tc>
        <w:tc>
          <w:tcPr>
            <w:tcW w:w="1162" w:type="dxa"/>
          </w:tcPr>
          <w:p w:rsidR="00AA6DF8" w:rsidRPr="00C46A29" w:rsidRDefault="00AA6DF8" w:rsidP="003A1BD9">
            <w:pPr>
              <w:pStyle w:val="Tdec"/>
              <w:rPr>
                <w:rFonts w:ascii="Arial" w:hAnsi="Arial" w:cs="Arial"/>
                <w:sz w:val="19"/>
                <w:szCs w:val="19"/>
                <w:highlight w:val="yellow"/>
              </w:rPr>
            </w:pPr>
          </w:p>
        </w:tc>
        <w:tc>
          <w:tcPr>
            <w:tcW w:w="1106" w:type="dxa"/>
          </w:tcPr>
          <w:p w:rsidR="00AA6DF8" w:rsidRPr="00C46A29" w:rsidRDefault="00AA6DF8" w:rsidP="003A1BD9">
            <w:pPr>
              <w:pStyle w:val="Tdec"/>
              <w:rPr>
                <w:rFonts w:ascii="Arial" w:hAnsi="Arial" w:cs="Arial"/>
                <w:sz w:val="19"/>
                <w:szCs w:val="19"/>
                <w:highlight w:val="yellow"/>
              </w:rPr>
            </w:pPr>
          </w:p>
        </w:tc>
        <w:tc>
          <w:tcPr>
            <w:tcW w:w="1134" w:type="dxa"/>
          </w:tcPr>
          <w:p w:rsidR="00AA6DF8" w:rsidRPr="00374FAB" w:rsidRDefault="00AA6DF8" w:rsidP="003A1BD9">
            <w:pPr>
              <w:pStyle w:val="S9"/>
              <w:spacing w:line="240" w:lineRule="auto"/>
              <w:rPr>
                <w:rFonts w:ascii="Arial" w:hAnsi="Arial" w:cs="Arial"/>
                <w:sz w:val="19"/>
                <w:szCs w:val="19"/>
              </w:rPr>
            </w:pPr>
          </w:p>
        </w:tc>
        <w:tc>
          <w:tcPr>
            <w:tcW w:w="1134" w:type="dxa"/>
          </w:tcPr>
          <w:p w:rsidR="00AA6DF8" w:rsidRPr="00BB2A59" w:rsidRDefault="00AA6DF8" w:rsidP="003A1BD9">
            <w:pPr>
              <w:pStyle w:val="S9"/>
              <w:spacing w:line="240" w:lineRule="auto"/>
              <w:rPr>
                <w:rFonts w:ascii="Arial" w:hAnsi="Arial" w:cs="Arial"/>
                <w:sz w:val="19"/>
                <w:szCs w:val="19"/>
              </w:rPr>
            </w:pPr>
          </w:p>
        </w:tc>
      </w:tr>
      <w:tr w:rsidR="00AA6DF8" w:rsidRPr="00C46A29" w:rsidTr="00AA6DF8">
        <w:trPr>
          <w:cantSplit/>
        </w:trPr>
        <w:tc>
          <w:tcPr>
            <w:tcW w:w="4962" w:type="dxa"/>
          </w:tcPr>
          <w:p w:rsidR="00AA6DF8" w:rsidRPr="00BB2A59" w:rsidRDefault="00AA6DF8" w:rsidP="003A1BD9">
            <w:pPr>
              <w:pStyle w:val="Tindent"/>
              <w:rPr>
                <w:rFonts w:ascii="Arial" w:hAnsi="Arial" w:cs="Arial"/>
                <w:sz w:val="19"/>
                <w:szCs w:val="19"/>
              </w:rPr>
            </w:pPr>
          </w:p>
        </w:tc>
        <w:tc>
          <w:tcPr>
            <w:tcW w:w="1162" w:type="dxa"/>
          </w:tcPr>
          <w:p w:rsidR="00AA6DF8" w:rsidRPr="00C46A29" w:rsidRDefault="00AA6DF8" w:rsidP="003A1BD9">
            <w:pPr>
              <w:pStyle w:val="Tdec"/>
              <w:rPr>
                <w:rFonts w:ascii="Arial" w:hAnsi="Arial" w:cs="Arial"/>
                <w:sz w:val="19"/>
                <w:szCs w:val="19"/>
                <w:highlight w:val="yellow"/>
              </w:rPr>
            </w:pPr>
          </w:p>
        </w:tc>
        <w:tc>
          <w:tcPr>
            <w:tcW w:w="1106" w:type="dxa"/>
          </w:tcPr>
          <w:p w:rsidR="00AA6DF8" w:rsidRPr="00C46A29" w:rsidRDefault="00AA6DF8" w:rsidP="003A1BD9">
            <w:pPr>
              <w:pStyle w:val="Tdec"/>
              <w:rPr>
                <w:rFonts w:ascii="Arial" w:hAnsi="Arial" w:cs="Arial"/>
                <w:sz w:val="19"/>
                <w:szCs w:val="19"/>
                <w:highlight w:val="yellow"/>
              </w:rPr>
            </w:pPr>
          </w:p>
        </w:tc>
        <w:tc>
          <w:tcPr>
            <w:tcW w:w="1134" w:type="dxa"/>
          </w:tcPr>
          <w:p w:rsidR="00AA6DF8" w:rsidRPr="00374FAB" w:rsidRDefault="00F36B82" w:rsidP="003A1BD9">
            <w:pPr>
              <w:pStyle w:val="Tdec"/>
              <w:rPr>
                <w:rFonts w:ascii="Arial" w:hAnsi="Arial" w:cs="Arial"/>
                <w:sz w:val="19"/>
                <w:szCs w:val="19"/>
              </w:rPr>
            </w:pPr>
            <w:r w:rsidRPr="00374FAB">
              <w:rPr>
                <w:rFonts w:ascii="Arial" w:hAnsi="Arial" w:cs="Arial"/>
                <w:sz w:val="19"/>
                <w:szCs w:val="19"/>
              </w:rPr>
              <w:t>2</w:t>
            </w:r>
            <w:r w:rsidR="00374FAB" w:rsidRPr="00374FAB">
              <w:rPr>
                <w:rFonts w:ascii="Arial" w:hAnsi="Arial" w:cs="Arial"/>
                <w:sz w:val="19"/>
                <w:szCs w:val="19"/>
              </w:rPr>
              <w:t>61</w:t>
            </w:r>
          </w:p>
        </w:tc>
        <w:tc>
          <w:tcPr>
            <w:tcW w:w="1134" w:type="dxa"/>
          </w:tcPr>
          <w:p w:rsidR="00AA6DF8" w:rsidRPr="00BB2A59" w:rsidRDefault="00AA6DF8" w:rsidP="003A1BD9">
            <w:pPr>
              <w:pStyle w:val="Tdec"/>
              <w:rPr>
                <w:rFonts w:ascii="Arial" w:hAnsi="Arial" w:cs="Arial"/>
                <w:sz w:val="19"/>
                <w:szCs w:val="19"/>
              </w:rPr>
            </w:pPr>
            <w:r w:rsidRPr="00BB2A59">
              <w:rPr>
                <w:rFonts w:ascii="Arial" w:hAnsi="Arial" w:cs="Arial"/>
                <w:sz w:val="19"/>
                <w:szCs w:val="19"/>
              </w:rPr>
              <w:t>21</w:t>
            </w:r>
            <w:r w:rsidR="00BB2A59" w:rsidRPr="00BB2A59">
              <w:rPr>
                <w:rFonts w:ascii="Arial" w:hAnsi="Arial" w:cs="Arial"/>
                <w:sz w:val="19"/>
                <w:szCs w:val="19"/>
              </w:rPr>
              <w:t>7</w:t>
            </w:r>
          </w:p>
        </w:tc>
      </w:tr>
      <w:tr w:rsidR="00AA6DF8" w:rsidRPr="00C46A29" w:rsidTr="00AA6DF8">
        <w:trPr>
          <w:cantSplit/>
        </w:trPr>
        <w:tc>
          <w:tcPr>
            <w:tcW w:w="4962" w:type="dxa"/>
          </w:tcPr>
          <w:p w:rsidR="00AA6DF8" w:rsidRPr="00BB2A59" w:rsidRDefault="00AA6DF8" w:rsidP="003A1BD9">
            <w:pPr>
              <w:pStyle w:val="Tindent"/>
              <w:rPr>
                <w:rFonts w:ascii="Arial" w:hAnsi="Arial" w:cs="Arial"/>
                <w:sz w:val="19"/>
                <w:szCs w:val="19"/>
              </w:rPr>
            </w:pPr>
          </w:p>
        </w:tc>
        <w:tc>
          <w:tcPr>
            <w:tcW w:w="1162" w:type="dxa"/>
          </w:tcPr>
          <w:p w:rsidR="00AA6DF8" w:rsidRPr="00C46A29" w:rsidRDefault="00AA6DF8" w:rsidP="003A1BD9">
            <w:pPr>
              <w:pStyle w:val="Tdec"/>
              <w:rPr>
                <w:rFonts w:ascii="Arial" w:hAnsi="Arial" w:cs="Arial"/>
                <w:sz w:val="19"/>
                <w:szCs w:val="19"/>
                <w:highlight w:val="yellow"/>
              </w:rPr>
            </w:pPr>
          </w:p>
        </w:tc>
        <w:tc>
          <w:tcPr>
            <w:tcW w:w="1106" w:type="dxa"/>
          </w:tcPr>
          <w:p w:rsidR="00AA6DF8" w:rsidRPr="00C46A29" w:rsidRDefault="00AA6DF8" w:rsidP="003A1BD9">
            <w:pPr>
              <w:pStyle w:val="Tdec"/>
              <w:rPr>
                <w:rFonts w:ascii="Arial" w:hAnsi="Arial" w:cs="Arial"/>
                <w:sz w:val="19"/>
                <w:szCs w:val="19"/>
                <w:highlight w:val="yellow"/>
              </w:rPr>
            </w:pPr>
          </w:p>
        </w:tc>
        <w:tc>
          <w:tcPr>
            <w:tcW w:w="1134" w:type="dxa"/>
          </w:tcPr>
          <w:p w:rsidR="00AA6DF8" w:rsidRPr="00C46A29" w:rsidRDefault="00AA6DF8" w:rsidP="003A1BD9">
            <w:pPr>
              <w:pStyle w:val="D9"/>
              <w:spacing w:line="240" w:lineRule="auto"/>
              <w:rPr>
                <w:rFonts w:ascii="Arial" w:hAnsi="Arial" w:cs="Arial"/>
                <w:sz w:val="19"/>
                <w:szCs w:val="19"/>
                <w:highlight w:val="yellow"/>
              </w:rPr>
            </w:pPr>
          </w:p>
        </w:tc>
        <w:tc>
          <w:tcPr>
            <w:tcW w:w="1134" w:type="dxa"/>
          </w:tcPr>
          <w:p w:rsidR="00AA6DF8" w:rsidRPr="00BB2A59" w:rsidRDefault="00AA6DF8" w:rsidP="003A1BD9">
            <w:pPr>
              <w:pStyle w:val="D9"/>
              <w:spacing w:line="240" w:lineRule="auto"/>
              <w:rPr>
                <w:rFonts w:ascii="Arial" w:hAnsi="Arial" w:cs="Arial"/>
                <w:sz w:val="19"/>
                <w:szCs w:val="19"/>
              </w:rPr>
            </w:pPr>
          </w:p>
        </w:tc>
      </w:tr>
      <w:tr w:rsidR="00AA6DF8" w:rsidRPr="00C46A29" w:rsidTr="00AA6DF8">
        <w:trPr>
          <w:cantSplit/>
        </w:trPr>
        <w:tc>
          <w:tcPr>
            <w:tcW w:w="4962" w:type="dxa"/>
          </w:tcPr>
          <w:p w:rsidR="00AA6DF8" w:rsidRPr="00BB2A59" w:rsidRDefault="00AA6DF8" w:rsidP="003A1BD9">
            <w:pPr>
              <w:pStyle w:val="Tindent"/>
              <w:rPr>
                <w:rFonts w:ascii="Arial" w:hAnsi="Arial" w:cs="Arial"/>
                <w:sz w:val="19"/>
                <w:szCs w:val="19"/>
              </w:rPr>
            </w:pPr>
            <w:r w:rsidRPr="00BB2A59">
              <w:rPr>
                <w:rFonts w:ascii="Arial" w:hAnsi="Arial" w:cs="Arial"/>
                <w:sz w:val="19"/>
                <w:szCs w:val="19"/>
              </w:rPr>
              <w:t>The aggregate payroll costs of these persons were as follows:</w:t>
            </w:r>
          </w:p>
        </w:tc>
        <w:tc>
          <w:tcPr>
            <w:tcW w:w="1162" w:type="dxa"/>
          </w:tcPr>
          <w:p w:rsidR="00AA6DF8" w:rsidRPr="00C46A29" w:rsidRDefault="00AA6DF8" w:rsidP="003A1BD9">
            <w:pPr>
              <w:pStyle w:val="Tdec"/>
              <w:rPr>
                <w:rFonts w:ascii="Arial" w:hAnsi="Arial" w:cs="Arial"/>
                <w:sz w:val="19"/>
                <w:szCs w:val="19"/>
                <w:highlight w:val="yellow"/>
              </w:rPr>
            </w:pPr>
          </w:p>
        </w:tc>
        <w:tc>
          <w:tcPr>
            <w:tcW w:w="1106" w:type="dxa"/>
          </w:tcPr>
          <w:p w:rsidR="00AA6DF8" w:rsidRPr="00C46A29" w:rsidRDefault="00AA6DF8" w:rsidP="003A1BD9">
            <w:pPr>
              <w:pStyle w:val="Tdec"/>
              <w:rPr>
                <w:rFonts w:ascii="Arial" w:hAnsi="Arial" w:cs="Arial"/>
                <w:sz w:val="19"/>
                <w:szCs w:val="19"/>
                <w:highlight w:val="yellow"/>
              </w:rPr>
            </w:pPr>
          </w:p>
        </w:tc>
        <w:tc>
          <w:tcPr>
            <w:tcW w:w="1134" w:type="dxa"/>
          </w:tcPr>
          <w:p w:rsidR="00AA6DF8" w:rsidRPr="00A00A55" w:rsidRDefault="00AA6DF8" w:rsidP="003A1BD9">
            <w:pPr>
              <w:pStyle w:val="Tdec"/>
              <w:rPr>
                <w:rFonts w:ascii="Arial" w:hAnsi="Arial" w:cs="Arial"/>
                <w:b/>
                <w:sz w:val="19"/>
                <w:szCs w:val="19"/>
              </w:rPr>
            </w:pPr>
            <w:r w:rsidRPr="00A00A55">
              <w:rPr>
                <w:rFonts w:ascii="Arial" w:hAnsi="Arial" w:cs="Arial"/>
                <w:b/>
                <w:sz w:val="19"/>
                <w:szCs w:val="19"/>
              </w:rPr>
              <w:t>£000</w:t>
            </w:r>
          </w:p>
        </w:tc>
        <w:tc>
          <w:tcPr>
            <w:tcW w:w="1134" w:type="dxa"/>
          </w:tcPr>
          <w:p w:rsidR="00AA6DF8" w:rsidRPr="00BB2A59" w:rsidRDefault="00AA6DF8" w:rsidP="003A1BD9">
            <w:pPr>
              <w:pStyle w:val="Tdec"/>
              <w:rPr>
                <w:rFonts w:ascii="Arial" w:hAnsi="Arial" w:cs="Arial"/>
                <w:b/>
                <w:sz w:val="19"/>
                <w:szCs w:val="19"/>
              </w:rPr>
            </w:pPr>
            <w:r w:rsidRPr="00BB2A59">
              <w:rPr>
                <w:rFonts w:ascii="Arial" w:hAnsi="Arial" w:cs="Arial"/>
                <w:b/>
                <w:sz w:val="19"/>
                <w:szCs w:val="19"/>
              </w:rPr>
              <w:t>£000</w:t>
            </w:r>
          </w:p>
        </w:tc>
      </w:tr>
      <w:tr w:rsidR="00AA6DF8" w:rsidRPr="00C46A29" w:rsidTr="00AA6DF8">
        <w:trPr>
          <w:cantSplit/>
        </w:trPr>
        <w:tc>
          <w:tcPr>
            <w:tcW w:w="4962" w:type="dxa"/>
          </w:tcPr>
          <w:p w:rsidR="00AA6DF8" w:rsidRPr="00BB2A59" w:rsidRDefault="00AA6DF8" w:rsidP="003A1BD9">
            <w:pPr>
              <w:pStyle w:val="Tindent"/>
              <w:rPr>
                <w:rFonts w:ascii="Arial" w:hAnsi="Arial" w:cs="Arial"/>
                <w:sz w:val="19"/>
                <w:szCs w:val="19"/>
              </w:rPr>
            </w:pPr>
          </w:p>
        </w:tc>
        <w:tc>
          <w:tcPr>
            <w:tcW w:w="1162" w:type="dxa"/>
          </w:tcPr>
          <w:p w:rsidR="00AA6DF8" w:rsidRPr="00C46A29" w:rsidRDefault="00AA6DF8" w:rsidP="003A1BD9">
            <w:pPr>
              <w:pStyle w:val="Tdec"/>
              <w:rPr>
                <w:rFonts w:ascii="Arial" w:hAnsi="Arial" w:cs="Arial"/>
                <w:sz w:val="19"/>
                <w:szCs w:val="19"/>
                <w:highlight w:val="yellow"/>
              </w:rPr>
            </w:pPr>
          </w:p>
        </w:tc>
        <w:tc>
          <w:tcPr>
            <w:tcW w:w="1106" w:type="dxa"/>
          </w:tcPr>
          <w:p w:rsidR="00AA6DF8" w:rsidRPr="00C46A29" w:rsidRDefault="00AA6DF8" w:rsidP="003A1BD9">
            <w:pPr>
              <w:pStyle w:val="Tdec"/>
              <w:rPr>
                <w:rFonts w:ascii="Arial" w:hAnsi="Arial" w:cs="Arial"/>
                <w:sz w:val="19"/>
                <w:szCs w:val="19"/>
                <w:highlight w:val="yellow"/>
              </w:rPr>
            </w:pPr>
          </w:p>
        </w:tc>
        <w:tc>
          <w:tcPr>
            <w:tcW w:w="1134" w:type="dxa"/>
          </w:tcPr>
          <w:p w:rsidR="00AA6DF8" w:rsidRPr="00A00A55" w:rsidRDefault="00AA6DF8" w:rsidP="003A1BD9">
            <w:pPr>
              <w:pStyle w:val="Tdec"/>
              <w:rPr>
                <w:rFonts w:ascii="Arial" w:hAnsi="Arial" w:cs="Arial"/>
                <w:sz w:val="19"/>
                <w:szCs w:val="19"/>
              </w:rPr>
            </w:pPr>
          </w:p>
        </w:tc>
        <w:tc>
          <w:tcPr>
            <w:tcW w:w="1134" w:type="dxa"/>
          </w:tcPr>
          <w:p w:rsidR="00AA6DF8" w:rsidRPr="00BB2A59" w:rsidRDefault="00AA6DF8" w:rsidP="003A1BD9">
            <w:pPr>
              <w:pStyle w:val="Tdec"/>
              <w:rPr>
                <w:rFonts w:ascii="Arial" w:hAnsi="Arial" w:cs="Arial"/>
                <w:sz w:val="19"/>
                <w:szCs w:val="19"/>
              </w:rPr>
            </w:pPr>
          </w:p>
        </w:tc>
      </w:tr>
      <w:tr w:rsidR="00AA6DF8" w:rsidRPr="00C46A29" w:rsidTr="00AA6DF8">
        <w:trPr>
          <w:cantSplit/>
        </w:trPr>
        <w:tc>
          <w:tcPr>
            <w:tcW w:w="4962" w:type="dxa"/>
          </w:tcPr>
          <w:p w:rsidR="00AA6DF8" w:rsidRPr="00BB2A59" w:rsidRDefault="00AA6DF8" w:rsidP="003A1BD9">
            <w:pPr>
              <w:pStyle w:val="Tindent"/>
              <w:rPr>
                <w:rFonts w:ascii="Arial" w:hAnsi="Arial" w:cs="Arial"/>
                <w:sz w:val="19"/>
                <w:szCs w:val="19"/>
              </w:rPr>
            </w:pPr>
            <w:r w:rsidRPr="00BB2A59">
              <w:rPr>
                <w:rFonts w:ascii="Arial" w:hAnsi="Arial" w:cs="Arial"/>
                <w:sz w:val="19"/>
                <w:szCs w:val="19"/>
              </w:rPr>
              <w:t>Wages and salaries</w:t>
            </w:r>
          </w:p>
        </w:tc>
        <w:tc>
          <w:tcPr>
            <w:tcW w:w="1162" w:type="dxa"/>
          </w:tcPr>
          <w:p w:rsidR="00AA6DF8" w:rsidRPr="00C46A29" w:rsidRDefault="00AA6DF8" w:rsidP="003A1BD9">
            <w:pPr>
              <w:pStyle w:val="Tdec"/>
              <w:rPr>
                <w:rFonts w:ascii="Arial" w:hAnsi="Arial" w:cs="Arial"/>
                <w:sz w:val="19"/>
                <w:szCs w:val="19"/>
                <w:highlight w:val="yellow"/>
              </w:rPr>
            </w:pPr>
          </w:p>
        </w:tc>
        <w:tc>
          <w:tcPr>
            <w:tcW w:w="1106" w:type="dxa"/>
          </w:tcPr>
          <w:p w:rsidR="00AA6DF8" w:rsidRPr="00C46A29" w:rsidRDefault="00AA6DF8" w:rsidP="003A1BD9">
            <w:pPr>
              <w:pStyle w:val="Tdec"/>
              <w:rPr>
                <w:rFonts w:ascii="Arial" w:hAnsi="Arial" w:cs="Arial"/>
                <w:sz w:val="19"/>
                <w:szCs w:val="19"/>
                <w:highlight w:val="yellow"/>
              </w:rPr>
            </w:pPr>
          </w:p>
        </w:tc>
        <w:tc>
          <w:tcPr>
            <w:tcW w:w="1134" w:type="dxa"/>
          </w:tcPr>
          <w:p w:rsidR="00AA6DF8" w:rsidRPr="00A00A55" w:rsidRDefault="00374FAB" w:rsidP="003A1BD9">
            <w:pPr>
              <w:pStyle w:val="Tdec"/>
              <w:rPr>
                <w:rFonts w:ascii="Arial" w:hAnsi="Arial" w:cs="Arial"/>
                <w:sz w:val="19"/>
                <w:szCs w:val="19"/>
              </w:rPr>
            </w:pPr>
            <w:r w:rsidRPr="00A00A55">
              <w:rPr>
                <w:rFonts w:ascii="Arial" w:hAnsi="Arial" w:cs="Arial"/>
                <w:sz w:val="19"/>
                <w:szCs w:val="19"/>
              </w:rPr>
              <w:t>6,082</w:t>
            </w:r>
          </w:p>
        </w:tc>
        <w:tc>
          <w:tcPr>
            <w:tcW w:w="1134" w:type="dxa"/>
          </w:tcPr>
          <w:p w:rsidR="00AA6DF8" w:rsidRPr="00BB2A59" w:rsidRDefault="00BB2A59" w:rsidP="003A1BD9">
            <w:pPr>
              <w:pStyle w:val="Tdec"/>
              <w:rPr>
                <w:rFonts w:ascii="Arial" w:hAnsi="Arial" w:cs="Arial"/>
                <w:sz w:val="19"/>
                <w:szCs w:val="19"/>
              </w:rPr>
            </w:pPr>
            <w:r w:rsidRPr="00BB2A59">
              <w:rPr>
                <w:rFonts w:ascii="Arial" w:hAnsi="Arial" w:cs="Arial"/>
                <w:sz w:val="19"/>
                <w:szCs w:val="19"/>
              </w:rPr>
              <w:t>5,062</w:t>
            </w:r>
          </w:p>
        </w:tc>
      </w:tr>
      <w:tr w:rsidR="00AA6DF8" w:rsidRPr="00C46A29" w:rsidTr="00AA6DF8">
        <w:trPr>
          <w:cantSplit/>
        </w:trPr>
        <w:tc>
          <w:tcPr>
            <w:tcW w:w="4962" w:type="dxa"/>
          </w:tcPr>
          <w:p w:rsidR="00AA6DF8" w:rsidRPr="00BB2A59" w:rsidRDefault="00AA6DF8" w:rsidP="003A1BD9">
            <w:pPr>
              <w:pStyle w:val="Tindent"/>
              <w:rPr>
                <w:rFonts w:ascii="Arial" w:hAnsi="Arial" w:cs="Arial"/>
                <w:sz w:val="19"/>
                <w:szCs w:val="19"/>
              </w:rPr>
            </w:pPr>
            <w:r w:rsidRPr="00BB2A59">
              <w:rPr>
                <w:rFonts w:ascii="Arial" w:hAnsi="Arial" w:cs="Arial"/>
                <w:sz w:val="19"/>
                <w:szCs w:val="19"/>
              </w:rPr>
              <w:t>Social security costs</w:t>
            </w:r>
          </w:p>
        </w:tc>
        <w:tc>
          <w:tcPr>
            <w:tcW w:w="1162" w:type="dxa"/>
          </w:tcPr>
          <w:p w:rsidR="00AA6DF8" w:rsidRPr="00C46A29" w:rsidRDefault="00AA6DF8" w:rsidP="003A1BD9">
            <w:pPr>
              <w:pStyle w:val="Tdec"/>
              <w:rPr>
                <w:rFonts w:ascii="Arial" w:hAnsi="Arial" w:cs="Arial"/>
                <w:sz w:val="19"/>
                <w:szCs w:val="19"/>
                <w:highlight w:val="yellow"/>
              </w:rPr>
            </w:pPr>
          </w:p>
        </w:tc>
        <w:tc>
          <w:tcPr>
            <w:tcW w:w="1106" w:type="dxa"/>
          </w:tcPr>
          <w:p w:rsidR="00AA6DF8" w:rsidRPr="00C46A29" w:rsidRDefault="00AA6DF8" w:rsidP="003A1BD9">
            <w:pPr>
              <w:pStyle w:val="Tdec"/>
              <w:rPr>
                <w:rFonts w:ascii="Arial" w:hAnsi="Arial" w:cs="Arial"/>
                <w:sz w:val="19"/>
                <w:szCs w:val="19"/>
                <w:highlight w:val="yellow"/>
              </w:rPr>
            </w:pPr>
          </w:p>
        </w:tc>
        <w:tc>
          <w:tcPr>
            <w:tcW w:w="1134" w:type="dxa"/>
          </w:tcPr>
          <w:p w:rsidR="00AA6DF8" w:rsidRPr="00A00A55" w:rsidRDefault="00374FAB" w:rsidP="003A1BD9">
            <w:pPr>
              <w:pStyle w:val="Tdec"/>
              <w:rPr>
                <w:rFonts w:ascii="Arial" w:hAnsi="Arial" w:cs="Arial"/>
                <w:sz w:val="19"/>
                <w:szCs w:val="19"/>
              </w:rPr>
            </w:pPr>
            <w:r w:rsidRPr="00A00A55">
              <w:rPr>
                <w:rFonts w:ascii="Arial" w:hAnsi="Arial" w:cs="Arial"/>
                <w:sz w:val="19"/>
                <w:szCs w:val="19"/>
              </w:rPr>
              <w:t>426</w:t>
            </w:r>
          </w:p>
        </w:tc>
        <w:tc>
          <w:tcPr>
            <w:tcW w:w="1134" w:type="dxa"/>
          </w:tcPr>
          <w:p w:rsidR="00AA6DF8" w:rsidRPr="00BB2A59" w:rsidRDefault="00AA6DF8" w:rsidP="003A1BD9">
            <w:pPr>
              <w:pStyle w:val="Tdec"/>
              <w:rPr>
                <w:rFonts w:ascii="Arial" w:hAnsi="Arial" w:cs="Arial"/>
                <w:sz w:val="19"/>
                <w:szCs w:val="19"/>
              </w:rPr>
            </w:pPr>
            <w:r w:rsidRPr="00BB2A59">
              <w:rPr>
                <w:rFonts w:ascii="Arial" w:hAnsi="Arial" w:cs="Arial"/>
                <w:sz w:val="19"/>
                <w:szCs w:val="19"/>
              </w:rPr>
              <w:t>3</w:t>
            </w:r>
            <w:r w:rsidR="00BB2A59" w:rsidRPr="00BB2A59">
              <w:rPr>
                <w:rFonts w:ascii="Arial" w:hAnsi="Arial" w:cs="Arial"/>
                <w:sz w:val="19"/>
                <w:szCs w:val="19"/>
              </w:rPr>
              <w:t>73</w:t>
            </w:r>
          </w:p>
        </w:tc>
      </w:tr>
      <w:tr w:rsidR="00BB1C9F" w:rsidRPr="00C46A29" w:rsidTr="00AA6DF8">
        <w:trPr>
          <w:cantSplit/>
        </w:trPr>
        <w:tc>
          <w:tcPr>
            <w:tcW w:w="4962" w:type="dxa"/>
          </w:tcPr>
          <w:p w:rsidR="00BB1C9F" w:rsidRPr="00BB2A59" w:rsidRDefault="00AA6DF8" w:rsidP="00C717C4">
            <w:pPr>
              <w:pStyle w:val="Tindent"/>
              <w:rPr>
                <w:rFonts w:ascii="Arial" w:hAnsi="Arial" w:cs="Arial"/>
                <w:sz w:val="19"/>
                <w:szCs w:val="19"/>
              </w:rPr>
            </w:pPr>
            <w:r w:rsidRPr="00BB2A59">
              <w:rPr>
                <w:rFonts w:ascii="Arial" w:hAnsi="Arial" w:cs="Arial"/>
                <w:sz w:val="19"/>
                <w:szCs w:val="19"/>
              </w:rPr>
              <w:t>Other pension costs (note 1</w:t>
            </w:r>
            <w:r w:rsidR="00C717C4">
              <w:rPr>
                <w:rFonts w:ascii="Arial" w:hAnsi="Arial" w:cs="Arial"/>
                <w:sz w:val="19"/>
                <w:szCs w:val="19"/>
              </w:rPr>
              <w:t>8</w:t>
            </w:r>
            <w:r w:rsidRPr="00BB2A59">
              <w:rPr>
                <w:rFonts w:ascii="Arial" w:hAnsi="Arial" w:cs="Arial"/>
                <w:sz w:val="19"/>
                <w:szCs w:val="19"/>
              </w:rPr>
              <w:t>)</w:t>
            </w:r>
          </w:p>
        </w:tc>
        <w:tc>
          <w:tcPr>
            <w:tcW w:w="1162" w:type="dxa"/>
          </w:tcPr>
          <w:p w:rsidR="00BB1C9F" w:rsidRPr="00C46A29" w:rsidRDefault="00BB1C9F" w:rsidP="003A1BD9">
            <w:pPr>
              <w:pStyle w:val="Tdec"/>
              <w:rPr>
                <w:rFonts w:ascii="Arial" w:hAnsi="Arial" w:cs="Arial"/>
                <w:sz w:val="19"/>
                <w:szCs w:val="19"/>
                <w:highlight w:val="yellow"/>
              </w:rPr>
            </w:pPr>
          </w:p>
        </w:tc>
        <w:tc>
          <w:tcPr>
            <w:tcW w:w="1106" w:type="dxa"/>
          </w:tcPr>
          <w:p w:rsidR="00BB1C9F" w:rsidRPr="00C46A29" w:rsidRDefault="00BB1C9F" w:rsidP="003A1BD9">
            <w:pPr>
              <w:pStyle w:val="Tdec"/>
              <w:rPr>
                <w:rFonts w:ascii="Arial" w:hAnsi="Arial" w:cs="Arial"/>
                <w:sz w:val="19"/>
                <w:szCs w:val="19"/>
                <w:highlight w:val="yellow"/>
              </w:rPr>
            </w:pPr>
          </w:p>
        </w:tc>
        <w:tc>
          <w:tcPr>
            <w:tcW w:w="1134" w:type="dxa"/>
          </w:tcPr>
          <w:p w:rsidR="00BB1C9F" w:rsidRPr="00A00A55" w:rsidRDefault="00374FAB" w:rsidP="003A1BD9">
            <w:pPr>
              <w:pStyle w:val="Tdec"/>
              <w:rPr>
                <w:rFonts w:ascii="Arial" w:hAnsi="Arial" w:cs="Arial"/>
                <w:sz w:val="19"/>
                <w:szCs w:val="19"/>
              </w:rPr>
            </w:pPr>
            <w:r w:rsidRPr="00A00A55">
              <w:rPr>
                <w:rFonts w:ascii="Arial" w:hAnsi="Arial" w:cs="Arial"/>
                <w:sz w:val="19"/>
                <w:szCs w:val="19"/>
              </w:rPr>
              <w:t>1,160</w:t>
            </w:r>
          </w:p>
        </w:tc>
        <w:tc>
          <w:tcPr>
            <w:tcW w:w="1134" w:type="dxa"/>
          </w:tcPr>
          <w:p w:rsidR="00BB1C9F" w:rsidRPr="00BB2A59" w:rsidRDefault="00BB2A59" w:rsidP="003A1BD9">
            <w:pPr>
              <w:pStyle w:val="Tdec"/>
              <w:rPr>
                <w:rFonts w:ascii="Arial" w:hAnsi="Arial" w:cs="Arial"/>
                <w:sz w:val="19"/>
                <w:szCs w:val="19"/>
              </w:rPr>
            </w:pPr>
            <w:r w:rsidRPr="00BB2A59">
              <w:rPr>
                <w:rFonts w:ascii="Arial" w:hAnsi="Arial" w:cs="Arial"/>
                <w:sz w:val="19"/>
                <w:szCs w:val="19"/>
              </w:rPr>
              <w:t>950</w:t>
            </w:r>
          </w:p>
        </w:tc>
      </w:tr>
      <w:tr w:rsidR="00BB1C9F" w:rsidRPr="00C46A29" w:rsidTr="00AA6DF8">
        <w:trPr>
          <w:cantSplit/>
        </w:trPr>
        <w:tc>
          <w:tcPr>
            <w:tcW w:w="4962" w:type="dxa"/>
          </w:tcPr>
          <w:p w:rsidR="00BB1C9F" w:rsidRPr="00BB2A59" w:rsidRDefault="00AA6DF8" w:rsidP="00C717C4">
            <w:pPr>
              <w:pStyle w:val="Tindent"/>
              <w:rPr>
                <w:rFonts w:ascii="Arial" w:hAnsi="Arial" w:cs="Arial"/>
                <w:sz w:val="19"/>
                <w:szCs w:val="19"/>
              </w:rPr>
            </w:pPr>
            <w:r w:rsidRPr="00BB2A59">
              <w:rPr>
                <w:rFonts w:ascii="Arial" w:hAnsi="Arial" w:cs="Arial"/>
                <w:sz w:val="19"/>
                <w:szCs w:val="19"/>
              </w:rPr>
              <w:t>Past Service Cost (note 1</w:t>
            </w:r>
            <w:r w:rsidR="00C717C4">
              <w:rPr>
                <w:rFonts w:ascii="Arial" w:hAnsi="Arial" w:cs="Arial"/>
                <w:sz w:val="19"/>
                <w:szCs w:val="19"/>
              </w:rPr>
              <w:t>8</w:t>
            </w:r>
            <w:r w:rsidRPr="00BB2A59">
              <w:rPr>
                <w:rFonts w:ascii="Arial" w:hAnsi="Arial" w:cs="Arial"/>
                <w:sz w:val="19"/>
                <w:szCs w:val="19"/>
              </w:rPr>
              <w:t>)</w:t>
            </w:r>
          </w:p>
        </w:tc>
        <w:tc>
          <w:tcPr>
            <w:tcW w:w="1162" w:type="dxa"/>
          </w:tcPr>
          <w:p w:rsidR="00BB1C9F" w:rsidRPr="00C46A29" w:rsidRDefault="00BB1C9F" w:rsidP="003A1BD9">
            <w:pPr>
              <w:pStyle w:val="Tdec"/>
              <w:rPr>
                <w:rFonts w:ascii="Arial" w:hAnsi="Arial" w:cs="Arial"/>
                <w:sz w:val="19"/>
                <w:szCs w:val="19"/>
                <w:highlight w:val="yellow"/>
              </w:rPr>
            </w:pPr>
          </w:p>
        </w:tc>
        <w:tc>
          <w:tcPr>
            <w:tcW w:w="1106" w:type="dxa"/>
          </w:tcPr>
          <w:p w:rsidR="00BB1C9F" w:rsidRPr="00C46A29" w:rsidRDefault="00BB1C9F" w:rsidP="003A1BD9">
            <w:pPr>
              <w:pStyle w:val="Tdec"/>
              <w:rPr>
                <w:rFonts w:ascii="Arial" w:hAnsi="Arial" w:cs="Arial"/>
                <w:sz w:val="19"/>
                <w:szCs w:val="19"/>
                <w:highlight w:val="yellow"/>
              </w:rPr>
            </w:pPr>
          </w:p>
        </w:tc>
        <w:tc>
          <w:tcPr>
            <w:tcW w:w="1134" w:type="dxa"/>
          </w:tcPr>
          <w:p w:rsidR="00BB1C9F" w:rsidRPr="00A00A55" w:rsidRDefault="00C155FE" w:rsidP="003A1BD9">
            <w:pPr>
              <w:pStyle w:val="Tdec"/>
              <w:rPr>
                <w:rFonts w:ascii="Arial" w:hAnsi="Arial" w:cs="Arial"/>
                <w:sz w:val="19"/>
                <w:szCs w:val="19"/>
              </w:rPr>
            </w:pPr>
            <w:r w:rsidRPr="00A00A55">
              <w:rPr>
                <w:rFonts w:ascii="Arial" w:hAnsi="Arial" w:cs="Arial"/>
                <w:sz w:val="19"/>
                <w:szCs w:val="19"/>
              </w:rPr>
              <w:t>2</w:t>
            </w:r>
            <w:r w:rsidR="00374FAB" w:rsidRPr="00A00A55">
              <w:rPr>
                <w:rFonts w:ascii="Arial" w:hAnsi="Arial" w:cs="Arial"/>
                <w:sz w:val="19"/>
                <w:szCs w:val="19"/>
              </w:rPr>
              <w:t>0</w:t>
            </w:r>
          </w:p>
        </w:tc>
        <w:tc>
          <w:tcPr>
            <w:tcW w:w="1134" w:type="dxa"/>
          </w:tcPr>
          <w:p w:rsidR="00BB1C9F" w:rsidRPr="00BB2A59" w:rsidRDefault="00BB2A59" w:rsidP="003A1BD9">
            <w:pPr>
              <w:pStyle w:val="Tdec"/>
              <w:rPr>
                <w:rFonts w:ascii="Arial" w:hAnsi="Arial" w:cs="Arial"/>
                <w:sz w:val="19"/>
                <w:szCs w:val="19"/>
              </w:rPr>
            </w:pPr>
            <w:r w:rsidRPr="00BB2A59">
              <w:rPr>
                <w:rFonts w:ascii="Arial" w:hAnsi="Arial" w:cs="Arial"/>
                <w:sz w:val="19"/>
                <w:szCs w:val="19"/>
              </w:rPr>
              <w:t>20</w:t>
            </w:r>
          </w:p>
        </w:tc>
      </w:tr>
      <w:tr w:rsidR="00BB1C9F" w:rsidRPr="00C46A29" w:rsidTr="00AA6DF8">
        <w:trPr>
          <w:cantSplit/>
        </w:trPr>
        <w:tc>
          <w:tcPr>
            <w:tcW w:w="4962" w:type="dxa"/>
          </w:tcPr>
          <w:p w:rsidR="00BB1C9F" w:rsidRPr="00BB2A59" w:rsidRDefault="00BB1C9F" w:rsidP="003A1BD9">
            <w:pPr>
              <w:pStyle w:val="Tindent"/>
              <w:rPr>
                <w:rFonts w:ascii="Arial" w:hAnsi="Arial" w:cs="Arial"/>
                <w:sz w:val="19"/>
                <w:szCs w:val="19"/>
              </w:rPr>
            </w:pPr>
          </w:p>
        </w:tc>
        <w:tc>
          <w:tcPr>
            <w:tcW w:w="1162" w:type="dxa"/>
          </w:tcPr>
          <w:p w:rsidR="00BB1C9F" w:rsidRPr="00C46A29" w:rsidRDefault="00BB1C9F" w:rsidP="003A1BD9">
            <w:pPr>
              <w:pStyle w:val="Tdec"/>
              <w:rPr>
                <w:rFonts w:ascii="Arial" w:hAnsi="Arial" w:cs="Arial"/>
                <w:sz w:val="19"/>
                <w:szCs w:val="19"/>
                <w:highlight w:val="yellow"/>
              </w:rPr>
            </w:pPr>
          </w:p>
        </w:tc>
        <w:tc>
          <w:tcPr>
            <w:tcW w:w="1106" w:type="dxa"/>
          </w:tcPr>
          <w:p w:rsidR="00BB1C9F" w:rsidRPr="00C46A29" w:rsidRDefault="00BB1C9F" w:rsidP="003A1BD9">
            <w:pPr>
              <w:pStyle w:val="Tdec"/>
              <w:rPr>
                <w:rFonts w:ascii="Arial" w:hAnsi="Arial" w:cs="Arial"/>
                <w:sz w:val="19"/>
                <w:szCs w:val="19"/>
                <w:highlight w:val="yellow"/>
              </w:rPr>
            </w:pPr>
          </w:p>
        </w:tc>
        <w:tc>
          <w:tcPr>
            <w:tcW w:w="1134" w:type="dxa"/>
          </w:tcPr>
          <w:p w:rsidR="00BB1C9F" w:rsidRPr="00A00A55" w:rsidRDefault="00BB1C9F" w:rsidP="003A1BD9">
            <w:pPr>
              <w:pStyle w:val="S9"/>
              <w:spacing w:line="240" w:lineRule="auto"/>
              <w:rPr>
                <w:rFonts w:ascii="Arial" w:hAnsi="Arial" w:cs="Arial"/>
                <w:sz w:val="19"/>
                <w:szCs w:val="19"/>
              </w:rPr>
            </w:pPr>
          </w:p>
        </w:tc>
        <w:tc>
          <w:tcPr>
            <w:tcW w:w="1134" w:type="dxa"/>
          </w:tcPr>
          <w:p w:rsidR="00BB1C9F" w:rsidRPr="00BB2A59" w:rsidRDefault="00BB1C9F" w:rsidP="003A1BD9">
            <w:pPr>
              <w:pStyle w:val="S9"/>
              <w:spacing w:line="240" w:lineRule="auto"/>
              <w:rPr>
                <w:rFonts w:ascii="Arial" w:hAnsi="Arial" w:cs="Arial"/>
                <w:sz w:val="19"/>
                <w:szCs w:val="19"/>
              </w:rPr>
            </w:pPr>
          </w:p>
        </w:tc>
      </w:tr>
      <w:tr w:rsidR="00BB1C9F" w:rsidRPr="00C46A29" w:rsidTr="00AA6DF8">
        <w:trPr>
          <w:cantSplit/>
        </w:trPr>
        <w:tc>
          <w:tcPr>
            <w:tcW w:w="4962" w:type="dxa"/>
          </w:tcPr>
          <w:p w:rsidR="00BB1C9F" w:rsidRPr="00C46A29" w:rsidRDefault="00BB1C9F" w:rsidP="003A1BD9">
            <w:pPr>
              <w:pStyle w:val="Tindent"/>
              <w:rPr>
                <w:rFonts w:ascii="Arial" w:hAnsi="Arial" w:cs="Arial"/>
                <w:sz w:val="19"/>
                <w:szCs w:val="19"/>
                <w:highlight w:val="yellow"/>
              </w:rPr>
            </w:pPr>
          </w:p>
        </w:tc>
        <w:tc>
          <w:tcPr>
            <w:tcW w:w="1162" w:type="dxa"/>
          </w:tcPr>
          <w:p w:rsidR="00BB1C9F" w:rsidRPr="00C46A29" w:rsidRDefault="00BB1C9F" w:rsidP="003A1BD9">
            <w:pPr>
              <w:pStyle w:val="Tdec"/>
              <w:rPr>
                <w:rFonts w:ascii="Arial" w:hAnsi="Arial" w:cs="Arial"/>
                <w:sz w:val="19"/>
                <w:szCs w:val="19"/>
                <w:highlight w:val="yellow"/>
              </w:rPr>
            </w:pPr>
          </w:p>
        </w:tc>
        <w:tc>
          <w:tcPr>
            <w:tcW w:w="1106" w:type="dxa"/>
          </w:tcPr>
          <w:p w:rsidR="00BB1C9F" w:rsidRPr="00C46A29" w:rsidRDefault="00BB1C9F" w:rsidP="003A1BD9">
            <w:pPr>
              <w:pStyle w:val="Tdec"/>
              <w:rPr>
                <w:rFonts w:ascii="Arial" w:hAnsi="Arial" w:cs="Arial"/>
                <w:sz w:val="19"/>
                <w:szCs w:val="19"/>
                <w:highlight w:val="yellow"/>
              </w:rPr>
            </w:pPr>
          </w:p>
        </w:tc>
        <w:tc>
          <w:tcPr>
            <w:tcW w:w="1134" w:type="dxa"/>
          </w:tcPr>
          <w:p w:rsidR="00BB1C9F" w:rsidRPr="00A00A55" w:rsidRDefault="00A00A55" w:rsidP="003A1BD9">
            <w:pPr>
              <w:pStyle w:val="Tdec"/>
              <w:rPr>
                <w:rFonts w:ascii="Arial" w:hAnsi="Arial" w:cs="Arial"/>
                <w:sz w:val="19"/>
                <w:szCs w:val="19"/>
              </w:rPr>
            </w:pPr>
            <w:r w:rsidRPr="00A00A55">
              <w:rPr>
                <w:rFonts w:ascii="Arial" w:hAnsi="Arial" w:cs="Arial"/>
                <w:sz w:val="19"/>
                <w:szCs w:val="19"/>
              </w:rPr>
              <w:t>7,688</w:t>
            </w:r>
          </w:p>
        </w:tc>
        <w:tc>
          <w:tcPr>
            <w:tcW w:w="1134" w:type="dxa"/>
          </w:tcPr>
          <w:p w:rsidR="00BB1C9F" w:rsidRPr="00BB2A59" w:rsidRDefault="00AA6DF8" w:rsidP="003A1BD9">
            <w:pPr>
              <w:pStyle w:val="Tdec"/>
              <w:rPr>
                <w:rFonts w:ascii="Arial" w:hAnsi="Arial" w:cs="Arial"/>
                <w:sz w:val="19"/>
                <w:szCs w:val="19"/>
              </w:rPr>
            </w:pPr>
            <w:r w:rsidRPr="00BB2A59">
              <w:rPr>
                <w:rFonts w:ascii="Arial" w:hAnsi="Arial" w:cs="Arial"/>
                <w:sz w:val="19"/>
                <w:szCs w:val="19"/>
              </w:rPr>
              <w:t>6,</w:t>
            </w:r>
            <w:r w:rsidR="00BB2A59" w:rsidRPr="00BB2A59">
              <w:rPr>
                <w:rFonts w:ascii="Arial" w:hAnsi="Arial" w:cs="Arial"/>
                <w:sz w:val="19"/>
                <w:szCs w:val="19"/>
              </w:rPr>
              <w:t>405</w:t>
            </w:r>
          </w:p>
        </w:tc>
      </w:tr>
      <w:tr w:rsidR="00BB1C9F" w:rsidRPr="00C46A29" w:rsidTr="00AA6DF8">
        <w:trPr>
          <w:cantSplit/>
        </w:trPr>
        <w:tc>
          <w:tcPr>
            <w:tcW w:w="4962" w:type="dxa"/>
          </w:tcPr>
          <w:p w:rsidR="00BB1C9F" w:rsidRPr="00C46A29" w:rsidRDefault="00BB1C9F" w:rsidP="003A1BD9">
            <w:pPr>
              <w:pStyle w:val="Tindent"/>
              <w:rPr>
                <w:rFonts w:ascii="Arial" w:hAnsi="Arial" w:cs="Arial"/>
                <w:sz w:val="19"/>
                <w:szCs w:val="19"/>
                <w:highlight w:val="yellow"/>
              </w:rPr>
            </w:pPr>
          </w:p>
        </w:tc>
        <w:tc>
          <w:tcPr>
            <w:tcW w:w="1162" w:type="dxa"/>
          </w:tcPr>
          <w:p w:rsidR="00BB1C9F" w:rsidRPr="00C46A29" w:rsidRDefault="00BB1C9F" w:rsidP="003A1BD9">
            <w:pPr>
              <w:pStyle w:val="Tdec"/>
              <w:rPr>
                <w:rFonts w:ascii="Arial" w:hAnsi="Arial" w:cs="Arial"/>
                <w:sz w:val="19"/>
                <w:szCs w:val="19"/>
                <w:highlight w:val="yellow"/>
              </w:rPr>
            </w:pPr>
          </w:p>
        </w:tc>
        <w:tc>
          <w:tcPr>
            <w:tcW w:w="1106" w:type="dxa"/>
          </w:tcPr>
          <w:p w:rsidR="00BB1C9F" w:rsidRPr="00C46A29" w:rsidRDefault="00BB1C9F" w:rsidP="003A1BD9">
            <w:pPr>
              <w:pStyle w:val="Tdec"/>
              <w:rPr>
                <w:rFonts w:ascii="Arial" w:hAnsi="Arial" w:cs="Arial"/>
                <w:sz w:val="19"/>
                <w:szCs w:val="19"/>
                <w:highlight w:val="yellow"/>
              </w:rPr>
            </w:pPr>
          </w:p>
        </w:tc>
        <w:tc>
          <w:tcPr>
            <w:tcW w:w="1134" w:type="dxa"/>
          </w:tcPr>
          <w:p w:rsidR="00BB1C9F" w:rsidRPr="00C46A29" w:rsidRDefault="00BB1C9F" w:rsidP="003A1BD9">
            <w:pPr>
              <w:pStyle w:val="D9"/>
              <w:spacing w:line="240" w:lineRule="auto"/>
              <w:rPr>
                <w:rFonts w:ascii="Arial" w:hAnsi="Arial" w:cs="Arial"/>
                <w:sz w:val="19"/>
                <w:szCs w:val="19"/>
                <w:highlight w:val="yellow"/>
              </w:rPr>
            </w:pPr>
          </w:p>
        </w:tc>
        <w:tc>
          <w:tcPr>
            <w:tcW w:w="1134" w:type="dxa"/>
          </w:tcPr>
          <w:p w:rsidR="00BB1C9F" w:rsidRPr="00BB2A59" w:rsidRDefault="00BB1C9F" w:rsidP="003A1BD9">
            <w:pPr>
              <w:pStyle w:val="D9"/>
              <w:spacing w:line="240" w:lineRule="auto"/>
              <w:rPr>
                <w:rFonts w:ascii="Arial" w:hAnsi="Arial" w:cs="Arial"/>
                <w:sz w:val="19"/>
                <w:szCs w:val="19"/>
              </w:rPr>
            </w:pPr>
          </w:p>
        </w:tc>
      </w:tr>
    </w:tbl>
    <w:p w:rsidR="002B3635" w:rsidRPr="00C46A29" w:rsidRDefault="002B3635" w:rsidP="002B3635">
      <w:pPr>
        <w:pStyle w:val="NormalIndent"/>
        <w:rPr>
          <w:highlight w:val="yellow"/>
        </w:rPr>
      </w:pPr>
      <w:bookmarkStart w:id="14" w:name="_Toc390775320"/>
    </w:p>
    <w:p w:rsidR="002B3635" w:rsidRPr="00BB2A59" w:rsidRDefault="00FB2E5A" w:rsidP="002B3635">
      <w:pPr>
        <w:pStyle w:val="Heading1"/>
        <w:numPr>
          <w:ilvl w:val="0"/>
          <w:numId w:val="33"/>
        </w:numPr>
        <w:ind w:left="567" w:hanging="567"/>
      </w:pPr>
      <w:r w:rsidRPr="00BB2A59">
        <w:rPr>
          <w:rFonts w:ascii="Arial" w:hAnsi="Arial" w:cs="Arial"/>
          <w:caps w:val="0"/>
          <w:sz w:val="24"/>
          <w:szCs w:val="19"/>
        </w:rPr>
        <w:lastRenderedPageBreak/>
        <w:t>Interest Payable and Similar Charge</w:t>
      </w:r>
      <w:bookmarkEnd w:id="14"/>
      <w:r w:rsidRPr="00BB2A59">
        <w:rPr>
          <w:rFonts w:ascii="Arial" w:hAnsi="Arial" w:cs="Arial"/>
          <w:caps w:val="0"/>
          <w:sz w:val="24"/>
          <w:szCs w:val="19"/>
        </w:rPr>
        <w:t>s</w:t>
      </w:r>
    </w:p>
    <w:tbl>
      <w:tblPr>
        <w:tblW w:w="9498" w:type="dxa"/>
        <w:tblLayout w:type="fixed"/>
        <w:tblCellMar>
          <w:left w:w="28" w:type="dxa"/>
          <w:right w:w="28" w:type="dxa"/>
        </w:tblCellMar>
        <w:tblLook w:val="0000" w:firstRow="0" w:lastRow="0" w:firstColumn="0" w:lastColumn="0" w:noHBand="0" w:noVBand="0"/>
      </w:tblPr>
      <w:tblGrid>
        <w:gridCol w:w="4962"/>
        <w:gridCol w:w="1162"/>
        <w:gridCol w:w="1106"/>
        <w:gridCol w:w="1134"/>
        <w:gridCol w:w="1134"/>
      </w:tblGrid>
      <w:tr w:rsidR="00AA6DF8" w:rsidRPr="00C46A29" w:rsidTr="00AA6DF8">
        <w:trPr>
          <w:cantSplit/>
        </w:trPr>
        <w:tc>
          <w:tcPr>
            <w:tcW w:w="4962" w:type="dxa"/>
          </w:tcPr>
          <w:p w:rsidR="00AA6DF8" w:rsidRPr="00C46A29" w:rsidRDefault="00AA6DF8" w:rsidP="003A1BD9">
            <w:pPr>
              <w:pStyle w:val="Thead"/>
              <w:rPr>
                <w:rFonts w:ascii="Arial" w:hAnsi="Arial" w:cs="Arial"/>
                <w:sz w:val="19"/>
                <w:szCs w:val="19"/>
                <w:highlight w:val="yellow"/>
              </w:rPr>
            </w:pPr>
          </w:p>
        </w:tc>
        <w:tc>
          <w:tcPr>
            <w:tcW w:w="1162" w:type="dxa"/>
          </w:tcPr>
          <w:p w:rsidR="00AA6DF8" w:rsidRPr="00C46A29" w:rsidRDefault="00AA6DF8" w:rsidP="003A1BD9">
            <w:pPr>
              <w:pStyle w:val="Thead"/>
              <w:rPr>
                <w:rFonts w:ascii="Arial" w:hAnsi="Arial" w:cs="Arial"/>
                <w:sz w:val="19"/>
                <w:szCs w:val="19"/>
                <w:highlight w:val="yellow"/>
              </w:rPr>
            </w:pPr>
          </w:p>
        </w:tc>
        <w:tc>
          <w:tcPr>
            <w:tcW w:w="1106" w:type="dxa"/>
          </w:tcPr>
          <w:p w:rsidR="00AA6DF8" w:rsidRPr="00C46A29" w:rsidRDefault="00AA6DF8" w:rsidP="003A1BD9">
            <w:pPr>
              <w:pStyle w:val="Thead"/>
              <w:rPr>
                <w:rFonts w:ascii="Arial" w:hAnsi="Arial" w:cs="Arial"/>
                <w:sz w:val="19"/>
                <w:szCs w:val="19"/>
                <w:highlight w:val="yellow"/>
              </w:rPr>
            </w:pPr>
          </w:p>
        </w:tc>
        <w:tc>
          <w:tcPr>
            <w:tcW w:w="1134" w:type="dxa"/>
          </w:tcPr>
          <w:p w:rsidR="00AA6DF8" w:rsidRPr="00B82447" w:rsidRDefault="00BB2A59" w:rsidP="003A1BD9">
            <w:pPr>
              <w:pStyle w:val="Thead"/>
              <w:rPr>
                <w:rFonts w:ascii="Arial" w:hAnsi="Arial" w:cs="Arial"/>
                <w:sz w:val="19"/>
                <w:szCs w:val="19"/>
              </w:rPr>
            </w:pPr>
            <w:r w:rsidRPr="00B82447">
              <w:rPr>
                <w:rFonts w:ascii="Arial" w:hAnsi="Arial" w:cs="Arial"/>
                <w:sz w:val="19"/>
                <w:szCs w:val="19"/>
              </w:rPr>
              <w:t>2015</w:t>
            </w:r>
          </w:p>
          <w:p w:rsidR="00AA6DF8" w:rsidRPr="00B82447" w:rsidRDefault="00AA6DF8" w:rsidP="003A1BD9">
            <w:pPr>
              <w:pStyle w:val="Thead"/>
              <w:rPr>
                <w:rFonts w:ascii="Arial" w:hAnsi="Arial" w:cs="Arial"/>
                <w:sz w:val="19"/>
                <w:szCs w:val="19"/>
              </w:rPr>
            </w:pPr>
            <w:r w:rsidRPr="00B82447">
              <w:rPr>
                <w:rFonts w:ascii="Arial" w:hAnsi="Arial" w:cs="Arial"/>
                <w:sz w:val="19"/>
                <w:szCs w:val="19"/>
              </w:rPr>
              <w:t>£</w:t>
            </w:r>
          </w:p>
        </w:tc>
        <w:tc>
          <w:tcPr>
            <w:tcW w:w="1134" w:type="dxa"/>
          </w:tcPr>
          <w:p w:rsidR="00AA6DF8" w:rsidRPr="00BB2A59" w:rsidRDefault="00BB2A59" w:rsidP="003A1BD9">
            <w:pPr>
              <w:pStyle w:val="Thead"/>
              <w:rPr>
                <w:rFonts w:ascii="Arial" w:hAnsi="Arial" w:cs="Arial"/>
                <w:sz w:val="19"/>
                <w:szCs w:val="19"/>
              </w:rPr>
            </w:pPr>
            <w:r w:rsidRPr="00BB2A59">
              <w:rPr>
                <w:rFonts w:ascii="Arial" w:hAnsi="Arial" w:cs="Arial"/>
                <w:sz w:val="19"/>
                <w:szCs w:val="19"/>
              </w:rPr>
              <w:t>2014</w:t>
            </w:r>
          </w:p>
          <w:p w:rsidR="00AA6DF8" w:rsidRPr="00BB2A59" w:rsidRDefault="00AA6DF8" w:rsidP="003A1BD9">
            <w:pPr>
              <w:pStyle w:val="Thead"/>
              <w:rPr>
                <w:rFonts w:ascii="Arial" w:hAnsi="Arial" w:cs="Arial"/>
                <w:sz w:val="19"/>
                <w:szCs w:val="19"/>
              </w:rPr>
            </w:pPr>
            <w:r w:rsidRPr="00BB2A59">
              <w:rPr>
                <w:rFonts w:ascii="Arial" w:hAnsi="Arial" w:cs="Arial"/>
                <w:sz w:val="19"/>
                <w:szCs w:val="19"/>
              </w:rPr>
              <w:t>£</w:t>
            </w:r>
          </w:p>
        </w:tc>
      </w:tr>
      <w:tr w:rsidR="00AA6DF8" w:rsidRPr="00C46A29" w:rsidTr="00AA6DF8">
        <w:trPr>
          <w:cantSplit/>
        </w:trPr>
        <w:tc>
          <w:tcPr>
            <w:tcW w:w="4962" w:type="dxa"/>
          </w:tcPr>
          <w:p w:rsidR="00AA6DF8" w:rsidRPr="00BB2A59" w:rsidRDefault="00AA6DF8" w:rsidP="003A1BD9">
            <w:pPr>
              <w:pStyle w:val="B0"/>
              <w:spacing w:line="240" w:lineRule="auto"/>
              <w:rPr>
                <w:rFonts w:ascii="Arial" w:hAnsi="Arial" w:cs="Arial"/>
                <w:sz w:val="19"/>
                <w:szCs w:val="19"/>
              </w:rPr>
            </w:pPr>
          </w:p>
        </w:tc>
        <w:tc>
          <w:tcPr>
            <w:tcW w:w="1162" w:type="dxa"/>
          </w:tcPr>
          <w:p w:rsidR="00AA6DF8" w:rsidRPr="00C46A29" w:rsidRDefault="00AA6DF8" w:rsidP="003A1BD9">
            <w:pPr>
              <w:pStyle w:val="B0"/>
              <w:spacing w:line="240" w:lineRule="auto"/>
              <w:rPr>
                <w:rFonts w:ascii="Arial" w:hAnsi="Arial" w:cs="Arial"/>
                <w:sz w:val="19"/>
                <w:szCs w:val="19"/>
                <w:highlight w:val="yellow"/>
              </w:rPr>
            </w:pPr>
          </w:p>
        </w:tc>
        <w:tc>
          <w:tcPr>
            <w:tcW w:w="1106" w:type="dxa"/>
          </w:tcPr>
          <w:p w:rsidR="00AA6DF8" w:rsidRPr="00C46A29" w:rsidRDefault="00AA6DF8" w:rsidP="003A1BD9">
            <w:pPr>
              <w:pStyle w:val="B0"/>
              <w:spacing w:line="240" w:lineRule="auto"/>
              <w:rPr>
                <w:rFonts w:ascii="Arial" w:hAnsi="Arial" w:cs="Arial"/>
                <w:sz w:val="19"/>
                <w:szCs w:val="19"/>
                <w:highlight w:val="yellow"/>
              </w:rPr>
            </w:pPr>
          </w:p>
        </w:tc>
        <w:tc>
          <w:tcPr>
            <w:tcW w:w="1134" w:type="dxa"/>
          </w:tcPr>
          <w:p w:rsidR="00AA6DF8" w:rsidRPr="00B82447" w:rsidRDefault="00AA6DF8" w:rsidP="003A1BD9">
            <w:pPr>
              <w:pStyle w:val="B0"/>
              <w:spacing w:line="240" w:lineRule="auto"/>
              <w:rPr>
                <w:rFonts w:ascii="Arial" w:hAnsi="Arial" w:cs="Arial"/>
                <w:sz w:val="19"/>
                <w:szCs w:val="19"/>
              </w:rPr>
            </w:pPr>
          </w:p>
        </w:tc>
        <w:tc>
          <w:tcPr>
            <w:tcW w:w="1134" w:type="dxa"/>
          </w:tcPr>
          <w:p w:rsidR="00AA6DF8" w:rsidRPr="00BB2A59" w:rsidRDefault="00AA6DF8" w:rsidP="003A1BD9">
            <w:pPr>
              <w:pStyle w:val="B0"/>
              <w:spacing w:line="240" w:lineRule="auto"/>
              <w:rPr>
                <w:rFonts w:ascii="Arial" w:hAnsi="Arial" w:cs="Arial"/>
                <w:sz w:val="19"/>
                <w:szCs w:val="19"/>
              </w:rPr>
            </w:pPr>
          </w:p>
        </w:tc>
      </w:tr>
      <w:tr w:rsidR="00AA6DF8" w:rsidRPr="00C46A29" w:rsidTr="00AA6DF8">
        <w:trPr>
          <w:cantSplit/>
        </w:trPr>
        <w:tc>
          <w:tcPr>
            <w:tcW w:w="4962" w:type="dxa"/>
          </w:tcPr>
          <w:p w:rsidR="00AA6DF8" w:rsidRPr="00BB2A59" w:rsidRDefault="00AA6DF8" w:rsidP="003A1BD9">
            <w:pPr>
              <w:pStyle w:val="Tindent"/>
              <w:rPr>
                <w:rFonts w:ascii="Arial" w:hAnsi="Arial" w:cs="Arial"/>
                <w:sz w:val="19"/>
                <w:szCs w:val="19"/>
              </w:rPr>
            </w:pPr>
            <w:r w:rsidRPr="00BB2A59">
              <w:rPr>
                <w:rFonts w:ascii="Arial" w:hAnsi="Arial" w:cs="Arial"/>
                <w:sz w:val="19"/>
                <w:szCs w:val="19"/>
              </w:rPr>
              <w:t>Interest on loan from parent undertaking</w:t>
            </w:r>
          </w:p>
        </w:tc>
        <w:tc>
          <w:tcPr>
            <w:tcW w:w="1162" w:type="dxa"/>
          </w:tcPr>
          <w:p w:rsidR="00AA6DF8" w:rsidRPr="00C46A29" w:rsidRDefault="00AA6DF8" w:rsidP="003A1BD9">
            <w:pPr>
              <w:pStyle w:val="Tdec"/>
              <w:rPr>
                <w:rFonts w:ascii="Arial" w:hAnsi="Arial" w:cs="Arial"/>
                <w:sz w:val="19"/>
                <w:szCs w:val="19"/>
                <w:highlight w:val="yellow"/>
              </w:rPr>
            </w:pPr>
          </w:p>
        </w:tc>
        <w:tc>
          <w:tcPr>
            <w:tcW w:w="1106" w:type="dxa"/>
          </w:tcPr>
          <w:p w:rsidR="00AA6DF8" w:rsidRPr="00C46A29" w:rsidRDefault="00AA6DF8" w:rsidP="003A1BD9">
            <w:pPr>
              <w:pStyle w:val="Tdec"/>
              <w:rPr>
                <w:rFonts w:ascii="Arial" w:hAnsi="Arial" w:cs="Arial"/>
                <w:sz w:val="19"/>
                <w:szCs w:val="19"/>
                <w:highlight w:val="yellow"/>
              </w:rPr>
            </w:pPr>
          </w:p>
        </w:tc>
        <w:tc>
          <w:tcPr>
            <w:tcW w:w="1134" w:type="dxa"/>
          </w:tcPr>
          <w:p w:rsidR="00AA6DF8" w:rsidRPr="00B82447" w:rsidRDefault="00902A93" w:rsidP="003A1BD9">
            <w:pPr>
              <w:pStyle w:val="Tdec"/>
              <w:rPr>
                <w:rFonts w:ascii="Arial" w:hAnsi="Arial" w:cs="Arial"/>
                <w:sz w:val="19"/>
                <w:szCs w:val="19"/>
              </w:rPr>
            </w:pPr>
            <w:r w:rsidRPr="00B82447">
              <w:rPr>
                <w:rFonts w:ascii="Arial" w:hAnsi="Arial" w:cs="Arial"/>
                <w:sz w:val="19"/>
                <w:szCs w:val="19"/>
              </w:rPr>
              <w:t>6</w:t>
            </w:r>
            <w:r w:rsidR="00B82447" w:rsidRPr="00B82447">
              <w:rPr>
                <w:rFonts w:ascii="Arial" w:hAnsi="Arial" w:cs="Arial"/>
                <w:sz w:val="19"/>
                <w:szCs w:val="19"/>
              </w:rPr>
              <w:t>2</w:t>
            </w:r>
          </w:p>
        </w:tc>
        <w:tc>
          <w:tcPr>
            <w:tcW w:w="1134" w:type="dxa"/>
          </w:tcPr>
          <w:p w:rsidR="00AA6DF8" w:rsidRPr="00BB2A59" w:rsidRDefault="00BB2A59" w:rsidP="003A1BD9">
            <w:pPr>
              <w:pStyle w:val="Tdec"/>
              <w:rPr>
                <w:rFonts w:ascii="Arial" w:hAnsi="Arial" w:cs="Arial"/>
                <w:sz w:val="19"/>
                <w:szCs w:val="19"/>
              </w:rPr>
            </w:pPr>
            <w:r w:rsidRPr="00BB2A59">
              <w:rPr>
                <w:rFonts w:ascii="Arial" w:hAnsi="Arial" w:cs="Arial"/>
                <w:sz w:val="19"/>
                <w:szCs w:val="19"/>
              </w:rPr>
              <w:t>66</w:t>
            </w:r>
          </w:p>
        </w:tc>
      </w:tr>
      <w:tr w:rsidR="00AA6DF8" w:rsidRPr="00C46A29" w:rsidTr="00AA6DF8">
        <w:trPr>
          <w:cantSplit/>
        </w:trPr>
        <w:tc>
          <w:tcPr>
            <w:tcW w:w="4962" w:type="dxa"/>
          </w:tcPr>
          <w:p w:rsidR="00AA6DF8" w:rsidRPr="00C46A29" w:rsidRDefault="00AA6DF8" w:rsidP="003A1BD9">
            <w:pPr>
              <w:pStyle w:val="Tindent"/>
              <w:rPr>
                <w:rFonts w:ascii="Arial" w:hAnsi="Arial" w:cs="Arial"/>
                <w:sz w:val="19"/>
                <w:szCs w:val="19"/>
                <w:highlight w:val="yellow"/>
              </w:rPr>
            </w:pPr>
          </w:p>
        </w:tc>
        <w:tc>
          <w:tcPr>
            <w:tcW w:w="1162" w:type="dxa"/>
          </w:tcPr>
          <w:p w:rsidR="00AA6DF8" w:rsidRPr="00C46A29" w:rsidRDefault="00AA6DF8" w:rsidP="003A1BD9">
            <w:pPr>
              <w:pStyle w:val="Tdec"/>
              <w:rPr>
                <w:rFonts w:ascii="Arial" w:hAnsi="Arial" w:cs="Arial"/>
                <w:sz w:val="19"/>
                <w:szCs w:val="19"/>
                <w:highlight w:val="yellow"/>
              </w:rPr>
            </w:pPr>
          </w:p>
        </w:tc>
        <w:tc>
          <w:tcPr>
            <w:tcW w:w="1106" w:type="dxa"/>
          </w:tcPr>
          <w:p w:rsidR="00AA6DF8" w:rsidRPr="00C46A29" w:rsidRDefault="00AA6DF8" w:rsidP="003A1BD9">
            <w:pPr>
              <w:pStyle w:val="Tdec"/>
              <w:rPr>
                <w:rFonts w:ascii="Arial" w:hAnsi="Arial" w:cs="Arial"/>
                <w:sz w:val="19"/>
                <w:szCs w:val="19"/>
                <w:highlight w:val="yellow"/>
              </w:rPr>
            </w:pPr>
          </w:p>
        </w:tc>
        <w:tc>
          <w:tcPr>
            <w:tcW w:w="1134" w:type="dxa"/>
          </w:tcPr>
          <w:p w:rsidR="00AA6DF8" w:rsidRPr="00C46A29" w:rsidRDefault="00AA6DF8" w:rsidP="003A1BD9">
            <w:pPr>
              <w:pStyle w:val="D9"/>
              <w:spacing w:line="240" w:lineRule="auto"/>
              <w:rPr>
                <w:rFonts w:ascii="Arial" w:hAnsi="Arial" w:cs="Arial"/>
                <w:sz w:val="19"/>
                <w:szCs w:val="19"/>
                <w:highlight w:val="yellow"/>
              </w:rPr>
            </w:pPr>
          </w:p>
        </w:tc>
        <w:tc>
          <w:tcPr>
            <w:tcW w:w="1134" w:type="dxa"/>
          </w:tcPr>
          <w:p w:rsidR="00AA6DF8" w:rsidRPr="00C46A29" w:rsidRDefault="00AA6DF8" w:rsidP="003A1BD9">
            <w:pPr>
              <w:pStyle w:val="D9"/>
              <w:spacing w:line="240" w:lineRule="auto"/>
              <w:rPr>
                <w:rFonts w:ascii="Arial" w:hAnsi="Arial" w:cs="Arial"/>
                <w:sz w:val="19"/>
                <w:szCs w:val="19"/>
                <w:highlight w:val="yellow"/>
              </w:rPr>
            </w:pPr>
          </w:p>
        </w:tc>
      </w:tr>
    </w:tbl>
    <w:p w:rsidR="00AA6DF8" w:rsidRPr="00BB2A59" w:rsidRDefault="00700D49" w:rsidP="00700D49">
      <w:pPr>
        <w:pStyle w:val="Heading1"/>
        <w:numPr>
          <w:ilvl w:val="0"/>
          <w:numId w:val="33"/>
        </w:numPr>
        <w:ind w:left="567" w:hanging="567"/>
        <w:rPr>
          <w:rFonts w:ascii="Arial" w:hAnsi="Arial" w:cs="Arial"/>
          <w:sz w:val="24"/>
          <w:szCs w:val="24"/>
        </w:rPr>
      </w:pPr>
      <w:bookmarkStart w:id="15" w:name="_Toc390775321"/>
      <w:r w:rsidRPr="00BB2A59">
        <w:rPr>
          <w:rFonts w:ascii="Arial" w:hAnsi="Arial" w:cs="Arial"/>
          <w:caps w:val="0"/>
          <w:sz w:val="24"/>
          <w:szCs w:val="24"/>
        </w:rPr>
        <w:t>Other Finance (Costs)/Income</w:t>
      </w:r>
      <w:bookmarkEnd w:id="15"/>
    </w:p>
    <w:tbl>
      <w:tblPr>
        <w:tblW w:w="9498" w:type="dxa"/>
        <w:tblLayout w:type="fixed"/>
        <w:tblCellMar>
          <w:left w:w="28" w:type="dxa"/>
          <w:right w:w="28" w:type="dxa"/>
        </w:tblCellMar>
        <w:tblLook w:val="0000" w:firstRow="0" w:lastRow="0" w:firstColumn="0" w:lastColumn="0" w:noHBand="0" w:noVBand="0"/>
      </w:tblPr>
      <w:tblGrid>
        <w:gridCol w:w="4962"/>
        <w:gridCol w:w="1162"/>
        <w:gridCol w:w="1106"/>
        <w:gridCol w:w="1134"/>
        <w:gridCol w:w="1134"/>
      </w:tblGrid>
      <w:tr w:rsidR="00AA6DF8" w:rsidRPr="00BB2A59" w:rsidTr="00AA6DF8">
        <w:trPr>
          <w:cantSplit/>
        </w:trPr>
        <w:tc>
          <w:tcPr>
            <w:tcW w:w="4962" w:type="dxa"/>
          </w:tcPr>
          <w:p w:rsidR="00AA6DF8" w:rsidRPr="00A00A55" w:rsidRDefault="00AA6DF8" w:rsidP="003A1BD9">
            <w:pPr>
              <w:pStyle w:val="Thead"/>
              <w:rPr>
                <w:rFonts w:ascii="Arial" w:hAnsi="Arial" w:cs="Arial"/>
                <w:sz w:val="19"/>
                <w:szCs w:val="19"/>
              </w:rPr>
            </w:pPr>
          </w:p>
        </w:tc>
        <w:tc>
          <w:tcPr>
            <w:tcW w:w="1162" w:type="dxa"/>
          </w:tcPr>
          <w:p w:rsidR="00AA6DF8" w:rsidRPr="00A00A55" w:rsidRDefault="00AA6DF8" w:rsidP="003A1BD9">
            <w:pPr>
              <w:pStyle w:val="Thead"/>
              <w:rPr>
                <w:rFonts w:ascii="Arial" w:hAnsi="Arial" w:cs="Arial"/>
                <w:sz w:val="19"/>
                <w:szCs w:val="19"/>
              </w:rPr>
            </w:pPr>
          </w:p>
        </w:tc>
        <w:tc>
          <w:tcPr>
            <w:tcW w:w="1106" w:type="dxa"/>
          </w:tcPr>
          <w:p w:rsidR="00AA6DF8" w:rsidRPr="00A00A55" w:rsidRDefault="00AA6DF8" w:rsidP="003A1BD9">
            <w:pPr>
              <w:pStyle w:val="Thead"/>
              <w:rPr>
                <w:rFonts w:ascii="Arial" w:hAnsi="Arial" w:cs="Arial"/>
                <w:sz w:val="19"/>
                <w:szCs w:val="19"/>
              </w:rPr>
            </w:pPr>
          </w:p>
        </w:tc>
        <w:tc>
          <w:tcPr>
            <w:tcW w:w="1134" w:type="dxa"/>
          </w:tcPr>
          <w:p w:rsidR="00AA6DF8" w:rsidRPr="00A00A55" w:rsidRDefault="00BB2A59" w:rsidP="003A1BD9">
            <w:pPr>
              <w:pStyle w:val="Thead"/>
              <w:rPr>
                <w:rFonts w:ascii="Arial" w:hAnsi="Arial" w:cs="Arial"/>
                <w:sz w:val="19"/>
                <w:szCs w:val="19"/>
              </w:rPr>
            </w:pPr>
            <w:r w:rsidRPr="00A00A55">
              <w:rPr>
                <w:rFonts w:ascii="Arial" w:hAnsi="Arial" w:cs="Arial"/>
                <w:sz w:val="19"/>
                <w:szCs w:val="19"/>
              </w:rPr>
              <w:t>2015</w:t>
            </w:r>
          </w:p>
          <w:p w:rsidR="00AA6DF8" w:rsidRPr="00A00A55" w:rsidRDefault="00AA6DF8" w:rsidP="003A1BD9">
            <w:pPr>
              <w:pStyle w:val="Thead"/>
              <w:rPr>
                <w:rFonts w:ascii="Arial" w:hAnsi="Arial" w:cs="Arial"/>
                <w:sz w:val="19"/>
                <w:szCs w:val="19"/>
              </w:rPr>
            </w:pPr>
            <w:r w:rsidRPr="00A00A55">
              <w:rPr>
                <w:rFonts w:ascii="Arial" w:hAnsi="Arial" w:cs="Arial"/>
                <w:sz w:val="19"/>
                <w:szCs w:val="19"/>
              </w:rPr>
              <w:t>£</w:t>
            </w:r>
          </w:p>
        </w:tc>
        <w:tc>
          <w:tcPr>
            <w:tcW w:w="1134" w:type="dxa"/>
          </w:tcPr>
          <w:p w:rsidR="00AA6DF8" w:rsidRPr="00BB2A59" w:rsidRDefault="00BB2A59" w:rsidP="003A1BD9">
            <w:pPr>
              <w:pStyle w:val="Thead"/>
              <w:rPr>
                <w:rFonts w:ascii="Arial" w:hAnsi="Arial" w:cs="Arial"/>
                <w:sz w:val="19"/>
                <w:szCs w:val="19"/>
              </w:rPr>
            </w:pPr>
            <w:r w:rsidRPr="00BB2A59">
              <w:rPr>
                <w:rFonts w:ascii="Arial" w:hAnsi="Arial" w:cs="Arial"/>
                <w:sz w:val="19"/>
                <w:szCs w:val="19"/>
              </w:rPr>
              <w:t>2014</w:t>
            </w:r>
          </w:p>
          <w:p w:rsidR="00AA6DF8" w:rsidRPr="00BB2A59" w:rsidRDefault="00AA6DF8" w:rsidP="003A1BD9">
            <w:pPr>
              <w:pStyle w:val="Thead"/>
              <w:rPr>
                <w:rFonts w:ascii="Arial" w:hAnsi="Arial" w:cs="Arial"/>
                <w:sz w:val="19"/>
                <w:szCs w:val="19"/>
              </w:rPr>
            </w:pPr>
            <w:r w:rsidRPr="00BB2A59">
              <w:rPr>
                <w:rFonts w:ascii="Arial" w:hAnsi="Arial" w:cs="Arial"/>
                <w:sz w:val="19"/>
                <w:szCs w:val="19"/>
              </w:rPr>
              <w:t>£</w:t>
            </w:r>
          </w:p>
        </w:tc>
      </w:tr>
      <w:tr w:rsidR="00AA6DF8" w:rsidRPr="00BB2A59" w:rsidTr="00AA6DF8">
        <w:trPr>
          <w:cantSplit/>
        </w:trPr>
        <w:tc>
          <w:tcPr>
            <w:tcW w:w="4962" w:type="dxa"/>
          </w:tcPr>
          <w:p w:rsidR="00AA6DF8" w:rsidRPr="00A00A55" w:rsidRDefault="00AA6DF8" w:rsidP="003A1BD9">
            <w:pPr>
              <w:pStyle w:val="B0"/>
              <w:spacing w:line="240" w:lineRule="auto"/>
              <w:rPr>
                <w:rFonts w:ascii="Arial" w:hAnsi="Arial" w:cs="Arial"/>
                <w:sz w:val="19"/>
                <w:szCs w:val="19"/>
              </w:rPr>
            </w:pPr>
          </w:p>
        </w:tc>
        <w:tc>
          <w:tcPr>
            <w:tcW w:w="1162" w:type="dxa"/>
          </w:tcPr>
          <w:p w:rsidR="00AA6DF8" w:rsidRPr="00A00A55" w:rsidRDefault="00AA6DF8" w:rsidP="003A1BD9">
            <w:pPr>
              <w:pStyle w:val="B0"/>
              <w:spacing w:line="240" w:lineRule="auto"/>
              <w:rPr>
                <w:rFonts w:ascii="Arial" w:hAnsi="Arial" w:cs="Arial"/>
                <w:sz w:val="19"/>
                <w:szCs w:val="19"/>
              </w:rPr>
            </w:pPr>
          </w:p>
        </w:tc>
        <w:tc>
          <w:tcPr>
            <w:tcW w:w="1106" w:type="dxa"/>
          </w:tcPr>
          <w:p w:rsidR="00AA6DF8" w:rsidRPr="00A00A55" w:rsidRDefault="00AA6DF8" w:rsidP="003A1BD9">
            <w:pPr>
              <w:pStyle w:val="B0"/>
              <w:spacing w:line="240" w:lineRule="auto"/>
              <w:rPr>
                <w:rFonts w:ascii="Arial" w:hAnsi="Arial" w:cs="Arial"/>
                <w:sz w:val="19"/>
                <w:szCs w:val="19"/>
              </w:rPr>
            </w:pPr>
          </w:p>
        </w:tc>
        <w:tc>
          <w:tcPr>
            <w:tcW w:w="1134" w:type="dxa"/>
          </w:tcPr>
          <w:p w:rsidR="00AA6DF8" w:rsidRPr="00A00A55" w:rsidRDefault="00AA6DF8" w:rsidP="003A1BD9">
            <w:pPr>
              <w:pStyle w:val="B0"/>
              <w:spacing w:line="240" w:lineRule="auto"/>
              <w:rPr>
                <w:rFonts w:ascii="Arial" w:hAnsi="Arial" w:cs="Arial"/>
                <w:sz w:val="19"/>
                <w:szCs w:val="19"/>
              </w:rPr>
            </w:pPr>
          </w:p>
        </w:tc>
        <w:tc>
          <w:tcPr>
            <w:tcW w:w="1134" w:type="dxa"/>
          </w:tcPr>
          <w:p w:rsidR="00AA6DF8" w:rsidRPr="00BB2A59" w:rsidRDefault="00AA6DF8" w:rsidP="003A1BD9">
            <w:pPr>
              <w:pStyle w:val="B0"/>
              <w:spacing w:line="240" w:lineRule="auto"/>
              <w:rPr>
                <w:rFonts w:ascii="Arial" w:hAnsi="Arial" w:cs="Arial"/>
                <w:sz w:val="19"/>
                <w:szCs w:val="19"/>
              </w:rPr>
            </w:pPr>
          </w:p>
        </w:tc>
      </w:tr>
      <w:tr w:rsidR="00AA6DF8" w:rsidRPr="00BB2A59" w:rsidTr="00AA6DF8">
        <w:trPr>
          <w:cantSplit/>
        </w:trPr>
        <w:tc>
          <w:tcPr>
            <w:tcW w:w="4962" w:type="dxa"/>
          </w:tcPr>
          <w:p w:rsidR="00AA6DF8" w:rsidRPr="00A00A55" w:rsidRDefault="00AA6DF8" w:rsidP="003A1BD9">
            <w:pPr>
              <w:pStyle w:val="Tindent"/>
              <w:rPr>
                <w:rFonts w:ascii="Arial" w:hAnsi="Arial" w:cs="Arial"/>
                <w:sz w:val="19"/>
                <w:szCs w:val="19"/>
              </w:rPr>
            </w:pPr>
            <w:r w:rsidRPr="00A00A55">
              <w:rPr>
                <w:rFonts w:ascii="Arial" w:hAnsi="Arial" w:cs="Arial"/>
                <w:sz w:val="19"/>
                <w:szCs w:val="19"/>
              </w:rPr>
              <w:t xml:space="preserve">Pension – other finance </w:t>
            </w:r>
            <w:r w:rsidR="00FA2584" w:rsidRPr="00A00A55">
              <w:rPr>
                <w:rFonts w:ascii="Arial" w:hAnsi="Arial" w:cs="Arial"/>
                <w:sz w:val="19"/>
                <w:szCs w:val="19"/>
              </w:rPr>
              <w:t>(</w:t>
            </w:r>
            <w:r w:rsidRPr="00A00A55">
              <w:rPr>
                <w:rFonts w:ascii="Arial" w:hAnsi="Arial" w:cs="Arial"/>
                <w:sz w:val="19"/>
                <w:szCs w:val="19"/>
              </w:rPr>
              <w:t>costs</w:t>
            </w:r>
            <w:r w:rsidR="00FA2584" w:rsidRPr="00A00A55">
              <w:rPr>
                <w:rFonts w:ascii="Arial" w:hAnsi="Arial" w:cs="Arial"/>
                <w:sz w:val="19"/>
                <w:szCs w:val="19"/>
              </w:rPr>
              <w:t>)</w:t>
            </w:r>
            <w:r w:rsidR="00662204" w:rsidRPr="00A00A55">
              <w:rPr>
                <w:rFonts w:ascii="Arial" w:hAnsi="Arial" w:cs="Arial"/>
                <w:sz w:val="19"/>
                <w:szCs w:val="19"/>
              </w:rPr>
              <w:t>/income</w:t>
            </w:r>
            <w:r w:rsidRPr="00A00A55">
              <w:rPr>
                <w:rFonts w:ascii="Arial" w:hAnsi="Arial" w:cs="Arial"/>
                <w:sz w:val="19"/>
                <w:szCs w:val="19"/>
              </w:rPr>
              <w:t xml:space="preserve"> (note </w:t>
            </w:r>
            <w:r w:rsidR="00D63993" w:rsidRPr="00A00A55">
              <w:rPr>
                <w:rFonts w:ascii="Arial" w:hAnsi="Arial" w:cs="Arial"/>
                <w:sz w:val="19"/>
                <w:szCs w:val="19"/>
              </w:rPr>
              <w:t>1</w:t>
            </w:r>
            <w:r w:rsidR="007149FC" w:rsidRPr="00A00A55">
              <w:rPr>
                <w:rFonts w:ascii="Arial" w:hAnsi="Arial" w:cs="Arial"/>
                <w:sz w:val="19"/>
                <w:szCs w:val="19"/>
              </w:rPr>
              <w:t>8</w:t>
            </w:r>
            <w:r w:rsidRPr="00A00A55">
              <w:rPr>
                <w:rFonts w:ascii="Arial" w:hAnsi="Arial" w:cs="Arial"/>
                <w:sz w:val="19"/>
                <w:szCs w:val="19"/>
              </w:rPr>
              <w:t>)</w:t>
            </w:r>
          </w:p>
        </w:tc>
        <w:tc>
          <w:tcPr>
            <w:tcW w:w="1162" w:type="dxa"/>
          </w:tcPr>
          <w:p w:rsidR="00AA6DF8" w:rsidRPr="00A00A55" w:rsidRDefault="00AA6DF8" w:rsidP="003A1BD9">
            <w:pPr>
              <w:pStyle w:val="Tdec"/>
              <w:rPr>
                <w:rFonts w:ascii="Arial" w:hAnsi="Arial" w:cs="Arial"/>
                <w:sz w:val="19"/>
                <w:szCs w:val="19"/>
              </w:rPr>
            </w:pPr>
          </w:p>
        </w:tc>
        <w:tc>
          <w:tcPr>
            <w:tcW w:w="1106" w:type="dxa"/>
          </w:tcPr>
          <w:p w:rsidR="00AA6DF8" w:rsidRPr="00A00A55" w:rsidRDefault="00AA6DF8" w:rsidP="003A1BD9">
            <w:pPr>
              <w:pStyle w:val="Tdec"/>
              <w:rPr>
                <w:rFonts w:ascii="Arial" w:hAnsi="Arial" w:cs="Arial"/>
                <w:sz w:val="19"/>
                <w:szCs w:val="19"/>
              </w:rPr>
            </w:pPr>
          </w:p>
        </w:tc>
        <w:tc>
          <w:tcPr>
            <w:tcW w:w="1134" w:type="dxa"/>
          </w:tcPr>
          <w:p w:rsidR="00AA6DF8" w:rsidRPr="00A00A55" w:rsidRDefault="00A00A55" w:rsidP="003A1BD9">
            <w:pPr>
              <w:pStyle w:val="Tdec"/>
              <w:rPr>
                <w:rFonts w:ascii="Arial" w:hAnsi="Arial" w:cs="Arial"/>
                <w:sz w:val="19"/>
                <w:szCs w:val="19"/>
              </w:rPr>
            </w:pPr>
            <w:r w:rsidRPr="00A00A55">
              <w:rPr>
                <w:rFonts w:ascii="Arial" w:hAnsi="Arial" w:cs="Arial"/>
                <w:sz w:val="19"/>
                <w:szCs w:val="19"/>
              </w:rPr>
              <w:t>300</w:t>
            </w:r>
          </w:p>
        </w:tc>
        <w:tc>
          <w:tcPr>
            <w:tcW w:w="1134" w:type="dxa"/>
          </w:tcPr>
          <w:p w:rsidR="00AA6DF8" w:rsidRPr="00BB2A59" w:rsidRDefault="00BB2A59" w:rsidP="003A1BD9">
            <w:pPr>
              <w:pStyle w:val="Tdec"/>
              <w:rPr>
                <w:rFonts w:ascii="Arial" w:hAnsi="Arial" w:cs="Arial"/>
                <w:sz w:val="19"/>
                <w:szCs w:val="19"/>
              </w:rPr>
            </w:pPr>
            <w:r w:rsidRPr="00BB2A59">
              <w:rPr>
                <w:rFonts w:ascii="Arial" w:hAnsi="Arial" w:cs="Arial"/>
                <w:sz w:val="19"/>
                <w:szCs w:val="19"/>
              </w:rPr>
              <w:t>50</w:t>
            </w:r>
          </w:p>
        </w:tc>
      </w:tr>
      <w:tr w:rsidR="00AA6DF8" w:rsidRPr="00C46A29" w:rsidTr="00AA6DF8">
        <w:trPr>
          <w:cantSplit/>
        </w:trPr>
        <w:tc>
          <w:tcPr>
            <w:tcW w:w="4962" w:type="dxa"/>
          </w:tcPr>
          <w:p w:rsidR="00AA6DF8" w:rsidRPr="00C46A29" w:rsidRDefault="00AA6DF8" w:rsidP="003A1BD9">
            <w:pPr>
              <w:pStyle w:val="Tindent"/>
              <w:rPr>
                <w:rFonts w:ascii="Arial" w:hAnsi="Arial" w:cs="Arial"/>
                <w:sz w:val="19"/>
                <w:szCs w:val="19"/>
                <w:highlight w:val="yellow"/>
              </w:rPr>
            </w:pPr>
          </w:p>
        </w:tc>
        <w:tc>
          <w:tcPr>
            <w:tcW w:w="1162" w:type="dxa"/>
          </w:tcPr>
          <w:p w:rsidR="00AA6DF8" w:rsidRPr="00C46A29" w:rsidRDefault="00AA6DF8" w:rsidP="003A1BD9">
            <w:pPr>
              <w:pStyle w:val="Tdec"/>
              <w:rPr>
                <w:rFonts w:ascii="Arial" w:hAnsi="Arial" w:cs="Arial"/>
                <w:sz w:val="19"/>
                <w:szCs w:val="19"/>
                <w:highlight w:val="yellow"/>
              </w:rPr>
            </w:pPr>
          </w:p>
        </w:tc>
        <w:tc>
          <w:tcPr>
            <w:tcW w:w="1106" w:type="dxa"/>
          </w:tcPr>
          <w:p w:rsidR="00AA6DF8" w:rsidRPr="00C46A29" w:rsidRDefault="00AA6DF8" w:rsidP="003A1BD9">
            <w:pPr>
              <w:pStyle w:val="Tdec"/>
              <w:rPr>
                <w:rFonts w:ascii="Arial" w:hAnsi="Arial" w:cs="Arial"/>
                <w:sz w:val="19"/>
                <w:szCs w:val="19"/>
                <w:highlight w:val="yellow"/>
              </w:rPr>
            </w:pPr>
          </w:p>
        </w:tc>
        <w:tc>
          <w:tcPr>
            <w:tcW w:w="1134" w:type="dxa"/>
          </w:tcPr>
          <w:p w:rsidR="00AA6DF8" w:rsidRPr="00C46A29" w:rsidRDefault="00AA6DF8" w:rsidP="003A1BD9">
            <w:pPr>
              <w:pStyle w:val="D9"/>
              <w:spacing w:line="240" w:lineRule="auto"/>
              <w:rPr>
                <w:rFonts w:ascii="Arial" w:hAnsi="Arial" w:cs="Arial"/>
                <w:sz w:val="19"/>
                <w:szCs w:val="19"/>
                <w:highlight w:val="yellow"/>
              </w:rPr>
            </w:pPr>
          </w:p>
        </w:tc>
        <w:tc>
          <w:tcPr>
            <w:tcW w:w="1134" w:type="dxa"/>
          </w:tcPr>
          <w:p w:rsidR="00AA6DF8" w:rsidRPr="00C46A29" w:rsidRDefault="00AA6DF8" w:rsidP="003A1BD9">
            <w:pPr>
              <w:pStyle w:val="D9"/>
              <w:spacing w:line="240" w:lineRule="auto"/>
              <w:rPr>
                <w:rFonts w:ascii="Arial" w:hAnsi="Arial" w:cs="Arial"/>
                <w:sz w:val="19"/>
                <w:szCs w:val="19"/>
                <w:highlight w:val="yellow"/>
              </w:rPr>
            </w:pPr>
          </w:p>
        </w:tc>
      </w:tr>
    </w:tbl>
    <w:p w:rsidR="00FB2E5A" w:rsidRPr="00C46A29" w:rsidRDefault="00FB2E5A" w:rsidP="00FB2E5A">
      <w:pPr>
        <w:pStyle w:val="Heading1"/>
        <w:numPr>
          <w:ilvl w:val="0"/>
          <w:numId w:val="0"/>
        </w:numPr>
        <w:spacing w:before="0" w:after="0"/>
        <w:ind w:left="567"/>
        <w:rPr>
          <w:rFonts w:ascii="Arial" w:hAnsi="Arial" w:cs="Arial"/>
          <w:caps w:val="0"/>
          <w:sz w:val="24"/>
          <w:szCs w:val="19"/>
          <w:highlight w:val="yellow"/>
        </w:rPr>
      </w:pPr>
      <w:bookmarkStart w:id="16" w:name="_Toc390775322"/>
    </w:p>
    <w:p w:rsidR="00E07F92" w:rsidRPr="005300DC" w:rsidRDefault="00E07F92" w:rsidP="00E07F92">
      <w:pPr>
        <w:pStyle w:val="Heading1"/>
        <w:numPr>
          <w:ilvl w:val="0"/>
          <w:numId w:val="33"/>
        </w:numPr>
        <w:spacing w:before="0" w:after="0"/>
        <w:ind w:left="567" w:hanging="567"/>
        <w:rPr>
          <w:rFonts w:ascii="Arial" w:hAnsi="Arial" w:cs="Arial"/>
          <w:caps w:val="0"/>
          <w:sz w:val="24"/>
          <w:szCs w:val="19"/>
        </w:rPr>
      </w:pPr>
      <w:r w:rsidRPr="005300DC">
        <w:rPr>
          <w:rFonts w:ascii="Arial" w:hAnsi="Arial" w:cs="Arial"/>
          <w:caps w:val="0"/>
          <w:sz w:val="24"/>
          <w:szCs w:val="19"/>
        </w:rPr>
        <w:t>Tax</w:t>
      </w:r>
      <w:bookmarkEnd w:id="16"/>
      <w:r w:rsidR="00455A55">
        <w:rPr>
          <w:rFonts w:ascii="Arial" w:hAnsi="Arial" w:cs="Arial"/>
          <w:caps w:val="0"/>
          <w:sz w:val="24"/>
          <w:szCs w:val="19"/>
        </w:rPr>
        <w:t xml:space="preserve"> on Surplus on Ordinary Activities</w:t>
      </w:r>
    </w:p>
    <w:p w:rsidR="00E07F92" w:rsidRPr="005300DC" w:rsidRDefault="00E07F92" w:rsidP="00E07F92">
      <w:pPr>
        <w:pStyle w:val="NormalIndent"/>
        <w:spacing w:after="0"/>
      </w:pPr>
    </w:p>
    <w:p w:rsidR="00AA6DF8" w:rsidRPr="005300DC" w:rsidRDefault="00AA6DF8" w:rsidP="00E07F92">
      <w:pPr>
        <w:pStyle w:val="NormalIndent"/>
        <w:spacing w:after="0"/>
        <w:ind w:left="0"/>
        <w:jc w:val="left"/>
        <w:rPr>
          <w:rFonts w:ascii="Arial" w:hAnsi="Arial" w:cs="Arial"/>
          <w:sz w:val="19"/>
          <w:szCs w:val="19"/>
          <w:lang w:val="en-US"/>
        </w:rPr>
      </w:pPr>
      <w:r w:rsidRPr="005300DC">
        <w:rPr>
          <w:rFonts w:ascii="Arial" w:hAnsi="Arial" w:cs="Arial"/>
          <w:sz w:val="19"/>
          <w:szCs w:val="19"/>
          <w:lang w:val="en-US"/>
        </w:rPr>
        <w:t xml:space="preserve">The Board considers that the </w:t>
      </w:r>
      <w:r w:rsidR="00201B4C" w:rsidRPr="005300DC">
        <w:rPr>
          <w:rFonts w:ascii="Arial" w:hAnsi="Arial" w:cs="Arial"/>
          <w:sz w:val="19"/>
          <w:szCs w:val="19"/>
          <w:lang w:val="en-US"/>
        </w:rPr>
        <w:t>Company</w:t>
      </w:r>
      <w:r w:rsidRPr="005300DC">
        <w:rPr>
          <w:rFonts w:ascii="Arial" w:hAnsi="Arial" w:cs="Arial"/>
          <w:sz w:val="19"/>
          <w:szCs w:val="19"/>
          <w:lang w:val="en-US"/>
        </w:rPr>
        <w:t xml:space="preserve">’s activities with Northumberland County Council </w:t>
      </w:r>
      <w:r w:rsidR="00662204" w:rsidRPr="005300DC">
        <w:rPr>
          <w:rFonts w:ascii="Arial" w:hAnsi="Arial" w:cs="Arial"/>
          <w:sz w:val="19"/>
          <w:szCs w:val="19"/>
          <w:lang w:val="en-US"/>
        </w:rPr>
        <w:t xml:space="preserve">are </w:t>
      </w:r>
      <w:r w:rsidRPr="005300DC">
        <w:rPr>
          <w:rFonts w:ascii="Arial" w:hAnsi="Arial" w:cs="Arial"/>
          <w:sz w:val="19"/>
          <w:szCs w:val="19"/>
          <w:lang w:val="en-US"/>
        </w:rPr>
        <w:t>not a trade for corporation tax purposes.  This is on the basis of guidance issued by HM Revenue &amp; Customs (HMRC) which states that the relationship between the ALMO and its parent, as they understand it, lacks the necessary level of commerciality for the activities to be considered a trade for corporation tax purposes.  Any surplus arising, and similarly any losses, are therefore outside the scope of corporation tax.</w:t>
      </w:r>
    </w:p>
    <w:p w:rsidR="00E07F92" w:rsidRPr="005300DC" w:rsidRDefault="00E07F92" w:rsidP="00E07F92">
      <w:pPr>
        <w:pStyle w:val="NormalIndent"/>
        <w:spacing w:after="0"/>
        <w:ind w:left="0"/>
        <w:jc w:val="left"/>
        <w:rPr>
          <w:rFonts w:ascii="Arial" w:hAnsi="Arial" w:cs="Arial"/>
          <w:sz w:val="19"/>
          <w:szCs w:val="19"/>
          <w:lang w:val="en-US"/>
        </w:rPr>
      </w:pPr>
    </w:p>
    <w:p w:rsidR="00AA6DF8" w:rsidRDefault="00AA6DF8" w:rsidP="00E07F92">
      <w:pPr>
        <w:pStyle w:val="NormalIndent"/>
        <w:spacing w:after="0"/>
        <w:ind w:left="0"/>
        <w:jc w:val="left"/>
        <w:rPr>
          <w:rFonts w:ascii="Arial" w:hAnsi="Arial" w:cs="Arial"/>
          <w:sz w:val="19"/>
          <w:szCs w:val="19"/>
          <w:lang w:val="en-US"/>
        </w:rPr>
      </w:pPr>
      <w:r w:rsidRPr="005300DC">
        <w:rPr>
          <w:rFonts w:ascii="Arial" w:hAnsi="Arial" w:cs="Arial"/>
          <w:sz w:val="19"/>
          <w:szCs w:val="19"/>
          <w:lang w:val="en-US"/>
        </w:rPr>
        <w:t>The Directors reviewed the legal framework of Homes for Northumberland Limited and submitted a report to HMRC</w:t>
      </w:r>
      <w:r w:rsidR="00AB18D9" w:rsidRPr="005300DC">
        <w:rPr>
          <w:rFonts w:ascii="Arial" w:hAnsi="Arial" w:cs="Arial"/>
          <w:sz w:val="19"/>
          <w:szCs w:val="19"/>
          <w:lang w:val="en-US"/>
        </w:rPr>
        <w:t>.  HMRC officers</w:t>
      </w:r>
      <w:r w:rsidRPr="005300DC">
        <w:rPr>
          <w:rFonts w:ascii="Arial" w:hAnsi="Arial" w:cs="Arial"/>
          <w:sz w:val="19"/>
          <w:szCs w:val="19"/>
          <w:lang w:val="en-US"/>
        </w:rPr>
        <w:t xml:space="preserve"> accepted the report in June 2007 on the basis that the </w:t>
      </w:r>
      <w:r w:rsidR="00201B4C" w:rsidRPr="005300DC">
        <w:rPr>
          <w:rFonts w:ascii="Arial" w:hAnsi="Arial" w:cs="Arial"/>
          <w:sz w:val="19"/>
          <w:szCs w:val="19"/>
          <w:lang w:val="en-US"/>
        </w:rPr>
        <w:t>Company</w:t>
      </w:r>
      <w:r w:rsidRPr="005300DC">
        <w:rPr>
          <w:rFonts w:ascii="Arial" w:hAnsi="Arial" w:cs="Arial"/>
          <w:sz w:val="19"/>
          <w:szCs w:val="19"/>
          <w:lang w:val="en-US"/>
        </w:rPr>
        <w:t>’s main trading activities with Northumberland County Council were outside the scope of corporation tax.</w:t>
      </w:r>
    </w:p>
    <w:p w:rsidR="00E07F92" w:rsidRPr="00070D17" w:rsidRDefault="00E07F92" w:rsidP="00E07F92">
      <w:pPr>
        <w:pStyle w:val="NormalIndent"/>
        <w:spacing w:after="0"/>
        <w:ind w:left="0"/>
        <w:jc w:val="left"/>
        <w:rPr>
          <w:rFonts w:ascii="Arial" w:hAnsi="Arial" w:cs="Arial"/>
          <w:sz w:val="19"/>
          <w:szCs w:val="19"/>
          <w:lang w:val="en-US"/>
        </w:rPr>
      </w:pPr>
    </w:p>
    <w:p w:rsidR="00AA6DF8" w:rsidRDefault="00AA6DF8" w:rsidP="00E07F92">
      <w:pPr>
        <w:pStyle w:val="NormalIndent"/>
        <w:spacing w:after="0"/>
        <w:ind w:left="0"/>
        <w:jc w:val="left"/>
        <w:rPr>
          <w:rFonts w:ascii="Arial" w:hAnsi="Arial" w:cs="Arial"/>
          <w:sz w:val="19"/>
          <w:szCs w:val="19"/>
          <w:lang w:val="en-US"/>
        </w:rPr>
      </w:pPr>
      <w:r w:rsidRPr="005300DC">
        <w:rPr>
          <w:rFonts w:ascii="Arial" w:hAnsi="Arial" w:cs="Arial"/>
          <w:sz w:val="19"/>
          <w:szCs w:val="19"/>
          <w:lang w:val="en-US"/>
        </w:rPr>
        <w:t>The Directors have</w:t>
      </w:r>
      <w:r w:rsidR="00455A55">
        <w:rPr>
          <w:rFonts w:ascii="Arial" w:hAnsi="Arial" w:cs="Arial"/>
          <w:sz w:val="19"/>
          <w:szCs w:val="19"/>
          <w:lang w:val="en-US"/>
        </w:rPr>
        <w:t xml:space="preserve"> therefore prepared the financial statements</w:t>
      </w:r>
      <w:r w:rsidRPr="005300DC">
        <w:rPr>
          <w:rFonts w:ascii="Arial" w:hAnsi="Arial" w:cs="Arial"/>
          <w:sz w:val="19"/>
          <w:szCs w:val="19"/>
          <w:lang w:val="en-US"/>
        </w:rPr>
        <w:t xml:space="preserve"> on the basis that the </w:t>
      </w:r>
      <w:r w:rsidR="00201B4C" w:rsidRPr="005300DC">
        <w:rPr>
          <w:rFonts w:ascii="Arial" w:hAnsi="Arial" w:cs="Arial"/>
          <w:sz w:val="19"/>
          <w:szCs w:val="19"/>
          <w:lang w:val="en-US"/>
        </w:rPr>
        <w:t>Company</w:t>
      </w:r>
      <w:r w:rsidRPr="005300DC">
        <w:rPr>
          <w:rFonts w:ascii="Arial" w:hAnsi="Arial" w:cs="Arial"/>
          <w:sz w:val="19"/>
          <w:szCs w:val="19"/>
          <w:lang w:val="en-US"/>
        </w:rPr>
        <w:t xml:space="preserve"> is only liable to corporation tax on its activities with third parties.  This status is reviewed annually.</w:t>
      </w: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Default="00455A55" w:rsidP="00E07F92">
      <w:pPr>
        <w:pStyle w:val="NormalIndent"/>
        <w:spacing w:after="0"/>
        <w:ind w:left="0"/>
        <w:jc w:val="left"/>
        <w:rPr>
          <w:rFonts w:ascii="Arial" w:hAnsi="Arial" w:cs="Arial"/>
          <w:sz w:val="19"/>
          <w:szCs w:val="19"/>
          <w:lang w:val="en-US"/>
        </w:rPr>
      </w:pPr>
    </w:p>
    <w:p w:rsidR="00455A55" w:rsidRPr="00455A55" w:rsidRDefault="00455A55" w:rsidP="00E07F92">
      <w:pPr>
        <w:pStyle w:val="NormalIndent"/>
        <w:spacing w:after="0"/>
        <w:ind w:left="0"/>
        <w:jc w:val="left"/>
        <w:rPr>
          <w:rFonts w:ascii="Arial" w:hAnsi="Arial" w:cs="Arial"/>
          <w:b/>
          <w:sz w:val="19"/>
          <w:szCs w:val="19"/>
          <w:lang w:val="en-US"/>
        </w:rPr>
      </w:pPr>
      <w:r>
        <w:rPr>
          <w:rFonts w:ascii="Arial" w:hAnsi="Arial" w:cs="Arial"/>
          <w:b/>
          <w:sz w:val="19"/>
          <w:szCs w:val="19"/>
          <w:lang w:val="en-US"/>
        </w:rPr>
        <w:lastRenderedPageBreak/>
        <w:t>Tax on Surplus on Ordinary Activities (continued)</w:t>
      </w:r>
    </w:p>
    <w:p w:rsidR="00455A55" w:rsidRPr="005300DC" w:rsidRDefault="00455A55" w:rsidP="00E07F92">
      <w:pPr>
        <w:pStyle w:val="NormalIndent"/>
        <w:spacing w:after="0"/>
        <w:ind w:left="0"/>
        <w:jc w:val="left"/>
        <w:rPr>
          <w:rFonts w:ascii="Arial" w:hAnsi="Arial" w:cs="Arial"/>
          <w:sz w:val="19"/>
          <w:szCs w:val="19"/>
          <w:lang w:val="en-US"/>
        </w:rPr>
      </w:pPr>
    </w:p>
    <w:tbl>
      <w:tblPr>
        <w:tblW w:w="9498" w:type="dxa"/>
        <w:tblLayout w:type="fixed"/>
        <w:tblCellMar>
          <w:left w:w="28" w:type="dxa"/>
          <w:right w:w="28" w:type="dxa"/>
        </w:tblCellMar>
        <w:tblLook w:val="0000" w:firstRow="0" w:lastRow="0" w:firstColumn="0" w:lastColumn="0" w:noHBand="0" w:noVBand="0"/>
      </w:tblPr>
      <w:tblGrid>
        <w:gridCol w:w="4962"/>
        <w:gridCol w:w="311"/>
        <w:gridCol w:w="567"/>
        <w:gridCol w:w="284"/>
        <w:gridCol w:w="1106"/>
        <w:gridCol w:w="1134"/>
        <w:gridCol w:w="1134"/>
      </w:tblGrid>
      <w:tr w:rsidR="009073AF" w:rsidRPr="00C46A29" w:rsidTr="009073AF">
        <w:trPr>
          <w:cantSplit/>
        </w:trPr>
        <w:tc>
          <w:tcPr>
            <w:tcW w:w="4962" w:type="dxa"/>
          </w:tcPr>
          <w:p w:rsidR="009073AF" w:rsidRPr="00C46A29" w:rsidRDefault="009073AF" w:rsidP="003A1BD9">
            <w:pPr>
              <w:pStyle w:val="Thead"/>
              <w:rPr>
                <w:rFonts w:ascii="Arial" w:hAnsi="Arial" w:cs="Arial"/>
                <w:sz w:val="19"/>
                <w:szCs w:val="19"/>
                <w:highlight w:val="yellow"/>
              </w:rPr>
            </w:pPr>
          </w:p>
        </w:tc>
        <w:tc>
          <w:tcPr>
            <w:tcW w:w="1162" w:type="dxa"/>
            <w:gridSpan w:val="3"/>
          </w:tcPr>
          <w:p w:rsidR="009073AF" w:rsidRPr="00C46A29" w:rsidRDefault="009073AF" w:rsidP="003A1BD9">
            <w:pPr>
              <w:pStyle w:val="Thead"/>
              <w:rPr>
                <w:rFonts w:ascii="Arial" w:hAnsi="Arial" w:cs="Arial"/>
                <w:sz w:val="19"/>
                <w:szCs w:val="19"/>
                <w:highlight w:val="yellow"/>
              </w:rPr>
            </w:pPr>
          </w:p>
        </w:tc>
        <w:tc>
          <w:tcPr>
            <w:tcW w:w="1106" w:type="dxa"/>
          </w:tcPr>
          <w:p w:rsidR="009073AF" w:rsidRPr="00C46A29" w:rsidRDefault="009073AF" w:rsidP="003A1BD9">
            <w:pPr>
              <w:pStyle w:val="Thead"/>
              <w:rPr>
                <w:rFonts w:ascii="Arial" w:hAnsi="Arial" w:cs="Arial"/>
                <w:sz w:val="19"/>
                <w:szCs w:val="19"/>
                <w:highlight w:val="yellow"/>
              </w:rPr>
            </w:pPr>
          </w:p>
        </w:tc>
        <w:tc>
          <w:tcPr>
            <w:tcW w:w="1134" w:type="dxa"/>
          </w:tcPr>
          <w:p w:rsidR="009073AF" w:rsidRPr="00C717C4" w:rsidRDefault="00BB2A59" w:rsidP="003A1BD9">
            <w:pPr>
              <w:pStyle w:val="Thead"/>
              <w:rPr>
                <w:rFonts w:ascii="Arial" w:hAnsi="Arial" w:cs="Arial"/>
                <w:sz w:val="19"/>
                <w:szCs w:val="19"/>
              </w:rPr>
            </w:pPr>
            <w:r w:rsidRPr="00C717C4">
              <w:rPr>
                <w:rFonts w:ascii="Arial" w:hAnsi="Arial" w:cs="Arial"/>
                <w:sz w:val="19"/>
                <w:szCs w:val="19"/>
              </w:rPr>
              <w:t>2015</w:t>
            </w:r>
          </w:p>
          <w:p w:rsidR="00AA6DF8" w:rsidRPr="00C717C4" w:rsidRDefault="00AA6DF8" w:rsidP="003A1BD9">
            <w:pPr>
              <w:pStyle w:val="Thead"/>
              <w:rPr>
                <w:rFonts w:ascii="Arial" w:hAnsi="Arial" w:cs="Arial"/>
                <w:sz w:val="19"/>
                <w:szCs w:val="19"/>
              </w:rPr>
            </w:pPr>
            <w:r w:rsidRPr="00C717C4">
              <w:rPr>
                <w:rFonts w:ascii="Arial" w:hAnsi="Arial" w:cs="Arial"/>
                <w:sz w:val="19"/>
                <w:szCs w:val="19"/>
              </w:rPr>
              <w:t>£000</w:t>
            </w:r>
          </w:p>
        </w:tc>
        <w:tc>
          <w:tcPr>
            <w:tcW w:w="1134" w:type="dxa"/>
          </w:tcPr>
          <w:p w:rsidR="009073AF" w:rsidRPr="00BB2A59" w:rsidRDefault="00BB2A59" w:rsidP="003A1BD9">
            <w:pPr>
              <w:pStyle w:val="Thead"/>
              <w:rPr>
                <w:rFonts w:ascii="Arial" w:hAnsi="Arial" w:cs="Arial"/>
                <w:sz w:val="19"/>
                <w:szCs w:val="19"/>
              </w:rPr>
            </w:pPr>
            <w:r w:rsidRPr="00BB2A59">
              <w:rPr>
                <w:rFonts w:ascii="Arial" w:hAnsi="Arial" w:cs="Arial"/>
                <w:sz w:val="19"/>
                <w:szCs w:val="19"/>
              </w:rPr>
              <w:t>2014</w:t>
            </w:r>
          </w:p>
          <w:p w:rsidR="00AA6DF8" w:rsidRPr="00BB2A59" w:rsidRDefault="00AA6DF8" w:rsidP="003A1BD9">
            <w:pPr>
              <w:pStyle w:val="Thead"/>
              <w:rPr>
                <w:rFonts w:ascii="Arial" w:hAnsi="Arial" w:cs="Arial"/>
                <w:sz w:val="19"/>
                <w:szCs w:val="19"/>
              </w:rPr>
            </w:pPr>
            <w:r w:rsidRPr="00BB2A59">
              <w:rPr>
                <w:rFonts w:ascii="Arial" w:hAnsi="Arial" w:cs="Arial"/>
                <w:sz w:val="19"/>
                <w:szCs w:val="19"/>
              </w:rPr>
              <w:t>£000</w:t>
            </w:r>
          </w:p>
        </w:tc>
      </w:tr>
      <w:tr w:rsidR="009073AF" w:rsidRPr="00C46A29" w:rsidTr="009073AF">
        <w:trPr>
          <w:cantSplit/>
        </w:trPr>
        <w:tc>
          <w:tcPr>
            <w:tcW w:w="4962" w:type="dxa"/>
          </w:tcPr>
          <w:p w:rsidR="009073AF" w:rsidRPr="00BB2A59" w:rsidRDefault="009073AF" w:rsidP="003A1BD9">
            <w:pPr>
              <w:pStyle w:val="Tindent"/>
              <w:rPr>
                <w:rFonts w:ascii="Arial" w:hAnsi="Arial" w:cs="Arial"/>
                <w:b/>
                <w:sz w:val="19"/>
                <w:szCs w:val="19"/>
              </w:rPr>
            </w:pPr>
            <w:r w:rsidRPr="00BB2A59">
              <w:rPr>
                <w:rFonts w:ascii="Arial" w:hAnsi="Arial" w:cs="Arial"/>
                <w:b/>
                <w:sz w:val="19"/>
                <w:szCs w:val="19"/>
              </w:rPr>
              <w:t xml:space="preserve">Current tax </w:t>
            </w:r>
          </w:p>
        </w:tc>
        <w:tc>
          <w:tcPr>
            <w:tcW w:w="1162" w:type="dxa"/>
            <w:gridSpan w:val="3"/>
          </w:tcPr>
          <w:p w:rsidR="009073AF" w:rsidRPr="00C46A29" w:rsidRDefault="009073AF" w:rsidP="003A1BD9">
            <w:pPr>
              <w:pStyle w:val="Tdec"/>
              <w:rPr>
                <w:rFonts w:ascii="Arial" w:hAnsi="Arial" w:cs="Arial"/>
                <w:sz w:val="19"/>
                <w:szCs w:val="19"/>
                <w:highlight w:val="yellow"/>
              </w:rPr>
            </w:pPr>
          </w:p>
        </w:tc>
        <w:tc>
          <w:tcPr>
            <w:tcW w:w="1106" w:type="dxa"/>
          </w:tcPr>
          <w:p w:rsidR="009073AF" w:rsidRPr="00C46A29" w:rsidRDefault="009073AF" w:rsidP="003A1BD9">
            <w:pPr>
              <w:pStyle w:val="Tdec"/>
              <w:rPr>
                <w:rFonts w:ascii="Arial" w:hAnsi="Arial" w:cs="Arial"/>
                <w:sz w:val="19"/>
                <w:szCs w:val="19"/>
                <w:highlight w:val="yellow"/>
              </w:rPr>
            </w:pPr>
          </w:p>
        </w:tc>
        <w:tc>
          <w:tcPr>
            <w:tcW w:w="1134" w:type="dxa"/>
          </w:tcPr>
          <w:p w:rsidR="009073AF" w:rsidRPr="00C717C4" w:rsidRDefault="009073AF" w:rsidP="003A1BD9">
            <w:pPr>
              <w:pStyle w:val="Tdec"/>
              <w:rPr>
                <w:rFonts w:ascii="Arial" w:hAnsi="Arial" w:cs="Arial"/>
                <w:sz w:val="19"/>
                <w:szCs w:val="19"/>
              </w:rPr>
            </w:pPr>
          </w:p>
        </w:tc>
        <w:tc>
          <w:tcPr>
            <w:tcW w:w="1134" w:type="dxa"/>
          </w:tcPr>
          <w:p w:rsidR="009073AF" w:rsidRPr="00BB2A59" w:rsidRDefault="009073AF" w:rsidP="003A1BD9">
            <w:pPr>
              <w:pStyle w:val="Tdec"/>
              <w:rPr>
                <w:rFonts w:ascii="Arial" w:hAnsi="Arial" w:cs="Arial"/>
                <w:sz w:val="19"/>
                <w:szCs w:val="19"/>
              </w:rPr>
            </w:pPr>
          </w:p>
        </w:tc>
      </w:tr>
      <w:tr w:rsidR="009073AF" w:rsidRPr="00C46A29" w:rsidTr="009073AF">
        <w:trPr>
          <w:cantSplit/>
        </w:trPr>
        <w:tc>
          <w:tcPr>
            <w:tcW w:w="4962" w:type="dxa"/>
          </w:tcPr>
          <w:p w:rsidR="009073AF" w:rsidRPr="00BB2A59" w:rsidRDefault="00714A74" w:rsidP="003A1BD9">
            <w:pPr>
              <w:pStyle w:val="Tindent"/>
              <w:rPr>
                <w:rFonts w:ascii="Arial" w:hAnsi="Arial" w:cs="Arial"/>
                <w:sz w:val="19"/>
                <w:szCs w:val="19"/>
              </w:rPr>
            </w:pPr>
            <w:r w:rsidRPr="00BB2A59">
              <w:rPr>
                <w:rFonts w:ascii="Arial" w:hAnsi="Arial" w:cs="Arial"/>
                <w:sz w:val="19"/>
                <w:szCs w:val="19"/>
              </w:rPr>
              <w:t>Current tax on income for the year</w:t>
            </w:r>
          </w:p>
        </w:tc>
        <w:tc>
          <w:tcPr>
            <w:tcW w:w="1162" w:type="dxa"/>
            <w:gridSpan w:val="3"/>
          </w:tcPr>
          <w:p w:rsidR="009073AF" w:rsidRPr="00C46A29" w:rsidRDefault="009073AF" w:rsidP="003A1BD9">
            <w:pPr>
              <w:pStyle w:val="Tdec"/>
              <w:rPr>
                <w:rFonts w:ascii="Arial" w:hAnsi="Arial" w:cs="Arial"/>
                <w:sz w:val="19"/>
                <w:szCs w:val="19"/>
                <w:highlight w:val="yellow"/>
              </w:rPr>
            </w:pPr>
          </w:p>
        </w:tc>
        <w:tc>
          <w:tcPr>
            <w:tcW w:w="1106" w:type="dxa"/>
          </w:tcPr>
          <w:p w:rsidR="009073AF" w:rsidRPr="00C46A29" w:rsidRDefault="009073AF" w:rsidP="003A1BD9">
            <w:pPr>
              <w:pStyle w:val="Tdec"/>
              <w:rPr>
                <w:rFonts w:ascii="Arial" w:hAnsi="Arial" w:cs="Arial"/>
                <w:sz w:val="19"/>
                <w:szCs w:val="19"/>
                <w:highlight w:val="yellow"/>
              </w:rPr>
            </w:pPr>
          </w:p>
        </w:tc>
        <w:tc>
          <w:tcPr>
            <w:tcW w:w="1134" w:type="dxa"/>
          </w:tcPr>
          <w:p w:rsidR="009073AF" w:rsidRPr="00C717C4" w:rsidRDefault="009A51B6" w:rsidP="003A1BD9">
            <w:pPr>
              <w:pStyle w:val="Tdec"/>
              <w:rPr>
                <w:rFonts w:ascii="Arial" w:hAnsi="Arial" w:cs="Arial"/>
                <w:sz w:val="19"/>
                <w:szCs w:val="19"/>
              </w:rPr>
            </w:pPr>
            <w:r w:rsidRPr="00C717C4">
              <w:rPr>
                <w:rFonts w:ascii="Arial" w:hAnsi="Arial" w:cs="Arial"/>
                <w:sz w:val="19"/>
                <w:szCs w:val="19"/>
              </w:rPr>
              <w:t>0</w:t>
            </w:r>
          </w:p>
        </w:tc>
        <w:tc>
          <w:tcPr>
            <w:tcW w:w="1134" w:type="dxa"/>
          </w:tcPr>
          <w:p w:rsidR="009073AF" w:rsidRPr="00BB2A59" w:rsidRDefault="00BB2A59" w:rsidP="003A1BD9">
            <w:pPr>
              <w:pStyle w:val="Tdec"/>
              <w:rPr>
                <w:rFonts w:ascii="Arial" w:hAnsi="Arial" w:cs="Arial"/>
                <w:sz w:val="19"/>
                <w:szCs w:val="19"/>
              </w:rPr>
            </w:pPr>
            <w:r w:rsidRPr="00BB2A59">
              <w:rPr>
                <w:rFonts w:ascii="Arial" w:hAnsi="Arial" w:cs="Arial"/>
                <w:sz w:val="19"/>
                <w:szCs w:val="19"/>
              </w:rPr>
              <w:t>0</w:t>
            </w:r>
          </w:p>
        </w:tc>
      </w:tr>
      <w:tr w:rsidR="009073AF" w:rsidRPr="00C46A29" w:rsidTr="009073AF">
        <w:trPr>
          <w:cantSplit/>
        </w:trPr>
        <w:tc>
          <w:tcPr>
            <w:tcW w:w="4962" w:type="dxa"/>
          </w:tcPr>
          <w:p w:rsidR="009073AF" w:rsidRPr="00BB2A59" w:rsidRDefault="00714A74" w:rsidP="00455A55">
            <w:pPr>
              <w:pStyle w:val="Tindent"/>
              <w:rPr>
                <w:rFonts w:ascii="Arial" w:hAnsi="Arial" w:cs="Arial"/>
                <w:sz w:val="19"/>
                <w:szCs w:val="19"/>
              </w:rPr>
            </w:pPr>
            <w:r w:rsidRPr="00BB2A59">
              <w:rPr>
                <w:rFonts w:ascii="Arial" w:hAnsi="Arial" w:cs="Arial"/>
                <w:sz w:val="19"/>
                <w:szCs w:val="19"/>
              </w:rPr>
              <w:t xml:space="preserve">Adjustments in respect of prior </w:t>
            </w:r>
            <w:r w:rsidR="00455A55">
              <w:rPr>
                <w:rFonts w:ascii="Arial" w:hAnsi="Arial" w:cs="Arial"/>
                <w:sz w:val="19"/>
                <w:szCs w:val="19"/>
              </w:rPr>
              <w:t>years</w:t>
            </w:r>
          </w:p>
        </w:tc>
        <w:tc>
          <w:tcPr>
            <w:tcW w:w="1162" w:type="dxa"/>
            <w:gridSpan w:val="3"/>
          </w:tcPr>
          <w:p w:rsidR="009073AF" w:rsidRPr="00C46A29" w:rsidRDefault="009073AF" w:rsidP="003A1BD9">
            <w:pPr>
              <w:pStyle w:val="Tdec"/>
              <w:rPr>
                <w:rFonts w:ascii="Arial" w:hAnsi="Arial" w:cs="Arial"/>
                <w:sz w:val="19"/>
                <w:szCs w:val="19"/>
                <w:highlight w:val="yellow"/>
              </w:rPr>
            </w:pPr>
          </w:p>
        </w:tc>
        <w:tc>
          <w:tcPr>
            <w:tcW w:w="1106" w:type="dxa"/>
          </w:tcPr>
          <w:p w:rsidR="009073AF" w:rsidRPr="00C46A29" w:rsidRDefault="009073AF" w:rsidP="003A1BD9">
            <w:pPr>
              <w:pStyle w:val="Tdec"/>
              <w:rPr>
                <w:rFonts w:ascii="Arial" w:hAnsi="Arial" w:cs="Arial"/>
                <w:sz w:val="19"/>
                <w:szCs w:val="19"/>
                <w:highlight w:val="yellow"/>
              </w:rPr>
            </w:pPr>
          </w:p>
        </w:tc>
        <w:tc>
          <w:tcPr>
            <w:tcW w:w="1134" w:type="dxa"/>
          </w:tcPr>
          <w:p w:rsidR="009073AF" w:rsidRPr="00C717C4" w:rsidRDefault="009A51B6" w:rsidP="003A1BD9">
            <w:pPr>
              <w:pStyle w:val="Tdec"/>
              <w:rPr>
                <w:rFonts w:ascii="Arial" w:hAnsi="Arial" w:cs="Arial"/>
                <w:sz w:val="19"/>
                <w:szCs w:val="19"/>
              </w:rPr>
            </w:pPr>
            <w:r w:rsidRPr="00C717C4">
              <w:rPr>
                <w:rFonts w:ascii="Arial" w:hAnsi="Arial" w:cs="Arial"/>
                <w:sz w:val="19"/>
                <w:szCs w:val="19"/>
              </w:rPr>
              <w:t>0</w:t>
            </w:r>
          </w:p>
        </w:tc>
        <w:tc>
          <w:tcPr>
            <w:tcW w:w="1134" w:type="dxa"/>
          </w:tcPr>
          <w:p w:rsidR="009073AF" w:rsidRPr="00BB2A59" w:rsidRDefault="00BB2A59" w:rsidP="003A1BD9">
            <w:pPr>
              <w:pStyle w:val="Tdec"/>
              <w:rPr>
                <w:rFonts w:ascii="Arial" w:hAnsi="Arial" w:cs="Arial"/>
                <w:sz w:val="19"/>
                <w:szCs w:val="19"/>
              </w:rPr>
            </w:pPr>
            <w:r w:rsidRPr="00BB2A59">
              <w:rPr>
                <w:rFonts w:ascii="Arial" w:hAnsi="Arial" w:cs="Arial"/>
                <w:sz w:val="19"/>
                <w:szCs w:val="19"/>
              </w:rPr>
              <w:t>0</w:t>
            </w:r>
          </w:p>
        </w:tc>
      </w:tr>
      <w:tr w:rsidR="009073AF" w:rsidRPr="00C46A29" w:rsidTr="009073AF">
        <w:trPr>
          <w:cantSplit/>
        </w:trPr>
        <w:tc>
          <w:tcPr>
            <w:tcW w:w="4962" w:type="dxa"/>
          </w:tcPr>
          <w:p w:rsidR="009073AF" w:rsidRPr="00BB2A59" w:rsidRDefault="009073AF" w:rsidP="003A1BD9">
            <w:pPr>
              <w:pStyle w:val="Tindent"/>
              <w:rPr>
                <w:rFonts w:ascii="Arial" w:hAnsi="Arial" w:cs="Arial"/>
                <w:sz w:val="19"/>
                <w:szCs w:val="19"/>
              </w:rPr>
            </w:pPr>
          </w:p>
        </w:tc>
        <w:tc>
          <w:tcPr>
            <w:tcW w:w="1162" w:type="dxa"/>
            <w:gridSpan w:val="3"/>
          </w:tcPr>
          <w:p w:rsidR="009073AF" w:rsidRPr="00C46A29" w:rsidRDefault="009073AF" w:rsidP="003A1BD9">
            <w:pPr>
              <w:pStyle w:val="Tdec"/>
              <w:rPr>
                <w:rFonts w:ascii="Arial" w:hAnsi="Arial" w:cs="Arial"/>
                <w:sz w:val="19"/>
                <w:szCs w:val="19"/>
                <w:highlight w:val="yellow"/>
              </w:rPr>
            </w:pPr>
          </w:p>
        </w:tc>
        <w:tc>
          <w:tcPr>
            <w:tcW w:w="1106" w:type="dxa"/>
          </w:tcPr>
          <w:p w:rsidR="009073AF" w:rsidRPr="00C46A29" w:rsidRDefault="009073AF" w:rsidP="003A1BD9">
            <w:pPr>
              <w:pStyle w:val="Tdec"/>
              <w:rPr>
                <w:rFonts w:ascii="Arial" w:hAnsi="Arial" w:cs="Arial"/>
                <w:sz w:val="19"/>
                <w:szCs w:val="19"/>
                <w:highlight w:val="yellow"/>
              </w:rPr>
            </w:pPr>
          </w:p>
        </w:tc>
        <w:tc>
          <w:tcPr>
            <w:tcW w:w="1134" w:type="dxa"/>
          </w:tcPr>
          <w:p w:rsidR="009073AF" w:rsidRPr="00C717C4" w:rsidRDefault="009073AF" w:rsidP="003A1BD9">
            <w:pPr>
              <w:pStyle w:val="S9"/>
              <w:spacing w:line="240" w:lineRule="auto"/>
              <w:rPr>
                <w:rFonts w:ascii="Arial" w:hAnsi="Arial" w:cs="Arial"/>
                <w:sz w:val="19"/>
                <w:szCs w:val="19"/>
              </w:rPr>
            </w:pPr>
          </w:p>
        </w:tc>
        <w:tc>
          <w:tcPr>
            <w:tcW w:w="1134" w:type="dxa"/>
          </w:tcPr>
          <w:p w:rsidR="009073AF" w:rsidRPr="00BB2A59" w:rsidRDefault="009073AF" w:rsidP="003A1BD9">
            <w:pPr>
              <w:pStyle w:val="S9"/>
              <w:spacing w:line="240" w:lineRule="auto"/>
              <w:rPr>
                <w:rFonts w:ascii="Arial" w:hAnsi="Arial" w:cs="Arial"/>
                <w:sz w:val="19"/>
                <w:szCs w:val="19"/>
              </w:rPr>
            </w:pPr>
          </w:p>
        </w:tc>
      </w:tr>
      <w:tr w:rsidR="00714A74" w:rsidRPr="00C46A29" w:rsidTr="00714A74">
        <w:trPr>
          <w:cantSplit/>
        </w:trPr>
        <w:tc>
          <w:tcPr>
            <w:tcW w:w="4962" w:type="dxa"/>
          </w:tcPr>
          <w:p w:rsidR="00714A74" w:rsidRPr="00BB2A59" w:rsidRDefault="00714A74" w:rsidP="003A1BD9">
            <w:pPr>
              <w:pStyle w:val="Tindent"/>
              <w:rPr>
                <w:rFonts w:ascii="Arial" w:hAnsi="Arial" w:cs="Arial"/>
                <w:sz w:val="19"/>
                <w:szCs w:val="19"/>
              </w:rPr>
            </w:pPr>
            <w:r w:rsidRPr="00BB2A59">
              <w:rPr>
                <w:rFonts w:ascii="Arial" w:hAnsi="Arial" w:cs="Arial"/>
                <w:b/>
                <w:sz w:val="19"/>
                <w:szCs w:val="19"/>
              </w:rPr>
              <w:t>Total current tax</w:t>
            </w:r>
          </w:p>
        </w:tc>
        <w:tc>
          <w:tcPr>
            <w:tcW w:w="1162" w:type="dxa"/>
            <w:gridSpan w:val="3"/>
          </w:tcPr>
          <w:p w:rsidR="00714A74" w:rsidRPr="00C46A29" w:rsidRDefault="00714A74" w:rsidP="003A1BD9">
            <w:pPr>
              <w:pStyle w:val="Tdec"/>
              <w:rPr>
                <w:rFonts w:ascii="Arial" w:hAnsi="Arial" w:cs="Arial"/>
                <w:sz w:val="19"/>
                <w:szCs w:val="19"/>
                <w:highlight w:val="yellow"/>
              </w:rPr>
            </w:pPr>
          </w:p>
        </w:tc>
        <w:tc>
          <w:tcPr>
            <w:tcW w:w="1106" w:type="dxa"/>
          </w:tcPr>
          <w:p w:rsidR="00714A74" w:rsidRPr="00C46A29" w:rsidRDefault="00714A74" w:rsidP="003A1BD9">
            <w:pPr>
              <w:pStyle w:val="Tdec"/>
              <w:rPr>
                <w:rFonts w:ascii="Arial" w:hAnsi="Arial" w:cs="Arial"/>
                <w:sz w:val="19"/>
                <w:szCs w:val="19"/>
                <w:highlight w:val="yellow"/>
              </w:rPr>
            </w:pPr>
          </w:p>
        </w:tc>
        <w:tc>
          <w:tcPr>
            <w:tcW w:w="1134" w:type="dxa"/>
          </w:tcPr>
          <w:p w:rsidR="00714A74" w:rsidRPr="00C717C4" w:rsidRDefault="009A51B6" w:rsidP="003A1BD9">
            <w:pPr>
              <w:pStyle w:val="Tdec"/>
              <w:rPr>
                <w:rFonts w:ascii="Arial" w:hAnsi="Arial" w:cs="Arial"/>
                <w:sz w:val="19"/>
                <w:szCs w:val="19"/>
              </w:rPr>
            </w:pPr>
            <w:r w:rsidRPr="00C717C4">
              <w:rPr>
                <w:rFonts w:ascii="Arial" w:hAnsi="Arial" w:cs="Arial"/>
                <w:sz w:val="19"/>
                <w:szCs w:val="19"/>
              </w:rPr>
              <w:t>0</w:t>
            </w:r>
          </w:p>
        </w:tc>
        <w:tc>
          <w:tcPr>
            <w:tcW w:w="1134" w:type="dxa"/>
          </w:tcPr>
          <w:p w:rsidR="00714A74" w:rsidRPr="00BB2A59" w:rsidRDefault="00BB2A59" w:rsidP="003A1BD9">
            <w:pPr>
              <w:pStyle w:val="Tdec"/>
              <w:rPr>
                <w:rFonts w:ascii="Arial" w:hAnsi="Arial" w:cs="Arial"/>
                <w:sz w:val="19"/>
                <w:szCs w:val="19"/>
              </w:rPr>
            </w:pPr>
            <w:r w:rsidRPr="00BB2A59">
              <w:rPr>
                <w:rFonts w:ascii="Arial" w:hAnsi="Arial" w:cs="Arial"/>
                <w:sz w:val="19"/>
                <w:szCs w:val="19"/>
              </w:rPr>
              <w:t>0</w:t>
            </w:r>
          </w:p>
        </w:tc>
      </w:tr>
      <w:tr w:rsidR="00714A74" w:rsidRPr="00C46A29" w:rsidTr="00714A74">
        <w:trPr>
          <w:cantSplit/>
        </w:trPr>
        <w:tc>
          <w:tcPr>
            <w:tcW w:w="4962" w:type="dxa"/>
          </w:tcPr>
          <w:p w:rsidR="00714A74" w:rsidRPr="00BB2A59" w:rsidRDefault="00714A74" w:rsidP="003A1BD9">
            <w:pPr>
              <w:pStyle w:val="Tindent"/>
              <w:rPr>
                <w:rFonts w:ascii="Arial" w:hAnsi="Arial" w:cs="Arial"/>
                <w:sz w:val="19"/>
                <w:szCs w:val="19"/>
              </w:rPr>
            </w:pPr>
          </w:p>
        </w:tc>
        <w:tc>
          <w:tcPr>
            <w:tcW w:w="1162" w:type="dxa"/>
            <w:gridSpan w:val="3"/>
          </w:tcPr>
          <w:p w:rsidR="00714A74" w:rsidRPr="00C46A29" w:rsidRDefault="00714A74" w:rsidP="003A1BD9">
            <w:pPr>
              <w:pStyle w:val="Tdec"/>
              <w:rPr>
                <w:rFonts w:ascii="Arial" w:hAnsi="Arial" w:cs="Arial"/>
                <w:sz w:val="19"/>
                <w:szCs w:val="19"/>
                <w:highlight w:val="yellow"/>
              </w:rPr>
            </w:pPr>
          </w:p>
        </w:tc>
        <w:tc>
          <w:tcPr>
            <w:tcW w:w="1106" w:type="dxa"/>
          </w:tcPr>
          <w:p w:rsidR="00714A74" w:rsidRPr="00C46A29" w:rsidRDefault="00714A74" w:rsidP="003A1BD9">
            <w:pPr>
              <w:pStyle w:val="Tdec"/>
              <w:rPr>
                <w:rFonts w:ascii="Arial" w:hAnsi="Arial" w:cs="Arial"/>
                <w:sz w:val="19"/>
                <w:szCs w:val="19"/>
                <w:highlight w:val="yellow"/>
              </w:rPr>
            </w:pPr>
          </w:p>
        </w:tc>
        <w:tc>
          <w:tcPr>
            <w:tcW w:w="1134" w:type="dxa"/>
          </w:tcPr>
          <w:p w:rsidR="00714A74" w:rsidRPr="00C717C4" w:rsidRDefault="00714A74" w:rsidP="003A1BD9">
            <w:pPr>
              <w:pStyle w:val="Tdec"/>
              <w:rPr>
                <w:rFonts w:ascii="Arial" w:hAnsi="Arial" w:cs="Arial"/>
                <w:sz w:val="19"/>
                <w:szCs w:val="19"/>
              </w:rPr>
            </w:pPr>
          </w:p>
        </w:tc>
        <w:tc>
          <w:tcPr>
            <w:tcW w:w="1134" w:type="dxa"/>
          </w:tcPr>
          <w:p w:rsidR="00714A74" w:rsidRPr="00BB2A59" w:rsidRDefault="00714A74" w:rsidP="003A1BD9">
            <w:pPr>
              <w:pStyle w:val="Tdec"/>
              <w:rPr>
                <w:rFonts w:ascii="Arial" w:hAnsi="Arial" w:cs="Arial"/>
                <w:sz w:val="19"/>
                <w:szCs w:val="19"/>
              </w:rPr>
            </w:pPr>
          </w:p>
        </w:tc>
      </w:tr>
      <w:tr w:rsidR="00714A74" w:rsidRPr="00C46A29" w:rsidTr="00714A74">
        <w:trPr>
          <w:cantSplit/>
        </w:trPr>
        <w:tc>
          <w:tcPr>
            <w:tcW w:w="4962" w:type="dxa"/>
          </w:tcPr>
          <w:p w:rsidR="00714A74" w:rsidRPr="00BB2A59" w:rsidRDefault="00714A74" w:rsidP="003A1BD9">
            <w:pPr>
              <w:pStyle w:val="Tindent"/>
              <w:rPr>
                <w:rFonts w:ascii="Arial" w:hAnsi="Arial" w:cs="Arial"/>
                <w:sz w:val="19"/>
                <w:szCs w:val="19"/>
              </w:rPr>
            </w:pPr>
            <w:r w:rsidRPr="00BB2A59">
              <w:rPr>
                <w:rFonts w:ascii="Arial" w:hAnsi="Arial" w:cs="Arial"/>
                <w:sz w:val="19"/>
                <w:szCs w:val="19"/>
              </w:rPr>
              <w:t>Deferred tax</w:t>
            </w:r>
          </w:p>
        </w:tc>
        <w:tc>
          <w:tcPr>
            <w:tcW w:w="1162" w:type="dxa"/>
            <w:gridSpan w:val="3"/>
          </w:tcPr>
          <w:p w:rsidR="00714A74" w:rsidRPr="00C46A29" w:rsidRDefault="00714A74" w:rsidP="003A1BD9">
            <w:pPr>
              <w:pStyle w:val="Tdec"/>
              <w:rPr>
                <w:rFonts w:ascii="Arial" w:hAnsi="Arial" w:cs="Arial"/>
                <w:sz w:val="19"/>
                <w:szCs w:val="19"/>
                <w:highlight w:val="yellow"/>
              </w:rPr>
            </w:pPr>
          </w:p>
        </w:tc>
        <w:tc>
          <w:tcPr>
            <w:tcW w:w="1106" w:type="dxa"/>
          </w:tcPr>
          <w:p w:rsidR="00714A74" w:rsidRPr="00C46A29" w:rsidRDefault="00714A74" w:rsidP="003A1BD9">
            <w:pPr>
              <w:pStyle w:val="Tdec"/>
              <w:rPr>
                <w:rFonts w:ascii="Arial" w:hAnsi="Arial" w:cs="Arial"/>
                <w:sz w:val="19"/>
                <w:szCs w:val="19"/>
                <w:highlight w:val="yellow"/>
              </w:rPr>
            </w:pPr>
          </w:p>
        </w:tc>
        <w:tc>
          <w:tcPr>
            <w:tcW w:w="1134" w:type="dxa"/>
          </w:tcPr>
          <w:p w:rsidR="00714A74" w:rsidRPr="00C717C4" w:rsidRDefault="009A51B6" w:rsidP="003A1BD9">
            <w:pPr>
              <w:pStyle w:val="Tdec"/>
              <w:rPr>
                <w:rFonts w:ascii="Arial" w:hAnsi="Arial" w:cs="Arial"/>
                <w:sz w:val="19"/>
                <w:szCs w:val="19"/>
              </w:rPr>
            </w:pPr>
            <w:r w:rsidRPr="00C717C4">
              <w:rPr>
                <w:rFonts w:ascii="Arial" w:hAnsi="Arial" w:cs="Arial"/>
                <w:sz w:val="19"/>
                <w:szCs w:val="19"/>
              </w:rPr>
              <w:t>0</w:t>
            </w:r>
          </w:p>
        </w:tc>
        <w:tc>
          <w:tcPr>
            <w:tcW w:w="1134" w:type="dxa"/>
          </w:tcPr>
          <w:p w:rsidR="00714A74" w:rsidRPr="00BB2A59" w:rsidRDefault="00BB2A59" w:rsidP="003A1BD9">
            <w:pPr>
              <w:pStyle w:val="Tdec"/>
              <w:rPr>
                <w:rFonts w:ascii="Arial" w:hAnsi="Arial" w:cs="Arial"/>
                <w:sz w:val="19"/>
                <w:szCs w:val="19"/>
              </w:rPr>
            </w:pPr>
            <w:r w:rsidRPr="00BB2A59">
              <w:rPr>
                <w:rFonts w:ascii="Arial" w:hAnsi="Arial" w:cs="Arial"/>
                <w:sz w:val="19"/>
                <w:szCs w:val="19"/>
              </w:rPr>
              <w:t>0</w:t>
            </w:r>
          </w:p>
        </w:tc>
      </w:tr>
      <w:tr w:rsidR="00714A74" w:rsidRPr="00C46A29" w:rsidTr="00714A74">
        <w:trPr>
          <w:cantSplit/>
        </w:trPr>
        <w:tc>
          <w:tcPr>
            <w:tcW w:w="4962" w:type="dxa"/>
          </w:tcPr>
          <w:p w:rsidR="00714A74" w:rsidRPr="00BB2A59" w:rsidRDefault="00714A74" w:rsidP="003A1BD9">
            <w:pPr>
              <w:pStyle w:val="Tindent"/>
              <w:rPr>
                <w:rFonts w:ascii="Arial" w:hAnsi="Arial" w:cs="Arial"/>
                <w:sz w:val="19"/>
                <w:szCs w:val="19"/>
              </w:rPr>
            </w:pPr>
          </w:p>
        </w:tc>
        <w:tc>
          <w:tcPr>
            <w:tcW w:w="1162" w:type="dxa"/>
            <w:gridSpan w:val="3"/>
          </w:tcPr>
          <w:p w:rsidR="00714A74" w:rsidRPr="00C46A29" w:rsidRDefault="00714A74" w:rsidP="003A1BD9">
            <w:pPr>
              <w:pStyle w:val="Tdec"/>
              <w:rPr>
                <w:rFonts w:ascii="Arial" w:hAnsi="Arial" w:cs="Arial"/>
                <w:sz w:val="19"/>
                <w:szCs w:val="19"/>
                <w:highlight w:val="yellow"/>
              </w:rPr>
            </w:pPr>
          </w:p>
        </w:tc>
        <w:tc>
          <w:tcPr>
            <w:tcW w:w="1106" w:type="dxa"/>
          </w:tcPr>
          <w:p w:rsidR="00714A74" w:rsidRPr="00C46A29" w:rsidRDefault="00714A74" w:rsidP="003A1BD9">
            <w:pPr>
              <w:pStyle w:val="Tdec"/>
              <w:rPr>
                <w:rFonts w:ascii="Arial" w:hAnsi="Arial" w:cs="Arial"/>
                <w:sz w:val="19"/>
                <w:szCs w:val="19"/>
                <w:highlight w:val="yellow"/>
              </w:rPr>
            </w:pPr>
          </w:p>
        </w:tc>
        <w:tc>
          <w:tcPr>
            <w:tcW w:w="1134" w:type="dxa"/>
          </w:tcPr>
          <w:p w:rsidR="00714A74" w:rsidRPr="00C717C4" w:rsidRDefault="00714A74" w:rsidP="003A1BD9">
            <w:pPr>
              <w:pStyle w:val="Tdec"/>
              <w:rPr>
                <w:rFonts w:ascii="Arial" w:hAnsi="Arial" w:cs="Arial"/>
                <w:sz w:val="19"/>
                <w:szCs w:val="19"/>
              </w:rPr>
            </w:pPr>
          </w:p>
        </w:tc>
        <w:tc>
          <w:tcPr>
            <w:tcW w:w="1134" w:type="dxa"/>
          </w:tcPr>
          <w:p w:rsidR="00714A74" w:rsidRPr="00BB2A59" w:rsidRDefault="00714A74" w:rsidP="003A1BD9">
            <w:pPr>
              <w:pStyle w:val="Tdec"/>
              <w:rPr>
                <w:rFonts w:ascii="Arial" w:hAnsi="Arial" w:cs="Arial"/>
                <w:sz w:val="19"/>
                <w:szCs w:val="19"/>
              </w:rPr>
            </w:pPr>
          </w:p>
        </w:tc>
      </w:tr>
      <w:tr w:rsidR="009073AF" w:rsidRPr="00C46A29" w:rsidTr="009073AF">
        <w:trPr>
          <w:cantSplit/>
        </w:trPr>
        <w:tc>
          <w:tcPr>
            <w:tcW w:w="4962" w:type="dxa"/>
          </w:tcPr>
          <w:p w:rsidR="009073AF" w:rsidRPr="00BB2A59" w:rsidRDefault="00455A55" w:rsidP="003A1BD9">
            <w:pPr>
              <w:pStyle w:val="Tindent"/>
              <w:rPr>
                <w:rFonts w:ascii="Arial" w:hAnsi="Arial" w:cs="Arial"/>
                <w:sz w:val="19"/>
                <w:szCs w:val="19"/>
              </w:rPr>
            </w:pPr>
            <w:r>
              <w:rPr>
                <w:rFonts w:ascii="Arial" w:hAnsi="Arial" w:cs="Arial"/>
                <w:sz w:val="19"/>
                <w:szCs w:val="19"/>
              </w:rPr>
              <w:t xml:space="preserve">Tax on surplus </w:t>
            </w:r>
            <w:r w:rsidR="00714A74" w:rsidRPr="00BB2A59">
              <w:rPr>
                <w:rFonts w:ascii="Arial" w:hAnsi="Arial" w:cs="Arial"/>
                <w:sz w:val="19"/>
                <w:szCs w:val="19"/>
              </w:rPr>
              <w:t>on ordinary activities</w:t>
            </w:r>
          </w:p>
        </w:tc>
        <w:tc>
          <w:tcPr>
            <w:tcW w:w="1162" w:type="dxa"/>
            <w:gridSpan w:val="3"/>
          </w:tcPr>
          <w:p w:rsidR="009073AF" w:rsidRPr="00C46A29" w:rsidRDefault="009073AF" w:rsidP="003A1BD9">
            <w:pPr>
              <w:pStyle w:val="Tdec"/>
              <w:rPr>
                <w:rFonts w:ascii="Arial" w:hAnsi="Arial" w:cs="Arial"/>
                <w:sz w:val="19"/>
                <w:szCs w:val="19"/>
                <w:highlight w:val="yellow"/>
              </w:rPr>
            </w:pPr>
          </w:p>
        </w:tc>
        <w:tc>
          <w:tcPr>
            <w:tcW w:w="1106" w:type="dxa"/>
          </w:tcPr>
          <w:p w:rsidR="009073AF" w:rsidRPr="00C46A29" w:rsidRDefault="009073AF" w:rsidP="003A1BD9">
            <w:pPr>
              <w:pStyle w:val="Tdec"/>
              <w:rPr>
                <w:rFonts w:ascii="Arial" w:hAnsi="Arial" w:cs="Arial"/>
                <w:sz w:val="19"/>
                <w:szCs w:val="19"/>
                <w:highlight w:val="yellow"/>
              </w:rPr>
            </w:pPr>
          </w:p>
        </w:tc>
        <w:tc>
          <w:tcPr>
            <w:tcW w:w="1134" w:type="dxa"/>
          </w:tcPr>
          <w:p w:rsidR="009073AF" w:rsidRPr="00C717C4" w:rsidRDefault="009A51B6" w:rsidP="003A1BD9">
            <w:pPr>
              <w:pStyle w:val="Tdec"/>
              <w:rPr>
                <w:rFonts w:ascii="Arial" w:hAnsi="Arial" w:cs="Arial"/>
                <w:sz w:val="19"/>
                <w:szCs w:val="19"/>
              </w:rPr>
            </w:pPr>
            <w:r w:rsidRPr="00C717C4">
              <w:rPr>
                <w:rFonts w:ascii="Arial" w:hAnsi="Arial" w:cs="Arial"/>
                <w:sz w:val="19"/>
                <w:szCs w:val="19"/>
              </w:rPr>
              <w:t>0</w:t>
            </w:r>
          </w:p>
        </w:tc>
        <w:tc>
          <w:tcPr>
            <w:tcW w:w="1134" w:type="dxa"/>
          </w:tcPr>
          <w:p w:rsidR="009073AF" w:rsidRPr="00BB2A59" w:rsidRDefault="00BB2A59" w:rsidP="003A1BD9">
            <w:pPr>
              <w:pStyle w:val="Tdec"/>
              <w:rPr>
                <w:rFonts w:ascii="Arial" w:hAnsi="Arial" w:cs="Arial"/>
                <w:sz w:val="19"/>
                <w:szCs w:val="19"/>
              </w:rPr>
            </w:pPr>
            <w:r w:rsidRPr="00BB2A59">
              <w:rPr>
                <w:rFonts w:ascii="Arial" w:hAnsi="Arial" w:cs="Arial"/>
                <w:sz w:val="19"/>
                <w:szCs w:val="19"/>
              </w:rPr>
              <w:t>0</w:t>
            </w:r>
          </w:p>
        </w:tc>
      </w:tr>
      <w:tr w:rsidR="009073AF" w:rsidRPr="00C46A29" w:rsidTr="009073AF">
        <w:trPr>
          <w:cantSplit/>
        </w:trPr>
        <w:tc>
          <w:tcPr>
            <w:tcW w:w="4962" w:type="dxa"/>
          </w:tcPr>
          <w:p w:rsidR="009073AF" w:rsidRPr="00BB2A59" w:rsidRDefault="009073AF" w:rsidP="003A1BD9">
            <w:pPr>
              <w:pStyle w:val="Tindent"/>
              <w:rPr>
                <w:rFonts w:ascii="Arial" w:hAnsi="Arial" w:cs="Arial"/>
                <w:sz w:val="19"/>
                <w:szCs w:val="19"/>
              </w:rPr>
            </w:pPr>
          </w:p>
        </w:tc>
        <w:tc>
          <w:tcPr>
            <w:tcW w:w="1162" w:type="dxa"/>
            <w:gridSpan w:val="3"/>
          </w:tcPr>
          <w:p w:rsidR="009073AF" w:rsidRPr="00C46A29" w:rsidRDefault="009073AF" w:rsidP="003A1BD9">
            <w:pPr>
              <w:pStyle w:val="Tdec"/>
              <w:rPr>
                <w:rFonts w:ascii="Arial" w:hAnsi="Arial" w:cs="Arial"/>
                <w:sz w:val="19"/>
                <w:szCs w:val="19"/>
                <w:highlight w:val="yellow"/>
              </w:rPr>
            </w:pPr>
          </w:p>
        </w:tc>
        <w:tc>
          <w:tcPr>
            <w:tcW w:w="1106" w:type="dxa"/>
          </w:tcPr>
          <w:p w:rsidR="009073AF" w:rsidRPr="00C46A29" w:rsidRDefault="009073AF" w:rsidP="003A1BD9">
            <w:pPr>
              <w:pStyle w:val="Tdec"/>
              <w:rPr>
                <w:rFonts w:ascii="Arial" w:hAnsi="Arial" w:cs="Arial"/>
                <w:sz w:val="19"/>
                <w:szCs w:val="19"/>
                <w:highlight w:val="yellow"/>
              </w:rPr>
            </w:pPr>
          </w:p>
        </w:tc>
        <w:tc>
          <w:tcPr>
            <w:tcW w:w="1134" w:type="dxa"/>
          </w:tcPr>
          <w:p w:rsidR="009073AF" w:rsidRPr="00C717C4" w:rsidRDefault="009073AF" w:rsidP="003A1BD9">
            <w:pPr>
              <w:pStyle w:val="D9"/>
              <w:spacing w:line="240" w:lineRule="auto"/>
              <w:rPr>
                <w:rFonts w:ascii="Arial" w:hAnsi="Arial" w:cs="Arial"/>
                <w:sz w:val="19"/>
                <w:szCs w:val="19"/>
              </w:rPr>
            </w:pPr>
          </w:p>
        </w:tc>
        <w:tc>
          <w:tcPr>
            <w:tcW w:w="1134" w:type="dxa"/>
          </w:tcPr>
          <w:p w:rsidR="009073AF" w:rsidRPr="00BB2A59" w:rsidRDefault="009073AF" w:rsidP="003A1BD9">
            <w:pPr>
              <w:pStyle w:val="D9"/>
              <w:spacing w:line="240" w:lineRule="auto"/>
              <w:rPr>
                <w:rFonts w:ascii="Arial" w:hAnsi="Arial" w:cs="Arial"/>
                <w:sz w:val="19"/>
                <w:szCs w:val="19"/>
              </w:rPr>
            </w:pPr>
          </w:p>
        </w:tc>
      </w:tr>
      <w:tr w:rsidR="006D4766" w:rsidRPr="00C46A29" w:rsidTr="006D4766">
        <w:trPr>
          <w:cantSplit/>
        </w:trPr>
        <w:tc>
          <w:tcPr>
            <w:tcW w:w="4962" w:type="dxa"/>
          </w:tcPr>
          <w:p w:rsidR="006D4766" w:rsidRPr="005300DC" w:rsidRDefault="009073AF" w:rsidP="003A1BD9">
            <w:pPr>
              <w:pStyle w:val="Tindent"/>
              <w:rPr>
                <w:rFonts w:ascii="Arial" w:hAnsi="Arial" w:cs="Arial"/>
                <w:b/>
                <w:sz w:val="19"/>
                <w:szCs w:val="19"/>
              </w:rPr>
            </w:pPr>
            <w:r w:rsidRPr="005300DC">
              <w:rPr>
                <w:rFonts w:ascii="Arial" w:hAnsi="Arial" w:cs="Arial"/>
                <w:b/>
                <w:sz w:val="19"/>
                <w:szCs w:val="19"/>
              </w:rPr>
              <w:t>Factors affecting the tax charge for the year</w:t>
            </w:r>
          </w:p>
        </w:tc>
        <w:tc>
          <w:tcPr>
            <w:tcW w:w="1162" w:type="dxa"/>
            <w:gridSpan w:val="3"/>
          </w:tcPr>
          <w:p w:rsidR="006D4766" w:rsidRPr="005300DC" w:rsidRDefault="006D4766" w:rsidP="003A1BD9">
            <w:pPr>
              <w:pStyle w:val="Tdec"/>
              <w:rPr>
                <w:rFonts w:ascii="Arial" w:hAnsi="Arial" w:cs="Arial"/>
                <w:sz w:val="19"/>
                <w:szCs w:val="19"/>
              </w:rPr>
            </w:pPr>
          </w:p>
        </w:tc>
        <w:tc>
          <w:tcPr>
            <w:tcW w:w="1106" w:type="dxa"/>
          </w:tcPr>
          <w:p w:rsidR="006D4766" w:rsidRPr="005300DC" w:rsidRDefault="006D4766" w:rsidP="003A1BD9">
            <w:pPr>
              <w:pStyle w:val="Tdec"/>
              <w:rPr>
                <w:rFonts w:ascii="Arial" w:hAnsi="Arial" w:cs="Arial"/>
                <w:sz w:val="19"/>
                <w:szCs w:val="19"/>
              </w:rPr>
            </w:pPr>
          </w:p>
        </w:tc>
        <w:tc>
          <w:tcPr>
            <w:tcW w:w="1134" w:type="dxa"/>
          </w:tcPr>
          <w:p w:rsidR="006D4766" w:rsidRPr="005300DC" w:rsidRDefault="006D4766" w:rsidP="003A1BD9">
            <w:pPr>
              <w:pStyle w:val="Tdec"/>
              <w:rPr>
                <w:rFonts w:ascii="Arial" w:hAnsi="Arial" w:cs="Arial"/>
                <w:sz w:val="19"/>
                <w:szCs w:val="19"/>
              </w:rPr>
            </w:pPr>
          </w:p>
        </w:tc>
        <w:tc>
          <w:tcPr>
            <w:tcW w:w="1134" w:type="dxa"/>
          </w:tcPr>
          <w:p w:rsidR="006D4766" w:rsidRPr="00BB2A59" w:rsidRDefault="006D4766" w:rsidP="003A1BD9">
            <w:pPr>
              <w:pStyle w:val="Tdec"/>
              <w:rPr>
                <w:rFonts w:ascii="Arial" w:hAnsi="Arial" w:cs="Arial"/>
                <w:sz w:val="19"/>
                <w:szCs w:val="19"/>
              </w:rPr>
            </w:pPr>
          </w:p>
        </w:tc>
      </w:tr>
      <w:tr w:rsidR="006D4766" w:rsidRPr="00C46A29" w:rsidTr="00714A74">
        <w:trPr>
          <w:cantSplit/>
        </w:trPr>
        <w:tc>
          <w:tcPr>
            <w:tcW w:w="5840" w:type="dxa"/>
            <w:gridSpan w:val="3"/>
          </w:tcPr>
          <w:p w:rsidR="006D4766" w:rsidRPr="005300DC" w:rsidRDefault="00455A55" w:rsidP="00C717C4">
            <w:pPr>
              <w:pStyle w:val="Tindent"/>
              <w:rPr>
                <w:rFonts w:ascii="Arial" w:hAnsi="Arial" w:cs="Arial"/>
                <w:sz w:val="19"/>
                <w:szCs w:val="19"/>
                <w:lang w:val="en-US"/>
              </w:rPr>
            </w:pPr>
            <w:r>
              <w:rPr>
                <w:rFonts w:ascii="Arial" w:hAnsi="Arial" w:cs="Arial"/>
                <w:bCs/>
                <w:sz w:val="19"/>
                <w:szCs w:val="19"/>
                <w:lang w:val="en-US"/>
              </w:rPr>
              <w:t>The tax charge for the year</w:t>
            </w:r>
            <w:r w:rsidR="00714A74" w:rsidRPr="005300DC">
              <w:rPr>
                <w:rFonts w:ascii="Arial" w:hAnsi="Arial" w:cs="Arial"/>
                <w:bCs/>
                <w:sz w:val="19"/>
                <w:szCs w:val="19"/>
                <w:lang w:val="en-US"/>
              </w:rPr>
              <w:t xml:space="preserve"> differs from the standard rate of corporation tax in the UK of 2</w:t>
            </w:r>
            <w:r w:rsidR="00C717C4">
              <w:rPr>
                <w:rFonts w:ascii="Arial" w:hAnsi="Arial" w:cs="Arial"/>
                <w:bCs/>
                <w:sz w:val="19"/>
                <w:szCs w:val="19"/>
                <w:lang w:val="en-US"/>
              </w:rPr>
              <w:t>1</w:t>
            </w:r>
            <w:r w:rsidR="00714A74" w:rsidRPr="005300DC">
              <w:rPr>
                <w:rFonts w:ascii="Arial" w:hAnsi="Arial" w:cs="Arial"/>
                <w:bCs/>
                <w:sz w:val="19"/>
                <w:szCs w:val="19"/>
                <w:lang w:val="en-US"/>
              </w:rPr>
              <w:t>.00%</w:t>
            </w:r>
          </w:p>
        </w:tc>
        <w:tc>
          <w:tcPr>
            <w:tcW w:w="284" w:type="dxa"/>
          </w:tcPr>
          <w:p w:rsidR="006D4766" w:rsidRPr="005300DC" w:rsidRDefault="006D4766" w:rsidP="003A1BD9">
            <w:pPr>
              <w:pStyle w:val="Tdec"/>
              <w:rPr>
                <w:rFonts w:ascii="Arial" w:hAnsi="Arial" w:cs="Arial"/>
                <w:sz w:val="19"/>
                <w:szCs w:val="19"/>
              </w:rPr>
            </w:pPr>
          </w:p>
        </w:tc>
        <w:tc>
          <w:tcPr>
            <w:tcW w:w="1106" w:type="dxa"/>
          </w:tcPr>
          <w:p w:rsidR="006D4766" w:rsidRPr="005300DC" w:rsidRDefault="006D4766" w:rsidP="003A1BD9">
            <w:pPr>
              <w:pStyle w:val="Tdec"/>
              <w:rPr>
                <w:rFonts w:ascii="Arial" w:hAnsi="Arial" w:cs="Arial"/>
                <w:sz w:val="19"/>
                <w:szCs w:val="19"/>
              </w:rPr>
            </w:pPr>
          </w:p>
        </w:tc>
        <w:tc>
          <w:tcPr>
            <w:tcW w:w="1134" w:type="dxa"/>
          </w:tcPr>
          <w:p w:rsidR="006D4766" w:rsidRPr="00BC2CD5" w:rsidRDefault="006D4766" w:rsidP="003A1BD9">
            <w:pPr>
              <w:pStyle w:val="Tdec"/>
              <w:rPr>
                <w:rFonts w:ascii="Arial" w:hAnsi="Arial" w:cs="Arial"/>
                <w:sz w:val="19"/>
                <w:szCs w:val="19"/>
              </w:rPr>
            </w:pPr>
          </w:p>
        </w:tc>
        <w:tc>
          <w:tcPr>
            <w:tcW w:w="1134" w:type="dxa"/>
          </w:tcPr>
          <w:p w:rsidR="006D4766" w:rsidRPr="00BB2A59" w:rsidRDefault="006D4766" w:rsidP="003A1BD9">
            <w:pPr>
              <w:pStyle w:val="Tdec"/>
              <w:rPr>
                <w:rFonts w:ascii="Arial" w:hAnsi="Arial" w:cs="Arial"/>
                <w:sz w:val="19"/>
                <w:szCs w:val="19"/>
              </w:rPr>
            </w:pPr>
          </w:p>
        </w:tc>
      </w:tr>
      <w:tr w:rsidR="00714A74" w:rsidRPr="00C46A29" w:rsidTr="00714A74">
        <w:trPr>
          <w:cantSplit/>
        </w:trPr>
        <w:tc>
          <w:tcPr>
            <w:tcW w:w="4962" w:type="dxa"/>
          </w:tcPr>
          <w:p w:rsidR="00714A74" w:rsidRPr="005300DC" w:rsidRDefault="00902A93" w:rsidP="003A1BD9">
            <w:pPr>
              <w:pStyle w:val="Tindent"/>
              <w:rPr>
                <w:rFonts w:ascii="Arial" w:hAnsi="Arial" w:cs="Arial"/>
                <w:sz w:val="19"/>
                <w:szCs w:val="19"/>
              </w:rPr>
            </w:pPr>
            <w:r w:rsidRPr="005300DC">
              <w:rPr>
                <w:rFonts w:ascii="Arial" w:hAnsi="Arial" w:cs="Arial"/>
                <w:sz w:val="19"/>
                <w:szCs w:val="19"/>
              </w:rPr>
              <w:t>Surplus/d</w:t>
            </w:r>
            <w:r w:rsidR="00F16068" w:rsidRPr="005300DC">
              <w:rPr>
                <w:rFonts w:ascii="Arial" w:hAnsi="Arial" w:cs="Arial"/>
                <w:sz w:val="19"/>
                <w:szCs w:val="19"/>
              </w:rPr>
              <w:t>eficit</w:t>
            </w:r>
            <w:r w:rsidR="00714A74" w:rsidRPr="005300DC">
              <w:rPr>
                <w:rFonts w:ascii="Arial" w:hAnsi="Arial" w:cs="Arial"/>
                <w:sz w:val="19"/>
                <w:szCs w:val="19"/>
              </w:rPr>
              <w:t xml:space="preserve"> on ordinary activities before tax</w:t>
            </w:r>
          </w:p>
        </w:tc>
        <w:tc>
          <w:tcPr>
            <w:tcW w:w="1162" w:type="dxa"/>
            <w:gridSpan w:val="3"/>
          </w:tcPr>
          <w:p w:rsidR="00714A74" w:rsidRPr="005300DC" w:rsidRDefault="00714A74" w:rsidP="003A1BD9">
            <w:pPr>
              <w:pStyle w:val="Tdec"/>
              <w:rPr>
                <w:rFonts w:ascii="Arial" w:hAnsi="Arial" w:cs="Arial"/>
                <w:sz w:val="19"/>
                <w:szCs w:val="19"/>
              </w:rPr>
            </w:pPr>
          </w:p>
        </w:tc>
        <w:tc>
          <w:tcPr>
            <w:tcW w:w="1106" w:type="dxa"/>
          </w:tcPr>
          <w:p w:rsidR="00714A74" w:rsidRPr="005300DC" w:rsidRDefault="00714A74" w:rsidP="003A1BD9">
            <w:pPr>
              <w:pStyle w:val="Tdec"/>
              <w:rPr>
                <w:rFonts w:ascii="Arial" w:hAnsi="Arial" w:cs="Arial"/>
                <w:sz w:val="19"/>
                <w:szCs w:val="19"/>
              </w:rPr>
            </w:pPr>
          </w:p>
        </w:tc>
        <w:tc>
          <w:tcPr>
            <w:tcW w:w="1134" w:type="dxa"/>
          </w:tcPr>
          <w:p w:rsidR="00714A74" w:rsidRPr="00BC2CD5" w:rsidRDefault="005300DC" w:rsidP="003A1BD9">
            <w:pPr>
              <w:pStyle w:val="Tdec"/>
              <w:rPr>
                <w:rFonts w:ascii="Arial" w:hAnsi="Arial" w:cs="Arial"/>
                <w:sz w:val="19"/>
                <w:szCs w:val="19"/>
              </w:rPr>
            </w:pPr>
            <w:r w:rsidRPr="00BC2CD5">
              <w:rPr>
                <w:rFonts w:ascii="Arial" w:hAnsi="Arial" w:cs="Arial"/>
                <w:sz w:val="19"/>
                <w:szCs w:val="19"/>
              </w:rPr>
              <w:t>1,</w:t>
            </w:r>
            <w:r w:rsidR="00BC2CD5" w:rsidRPr="00BC2CD5">
              <w:rPr>
                <w:rFonts w:ascii="Arial" w:hAnsi="Arial" w:cs="Arial"/>
                <w:sz w:val="19"/>
                <w:szCs w:val="19"/>
              </w:rPr>
              <w:t>712</w:t>
            </w:r>
          </w:p>
        </w:tc>
        <w:tc>
          <w:tcPr>
            <w:tcW w:w="1134" w:type="dxa"/>
          </w:tcPr>
          <w:p w:rsidR="00714A74" w:rsidRPr="00BB2A59" w:rsidRDefault="00BB2A59" w:rsidP="003A1BD9">
            <w:pPr>
              <w:pStyle w:val="Tdec"/>
              <w:rPr>
                <w:rFonts w:ascii="Arial" w:hAnsi="Arial" w:cs="Arial"/>
                <w:sz w:val="19"/>
                <w:szCs w:val="19"/>
              </w:rPr>
            </w:pPr>
            <w:r w:rsidRPr="00BB2A59">
              <w:rPr>
                <w:rFonts w:ascii="Arial" w:hAnsi="Arial" w:cs="Arial"/>
                <w:sz w:val="19"/>
                <w:szCs w:val="19"/>
              </w:rPr>
              <w:t>483</w:t>
            </w:r>
          </w:p>
        </w:tc>
      </w:tr>
      <w:tr w:rsidR="00714A74" w:rsidRPr="00C46A29" w:rsidTr="00714A74">
        <w:trPr>
          <w:cantSplit/>
        </w:trPr>
        <w:tc>
          <w:tcPr>
            <w:tcW w:w="4962" w:type="dxa"/>
          </w:tcPr>
          <w:p w:rsidR="00714A74" w:rsidRPr="005300DC" w:rsidRDefault="00714A74" w:rsidP="003A1BD9">
            <w:pPr>
              <w:pStyle w:val="Tindent"/>
              <w:rPr>
                <w:rFonts w:ascii="Arial" w:hAnsi="Arial" w:cs="Arial"/>
                <w:sz w:val="19"/>
                <w:szCs w:val="19"/>
              </w:rPr>
            </w:pPr>
          </w:p>
        </w:tc>
        <w:tc>
          <w:tcPr>
            <w:tcW w:w="1162" w:type="dxa"/>
            <w:gridSpan w:val="3"/>
          </w:tcPr>
          <w:p w:rsidR="00714A74" w:rsidRPr="005300DC" w:rsidRDefault="00714A74" w:rsidP="003A1BD9">
            <w:pPr>
              <w:pStyle w:val="Tdec"/>
              <w:rPr>
                <w:rFonts w:ascii="Arial" w:hAnsi="Arial" w:cs="Arial"/>
                <w:sz w:val="19"/>
                <w:szCs w:val="19"/>
              </w:rPr>
            </w:pPr>
          </w:p>
        </w:tc>
        <w:tc>
          <w:tcPr>
            <w:tcW w:w="1106" w:type="dxa"/>
          </w:tcPr>
          <w:p w:rsidR="00714A74" w:rsidRPr="005300DC" w:rsidRDefault="00714A74" w:rsidP="003A1BD9">
            <w:pPr>
              <w:pStyle w:val="Tdec"/>
              <w:rPr>
                <w:rFonts w:ascii="Arial" w:hAnsi="Arial" w:cs="Arial"/>
                <w:sz w:val="19"/>
                <w:szCs w:val="19"/>
              </w:rPr>
            </w:pPr>
          </w:p>
        </w:tc>
        <w:tc>
          <w:tcPr>
            <w:tcW w:w="1134" w:type="dxa"/>
          </w:tcPr>
          <w:p w:rsidR="00714A74" w:rsidRPr="00BC2CD5" w:rsidRDefault="00714A74" w:rsidP="003A1BD9">
            <w:pPr>
              <w:pStyle w:val="D9"/>
              <w:spacing w:line="240" w:lineRule="auto"/>
              <w:rPr>
                <w:rFonts w:ascii="Arial" w:hAnsi="Arial" w:cs="Arial"/>
                <w:sz w:val="19"/>
                <w:szCs w:val="19"/>
              </w:rPr>
            </w:pPr>
          </w:p>
        </w:tc>
        <w:tc>
          <w:tcPr>
            <w:tcW w:w="1134" w:type="dxa"/>
          </w:tcPr>
          <w:p w:rsidR="00714A74" w:rsidRPr="00BB2A59" w:rsidRDefault="00714A74" w:rsidP="003A1BD9">
            <w:pPr>
              <w:pStyle w:val="D9"/>
              <w:spacing w:line="240" w:lineRule="auto"/>
              <w:rPr>
                <w:rFonts w:ascii="Arial" w:hAnsi="Arial" w:cs="Arial"/>
                <w:sz w:val="19"/>
                <w:szCs w:val="19"/>
              </w:rPr>
            </w:pPr>
          </w:p>
        </w:tc>
      </w:tr>
      <w:tr w:rsidR="00714A74" w:rsidRPr="00C46A29" w:rsidTr="00714A74">
        <w:trPr>
          <w:cantSplit/>
        </w:trPr>
        <w:tc>
          <w:tcPr>
            <w:tcW w:w="4962" w:type="dxa"/>
          </w:tcPr>
          <w:p w:rsidR="00714A74" w:rsidRPr="005300DC" w:rsidRDefault="00714A74" w:rsidP="00C717C4">
            <w:pPr>
              <w:pStyle w:val="Tindent"/>
              <w:rPr>
                <w:rFonts w:ascii="Arial" w:hAnsi="Arial" w:cs="Arial"/>
                <w:sz w:val="19"/>
                <w:szCs w:val="19"/>
              </w:rPr>
            </w:pPr>
            <w:r w:rsidRPr="005300DC">
              <w:rPr>
                <w:rFonts w:ascii="Arial" w:hAnsi="Arial" w:cs="Arial"/>
                <w:sz w:val="19"/>
                <w:szCs w:val="19"/>
              </w:rPr>
              <w:t xml:space="preserve">Tax on </w:t>
            </w:r>
            <w:r w:rsidR="000C5A43" w:rsidRPr="005300DC">
              <w:rPr>
                <w:rFonts w:ascii="Arial" w:hAnsi="Arial" w:cs="Arial"/>
                <w:sz w:val="19"/>
                <w:szCs w:val="19"/>
              </w:rPr>
              <w:t>surplus/(</w:t>
            </w:r>
            <w:r w:rsidR="00F16068" w:rsidRPr="005300DC">
              <w:rPr>
                <w:rFonts w:ascii="Arial" w:hAnsi="Arial" w:cs="Arial"/>
                <w:sz w:val="19"/>
                <w:szCs w:val="19"/>
              </w:rPr>
              <w:t>deficit</w:t>
            </w:r>
            <w:r w:rsidR="000C5A43" w:rsidRPr="005300DC">
              <w:rPr>
                <w:rFonts w:ascii="Arial" w:hAnsi="Arial" w:cs="Arial"/>
                <w:sz w:val="19"/>
                <w:szCs w:val="19"/>
              </w:rPr>
              <w:t>)</w:t>
            </w:r>
            <w:r w:rsidRPr="005300DC">
              <w:rPr>
                <w:rFonts w:ascii="Arial" w:hAnsi="Arial" w:cs="Arial"/>
                <w:sz w:val="19"/>
                <w:szCs w:val="19"/>
              </w:rPr>
              <w:t xml:space="preserve"> at standard UK tax rate</w:t>
            </w:r>
            <w:r w:rsidR="009A51B6" w:rsidRPr="005300DC">
              <w:rPr>
                <w:rFonts w:ascii="Arial" w:hAnsi="Arial" w:cs="Arial"/>
                <w:sz w:val="19"/>
                <w:szCs w:val="19"/>
              </w:rPr>
              <w:t xml:space="preserve"> </w:t>
            </w:r>
            <w:r w:rsidR="00902A93" w:rsidRPr="005300DC">
              <w:rPr>
                <w:rFonts w:ascii="Arial" w:hAnsi="Arial" w:cs="Arial"/>
                <w:sz w:val="19"/>
                <w:szCs w:val="19"/>
              </w:rPr>
              <w:t>2</w:t>
            </w:r>
            <w:r w:rsidR="00C717C4">
              <w:rPr>
                <w:rFonts w:ascii="Arial" w:hAnsi="Arial" w:cs="Arial"/>
                <w:sz w:val="19"/>
                <w:szCs w:val="19"/>
              </w:rPr>
              <w:t>1</w:t>
            </w:r>
            <w:r w:rsidR="00455A55">
              <w:rPr>
                <w:rFonts w:ascii="Arial" w:hAnsi="Arial" w:cs="Arial"/>
                <w:sz w:val="19"/>
                <w:szCs w:val="19"/>
              </w:rPr>
              <w:t>% (2014:</w:t>
            </w:r>
            <w:r w:rsidR="005300DC" w:rsidRPr="005300DC">
              <w:rPr>
                <w:rFonts w:ascii="Arial" w:hAnsi="Arial" w:cs="Arial"/>
                <w:sz w:val="19"/>
                <w:szCs w:val="19"/>
              </w:rPr>
              <w:t xml:space="preserve"> 23</w:t>
            </w:r>
            <w:r w:rsidRPr="005300DC">
              <w:rPr>
                <w:rFonts w:ascii="Arial" w:hAnsi="Arial" w:cs="Arial"/>
                <w:sz w:val="19"/>
                <w:szCs w:val="19"/>
              </w:rPr>
              <w:t>%)</w:t>
            </w:r>
          </w:p>
        </w:tc>
        <w:tc>
          <w:tcPr>
            <w:tcW w:w="1162" w:type="dxa"/>
            <w:gridSpan w:val="3"/>
          </w:tcPr>
          <w:p w:rsidR="00714A74" w:rsidRPr="005300DC" w:rsidRDefault="00714A74" w:rsidP="003A1BD9">
            <w:pPr>
              <w:pStyle w:val="Tdec"/>
              <w:rPr>
                <w:rFonts w:ascii="Arial" w:hAnsi="Arial" w:cs="Arial"/>
                <w:sz w:val="19"/>
                <w:szCs w:val="19"/>
              </w:rPr>
            </w:pPr>
          </w:p>
        </w:tc>
        <w:tc>
          <w:tcPr>
            <w:tcW w:w="1106" w:type="dxa"/>
          </w:tcPr>
          <w:p w:rsidR="00714A74" w:rsidRPr="005300DC" w:rsidRDefault="00714A74" w:rsidP="003A1BD9">
            <w:pPr>
              <w:pStyle w:val="Tdec"/>
              <w:rPr>
                <w:rFonts w:ascii="Arial" w:hAnsi="Arial" w:cs="Arial"/>
                <w:sz w:val="19"/>
                <w:szCs w:val="19"/>
              </w:rPr>
            </w:pPr>
          </w:p>
        </w:tc>
        <w:tc>
          <w:tcPr>
            <w:tcW w:w="1134" w:type="dxa"/>
          </w:tcPr>
          <w:p w:rsidR="00714A74" w:rsidRPr="00BC2CD5" w:rsidRDefault="00714A74" w:rsidP="003A1BD9">
            <w:pPr>
              <w:pStyle w:val="Tdec"/>
              <w:rPr>
                <w:rFonts w:ascii="Arial" w:hAnsi="Arial" w:cs="Arial"/>
                <w:sz w:val="19"/>
                <w:szCs w:val="19"/>
              </w:rPr>
            </w:pPr>
          </w:p>
          <w:p w:rsidR="000C5A43" w:rsidRPr="00BC2CD5" w:rsidRDefault="005300DC" w:rsidP="00C717C4">
            <w:pPr>
              <w:pStyle w:val="Tdec"/>
              <w:rPr>
                <w:rFonts w:ascii="Arial" w:hAnsi="Arial" w:cs="Arial"/>
                <w:sz w:val="19"/>
                <w:szCs w:val="19"/>
              </w:rPr>
            </w:pPr>
            <w:r w:rsidRPr="00BC2CD5">
              <w:rPr>
                <w:rFonts w:ascii="Arial" w:hAnsi="Arial" w:cs="Arial"/>
                <w:sz w:val="19"/>
                <w:szCs w:val="19"/>
              </w:rPr>
              <w:t>3</w:t>
            </w:r>
            <w:r w:rsidR="00C717C4">
              <w:rPr>
                <w:rFonts w:ascii="Arial" w:hAnsi="Arial" w:cs="Arial"/>
                <w:sz w:val="19"/>
                <w:szCs w:val="19"/>
              </w:rPr>
              <w:t>60</w:t>
            </w:r>
          </w:p>
        </w:tc>
        <w:tc>
          <w:tcPr>
            <w:tcW w:w="1134" w:type="dxa"/>
          </w:tcPr>
          <w:p w:rsidR="00714A74" w:rsidRPr="00BB2A59" w:rsidRDefault="00714A74" w:rsidP="003A1BD9">
            <w:pPr>
              <w:pStyle w:val="Tdec"/>
              <w:rPr>
                <w:rFonts w:ascii="Arial" w:hAnsi="Arial" w:cs="Arial"/>
                <w:sz w:val="19"/>
                <w:szCs w:val="19"/>
              </w:rPr>
            </w:pPr>
          </w:p>
          <w:p w:rsidR="00714A74" w:rsidRPr="00BB2A59" w:rsidRDefault="00BB2A59" w:rsidP="003A1BD9">
            <w:pPr>
              <w:pStyle w:val="Tdec"/>
              <w:rPr>
                <w:rFonts w:ascii="Arial" w:hAnsi="Arial" w:cs="Arial"/>
                <w:sz w:val="19"/>
                <w:szCs w:val="19"/>
              </w:rPr>
            </w:pPr>
            <w:r w:rsidRPr="00BB2A59">
              <w:rPr>
                <w:rFonts w:ascii="Arial" w:hAnsi="Arial" w:cs="Arial"/>
                <w:sz w:val="19"/>
                <w:szCs w:val="19"/>
              </w:rPr>
              <w:t>111</w:t>
            </w:r>
          </w:p>
        </w:tc>
      </w:tr>
      <w:tr w:rsidR="00714A74" w:rsidRPr="00C46A29" w:rsidTr="00714A74">
        <w:trPr>
          <w:cantSplit/>
        </w:trPr>
        <w:tc>
          <w:tcPr>
            <w:tcW w:w="4962" w:type="dxa"/>
          </w:tcPr>
          <w:p w:rsidR="00714A74" w:rsidRPr="00C46A29" w:rsidRDefault="00714A74" w:rsidP="003A1BD9">
            <w:pPr>
              <w:pStyle w:val="Tindent"/>
              <w:rPr>
                <w:rFonts w:ascii="Arial" w:hAnsi="Arial" w:cs="Arial"/>
                <w:sz w:val="19"/>
                <w:szCs w:val="19"/>
                <w:highlight w:val="yellow"/>
              </w:rPr>
            </w:pPr>
          </w:p>
        </w:tc>
        <w:tc>
          <w:tcPr>
            <w:tcW w:w="1162" w:type="dxa"/>
            <w:gridSpan w:val="3"/>
          </w:tcPr>
          <w:p w:rsidR="00714A74" w:rsidRPr="00C46A29" w:rsidRDefault="00714A74" w:rsidP="003A1BD9">
            <w:pPr>
              <w:pStyle w:val="Tdec"/>
              <w:rPr>
                <w:rFonts w:ascii="Arial" w:hAnsi="Arial" w:cs="Arial"/>
                <w:sz w:val="19"/>
                <w:szCs w:val="19"/>
                <w:highlight w:val="yellow"/>
              </w:rPr>
            </w:pPr>
          </w:p>
        </w:tc>
        <w:tc>
          <w:tcPr>
            <w:tcW w:w="1106" w:type="dxa"/>
          </w:tcPr>
          <w:p w:rsidR="00714A74" w:rsidRPr="00C46A29" w:rsidRDefault="00714A74" w:rsidP="003A1BD9">
            <w:pPr>
              <w:pStyle w:val="Tdec"/>
              <w:rPr>
                <w:rFonts w:ascii="Arial" w:hAnsi="Arial" w:cs="Arial"/>
                <w:sz w:val="19"/>
                <w:szCs w:val="19"/>
                <w:highlight w:val="yellow"/>
              </w:rPr>
            </w:pPr>
          </w:p>
        </w:tc>
        <w:tc>
          <w:tcPr>
            <w:tcW w:w="1134" w:type="dxa"/>
          </w:tcPr>
          <w:p w:rsidR="00714A74" w:rsidRPr="00C46A29" w:rsidRDefault="00714A74" w:rsidP="003A1BD9">
            <w:pPr>
              <w:pStyle w:val="Tdec"/>
              <w:rPr>
                <w:rFonts w:ascii="Arial" w:hAnsi="Arial" w:cs="Arial"/>
                <w:sz w:val="19"/>
                <w:szCs w:val="19"/>
                <w:highlight w:val="yellow"/>
              </w:rPr>
            </w:pPr>
          </w:p>
        </w:tc>
        <w:tc>
          <w:tcPr>
            <w:tcW w:w="1134" w:type="dxa"/>
          </w:tcPr>
          <w:p w:rsidR="00714A74" w:rsidRPr="00BB2A59" w:rsidRDefault="00714A74" w:rsidP="003A1BD9">
            <w:pPr>
              <w:pStyle w:val="Tdec"/>
              <w:rPr>
                <w:rFonts w:ascii="Arial" w:hAnsi="Arial" w:cs="Arial"/>
                <w:sz w:val="19"/>
                <w:szCs w:val="19"/>
              </w:rPr>
            </w:pPr>
          </w:p>
        </w:tc>
      </w:tr>
      <w:tr w:rsidR="00714A74" w:rsidRPr="00C46A29" w:rsidTr="00714A74">
        <w:trPr>
          <w:cantSplit/>
        </w:trPr>
        <w:tc>
          <w:tcPr>
            <w:tcW w:w="4962" w:type="dxa"/>
          </w:tcPr>
          <w:p w:rsidR="00714A74" w:rsidRPr="00BB2A59" w:rsidRDefault="00714A74" w:rsidP="003A1BD9">
            <w:pPr>
              <w:pStyle w:val="Tindent"/>
              <w:rPr>
                <w:rFonts w:ascii="Arial" w:hAnsi="Arial" w:cs="Arial"/>
                <w:b/>
                <w:sz w:val="19"/>
                <w:szCs w:val="19"/>
              </w:rPr>
            </w:pPr>
            <w:r w:rsidRPr="00BB2A59">
              <w:rPr>
                <w:rFonts w:ascii="Arial" w:hAnsi="Arial" w:cs="Arial"/>
                <w:b/>
                <w:sz w:val="19"/>
                <w:szCs w:val="19"/>
              </w:rPr>
              <w:t>Effects of:</w:t>
            </w:r>
          </w:p>
        </w:tc>
        <w:tc>
          <w:tcPr>
            <w:tcW w:w="1162" w:type="dxa"/>
            <w:gridSpan w:val="3"/>
          </w:tcPr>
          <w:p w:rsidR="00714A74" w:rsidRPr="00C46A29" w:rsidRDefault="00714A74" w:rsidP="003A1BD9">
            <w:pPr>
              <w:pStyle w:val="Tdec"/>
              <w:rPr>
                <w:rFonts w:ascii="Arial" w:hAnsi="Arial" w:cs="Arial"/>
                <w:sz w:val="19"/>
                <w:szCs w:val="19"/>
                <w:highlight w:val="yellow"/>
              </w:rPr>
            </w:pPr>
          </w:p>
        </w:tc>
        <w:tc>
          <w:tcPr>
            <w:tcW w:w="1106" w:type="dxa"/>
          </w:tcPr>
          <w:p w:rsidR="00714A74" w:rsidRPr="00C46A29" w:rsidRDefault="00714A74" w:rsidP="003A1BD9">
            <w:pPr>
              <w:pStyle w:val="Tdec"/>
              <w:rPr>
                <w:rFonts w:ascii="Arial" w:hAnsi="Arial" w:cs="Arial"/>
                <w:sz w:val="19"/>
                <w:szCs w:val="19"/>
                <w:highlight w:val="yellow"/>
              </w:rPr>
            </w:pPr>
          </w:p>
        </w:tc>
        <w:tc>
          <w:tcPr>
            <w:tcW w:w="1134" w:type="dxa"/>
          </w:tcPr>
          <w:p w:rsidR="00714A74" w:rsidRPr="00C46A29" w:rsidRDefault="00714A74" w:rsidP="003A1BD9">
            <w:pPr>
              <w:pStyle w:val="Tdec"/>
              <w:rPr>
                <w:rFonts w:ascii="Arial" w:hAnsi="Arial" w:cs="Arial"/>
                <w:sz w:val="19"/>
                <w:szCs w:val="19"/>
                <w:highlight w:val="yellow"/>
              </w:rPr>
            </w:pPr>
          </w:p>
        </w:tc>
        <w:tc>
          <w:tcPr>
            <w:tcW w:w="1134" w:type="dxa"/>
          </w:tcPr>
          <w:p w:rsidR="00714A74" w:rsidRPr="00BB2A59" w:rsidRDefault="00714A74" w:rsidP="003A1BD9">
            <w:pPr>
              <w:pStyle w:val="Tdec"/>
              <w:rPr>
                <w:rFonts w:ascii="Arial" w:hAnsi="Arial" w:cs="Arial"/>
                <w:sz w:val="19"/>
                <w:szCs w:val="19"/>
              </w:rPr>
            </w:pPr>
          </w:p>
        </w:tc>
      </w:tr>
      <w:tr w:rsidR="009A51B6" w:rsidRPr="00C46A29" w:rsidTr="00714A74">
        <w:trPr>
          <w:cantSplit/>
        </w:trPr>
        <w:tc>
          <w:tcPr>
            <w:tcW w:w="4962" w:type="dxa"/>
          </w:tcPr>
          <w:p w:rsidR="009A51B6" w:rsidRPr="00BB2A59" w:rsidRDefault="009A51B6" w:rsidP="003A1BD9">
            <w:pPr>
              <w:pStyle w:val="Tindent"/>
              <w:rPr>
                <w:rFonts w:ascii="Arial" w:hAnsi="Arial" w:cs="Arial"/>
                <w:sz w:val="19"/>
                <w:szCs w:val="19"/>
              </w:rPr>
            </w:pPr>
            <w:r w:rsidRPr="00BB2A59">
              <w:rPr>
                <w:rFonts w:ascii="Arial" w:hAnsi="Arial" w:cs="Arial"/>
                <w:sz w:val="19"/>
                <w:szCs w:val="19"/>
              </w:rPr>
              <w:t>Income not taxable for tax purposes</w:t>
            </w:r>
          </w:p>
        </w:tc>
        <w:tc>
          <w:tcPr>
            <w:tcW w:w="1162" w:type="dxa"/>
            <w:gridSpan w:val="3"/>
          </w:tcPr>
          <w:p w:rsidR="009A51B6" w:rsidRPr="00C46A29" w:rsidRDefault="009A51B6" w:rsidP="003A1BD9">
            <w:pPr>
              <w:pStyle w:val="Tdec"/>
              <w:rPr>
                <w:rFonts w:ascii="Arial" w:hAnsi="Arial" w:cs="Arial"/>
                <w:sz w:val="19"/>
                <w:szCs w:val="19"/>
                <w:highlight w:val="yellow"/>
              </w:rPr>
            </w:pPr>
          </w:p>
        </w:tc>
        <w:tc>
          <w:tcPr>
            <w:tcW w:w="1106" w:type="dxa"/>
          </w:tcPr>
          <w:p w:rsidR="009A51B6" w:rsidRPr="00C46A29" w:rsidRDefault="009A51B6" w:rsidP="003A1BD9">
            <w:pPr>
              <w:pStyle w:val="Tdec"/>
              <w:rPr>
                <w:rFonts w:ascii="Arial" w:hAnsi="Arial" w:cs="Arial"/>
                <w:sz w:val="19"/>
                <w:szCs w:val="19"/>
                <w:highlight w:val="yellow"/>
              </w:rPr>
            </w:pPr>
          </w:p>
        </w:tc>
        <w:tc>
          <w:tcPr>
            <w:tcW w:w="1134" w:type="dxa"/>
          </w:tcPr>
          <w:p w:rsidR="009A51B6" w:rsidRPr="00C717C4" w:rsidRDefault="009A51B6" w:rsidP="00C717C4">
            <w:pPr>
              <w:pStyle w:val="Tdec"/>
              <w:rPr>
                <w:rFonts w:ascii="Arial" w:hAnsi="Arial" w:cs="Arial"/>
                <w:sz w:val="19"/>
                <w:szCs w:val="19"/>
              </w:rPr>
            </w:pPr>
            <w:r w:rsidRPr="00C717C4">
              <w:rPr>
                <w:rFonts w:ascii="Arial" w:hAnsi="Arial" w:cs="Arial"/>
                <w:sz w:val="19"/>
                <w:szCs w:val="19"/>
              </w:rPr>
              <w:t>(</w:t>
            </w:r>
            <w:r w:rsidR="00C717C4" w:rsidRPr="00C717C4">
              <w:rPr>
                <w:rFonts w:ascii="Arial" w:hAnsi="Arial" w:cs="Arial"/>
                <w:sz w:val="19"/>
                <w:szCs w:val="19"/>
              </w:rPr>
              <w:t>350</w:t>
            </w:r>
            <w:r w:rsidRPr="00C717C4">
              <w:rPr>
                <w:rFonts w:ascii="Arial" w:hAnsi="Arial" w:cs="Arial"/>
                <w:sz w:val="19"/>
                <w:szCs w:val="19"/>
              </w:rPr>
              <w:t>)</w:t>
            </w:r>
          </w:p>
        </w:tc>
        <w:tc>
          <w:tcPr>
            <w:tcW w:w="1134" w:type="dxa"/>
          </w:tcPr>
          <w:p w:rsidR="009A51B6" w:rsidRPr="00BB2A59" w:rsidRDefault="00BB2A59" w:rsidP="003A1BD9">
            <w:pPr>
              <w:pStyle w:val="Tdec"/>
              <w:rPr>
                <w:rFonts w:ascii="Arial" w:hAnsi="Arial" w:cs="Arial"/>
                <w:sz w:val="19"/>
                <w:szCs w:val="19"/>
              </w:rPr>
            </w:pPr>
            <w:r w:rsidRPr="00BB2A59">
              <w:rPr>
                <w:rFonts w:ascii="Arial" w:hAnsi="Arial" w:cs="Arial"/>
                <w:sz w:val="19"/>
                <w:szCs w:val="19"/>
              </w:rPr>
              <w:t>(115)</w:t>
            </w:r>
          </w:p>
        </w:tc>
      </w:tr>
      <w:tr w:rsidR="005F1CC2" w:rsidRPr="00C46A29" w:rsidTr="006D4766">
        <w:trPr>
          <w:cantSplit/>
        </w:trPr>
        <w:tc>
          <w:tcPr>
            <w:tcW w:w="4962" w:type="dxa"/>
          </w:tcPr>
          <w:p w:rsidR="005F1CC2" w:rsidRPr="00BB2A59" w:rsidRDefault="00714A74" w:rsidP="003A1BD9">
            <w:pPr>
              <w:pStyle w:val="Tindent"/>
              <w:rPr>
                <w:rFonts w:ascii="Arial" w:hAnsi="Arial" w:cs="Arial"/>
                <w:sz w:val="19"/>
                <w:szCs w:val="19"/>
              </w:rPr>
            </w:pPr>
            <w:r w:rsidRPr="00BB2A59">
              <w:rPr>
                <w:rFonts w:ascii="Arial" w:hAnsi="Arial" w:cs="Arial"/>
                <w:sz w:val="19"/>
                <w:szCs w:val="19"/>
              </w:rPr>
              <w:t>Expenses not deductible for tax purposes</w:t>
            </w:r>
          </w:p>
        </w:tc>
        <w:tc>
          <w:tcPr>
            <w:tcW w:w="1162" w:type="dxa"/>
            <w:gridSpan w:val="3"/>
          </w:tcPr>
          <w:p w:rsidR="005F1CC2" w:rsidRPr="00C46A29" w:rsidRDefault="005F1CC2" w:rsidP="003A1BD9">
            <w:pPr>
              <w:pStyle w:val="Tdec"/>
              <w:rPr>
                <w:rFonts w:ascii="Arial" w:hAnsi="Arial" w:cs="Arial"/>
                <w:sz w:val="19"/>
                <w:szCs w:val="19"/>
                <w:highlight w:val="yellow"/>
              </w:rPr>
            </w:pPr>
          </w:p>
        </w:tc>
        <w:tc>
          <w:tcPr>
            <w:tcW w:w="1106" w:type="dxa"/>
          </w:tcPr>
          <w:p w:rsidR="005F1CC2" w:rsidRPr="00C46A29" w:rsidRDefault="005F1CC2" w:rsidP="003A1BD9">
            <w:pPr>
              <w:pStyle w:val="Tdec"/>
              <w:rPr>
                <w:rFonts w:ascii="Arial" w:hAnsi="Arial" w:cs="Arial"/>
                <w:sz w:val="19"/>
                <w:szCs w:val="19"/>
                <w:highlight w:val="yellow"/>
              </w:rPr>
            </w:pPr>
          </w:p>
        </w:tc>
        <w:tc>
          <w:tcPr>
            <w:tcW w:w="1134" w:type="dxa"/>
          </w:tcPr>
          <w:p w:rsidR="005F1CC2" w:rsidRPr="00C717C4" w:rsidRDefault="00C717C4" w:rsidP="003A1BD9">
            <w:pPr>
              <w:pStyle w:val="Tdec"/>
              <w:rPr>
                <w:rFonts w:ascii="Arial" w:hAnsi="Arial" w:cs="Arial"/>
                <w:sz w:val="19"/>
                <w:szCs w:val="19"/>
              </w:rPr>
            </w:pPr>
            <w:r w:rsidRPr="00C717C4">
              <w:rPr>
                <w:rFonts w:ascii="Arial" w:hAnsi="Arial" w:cs="Arial"/>
                <w:sz w:val="19"/>
                <w:szCs w:val="19"/>
              </w:rPr>
              <w:t>34</w:t>
            </w:r>
          </w:p>
        </w:tc>
        <w:tc>
          <w:tcPr>
            <w:tcW w:w="1134" w:type="dxa"/>
          </w:tcPr>
          <w:p w:rsidR="005F1CC2" w:rsidRPr="00BB2A59" w:rsidRDefault="00BB2A59" w:rsidP="003A1BD9">
            <w:pPr>
              <w:pStyle w:val="Tdec"/>
              <w:rPr>
                <w:rFonts w:ascii="Arial" w:hAnsi="Arial" w:cs="Arial"/>
                <w:sz w:val="19"/>
                <w:szCs w:val="19"/>
              </w:rPr>
            </w:pPr>
            <w:r w:rsidRPr="00BB2A59">
              <w:rPr>
                <w:rFonts w:ascii="Arial" w:hAnsi="Arial" w:cs="Arial"/>
                <w:sz w:val="19"/>
                <w:szCs w:val="19"/>
              </w:rPr>
              <w:t>0</w:t>
            </w:r>
          </w:p>
        </w:tc>
      </w:tr>
      <w:tr w:rsidR="006D4766" w:rsidRPr="00C46A29" w:rsidTr="00714A74">
        <w:trPr>
          <w:cantSplit/>
        </w:trPr>
        <w:tc>
          <w:tcPr>
            <w:tcW w:w="5273" w:type="dxa"/>
            <w:gridSpan w:val="2"/>
          </w:tcPr>
          <w:p w:rsidR="006D4766" w:rsidRPr="00BB2A59" w:rsidRDefault="00714A74" w:rsidP="003A1BD9">
            <w:pPr>
              <w:pStyle w:val="Tindent"/>
              <w:rPr>
                <w:rFonts w:ascii="Arial" w:hAnsi="Arial" w:cs="Arial"/>
                <w:sz w:val="19"/>
                <w:szCs w:val="19"/>
              </w:rPr>
            </w:pPr>
            <w:r w:rsidRPr="00BB2A59">
              <w:rPr>
                <w:rFonts w:ascii="Arial" w:hAnsi="Arial" w:cs="Arial"/>
                <w:sz w:val="19"/>
                <w:szCs w:val="19"/>
              </w:rPr>
              <w:t>Capital allowances for period in excess of depreciation</w:t>
            </w:r>
          </w:p>
        </w:tc>
        <w:tc>
          <w:tcPr>
            <w:tcW w:w="851" w:type="dxa"/>
            <w:gridSpan w:val="2"/>
          </w:tcPr>
          <w:p w:rsidR="006D4766" w:rsidRPr="00C46A29" w:rsidRDefault="006D4766" w:rsidP="003A1BD9">
            <w:pPr>
              <w:pStyle w:val="Tdec"/>
              <w:rPr>
                <w:rFonts w:ascii="Arial" w:hAnsi="Arial" w:cs="Arial"/>
                <w:sz w:val="19"/>
                <w:szCs w:val="19"/>
                <w:highlight w:val="yellow"/>
              </w:rPr>
            </w:pPr>
          </w:p>
        </w:tc>
        <w:tc>
          <w:tcPr>
            <w:tcW w:w="1106"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717C4" w:rsidRDefault="00C717C4" w:rsidP="00C717C4">
            <w:pPr>
              <w:pStyle w:val="Tdec"/>
              <w:rPr>
                <w:rFonts w:ascii="Arial" w:hAnsi="Arial" w:cs="Arial"/>
                <w:sz w:val="19"/>
                <w:szCs w:val="19"/>
              </w:rPr>
            </w:pPr>
            <w:r w:rsidRPr="00C717C4">
              <w:rPr>
                <w:rFonts w:ascii="Arial" w:hAnsi="Arial" w:cs="Arial"/>
                <w:sz w:val="19"/>
                <w:szCs w:val="19"/>
              </w:rPr>
              <w:t>(6)</w:t>
            </w:r>
          </w:p>
        </w:tc>
        <w:tc>
          <w:tcPr>
            <w:tcW w:w="1134" w:type="dxa"/>
          </w:tcPr>
          <w:p w:rsidR="006D4766" w:rsidRPr="00BB2A59" w:rsidRDefault="00BB2A59" w:rsidP="003A1BD9">
            <w:pPr>
              <w:pStyle w:val="Tdec"/>
              <w:rPr>
                <w:rFonts w:ascii="Arial" w:hAnsi="Arial" w:cs="Arial"/>
                <w:sz w:val="19"/>
                <w:szCs w:val="19"/>
              </w:rPr>
            </w:pPr>
            <w:r w:rsidRPr="00BB2A59">
              <w:rPr>
                <w:rFonts w:ascii="Arial" w:hAnsi="Arial" w:cs="Arial"/>
                <w:sz w:val="19"/>
                <w:szCs w:val="19"/>
              </w:rPr>
              <w:t>3</w:t>
            </w:r>
          </w:p>
        </w:tc>
      </w:tr>
      <w:tr w:rsidR="006D4766" w:rsidRPr="00C46A29" w:rsidTr="006D4766">
        <w:trPr>
          <w:cantSplit/>
        </w:trPr>
        <w:tc>
          <w:tcPr>
            <w:tcW w:w="4962" w:type="dxa"/>
          </w:tcPr>
          <w:p w:rsidR="006D4766" w:rsidRPr="00BB2A59" w:rsidRDefault="00714A74" w:rsidP="003A1BD9">
            <w:pPr>
              <w:pStyle w:val="Tindent"/>
              <w:rPr>
                <w:rFonts w:ascii="Arial" w:hAnsi="Arial" w:cs="Arial"/>
                <w:sz w:val="19"/>
                <w:szCs w:val="19"/>
              </w:rPr>
            </w:pPr>
            <w:r w:rsidRPr="00BB2A59">
              <w:rPr>
                <w:rFonts w:ascii="Arial" w:hAnsi="Arial" w:cs="Arial"/>
                <w:sz w:val="19"/>
                <w:szCs w:val="19"/>
              </w:rPr>
              <w:t>Movement in short term timing differences</w:t>
            </w:r>
          </w:p>
        </w:tc>
        <w:tc>
          <w:tcPr>
            <w:tcW w:w="1162" w:type="dxa"/>
            <w:gridSpan w:val="3"/>
          </w:tcPr>
          <w:p w:rsidR="006D4766" w:rsidRPr="00C46A29" w:rsidRDefault="006D4766" w:rsidP="003A1BD9">
            <w:pPr>
              <w:pStyle w:val="Tdec"/>
              <w:rPr>
                <w:rFonts w:ascii="Arial" w:hAnsi="Arial" w:cs="Arial"/>
                <w:sz w:val="19"/>
                <w:szCs w:val="19"/>
                <w:highlight w:val="yellow"/>
              </w:rPr>
            </w:pPr>
          </w:p>
        </w:tc>
        <w:tc>
          <w:tcPr>
            <w:tcW w:w="1106"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717C4" w:rsidRDefault="00C717C4" w:rsidP="00C717C4">
            <w:pPr>
              <w:pStyle w:val="Tdec"/>
              <w:rPr>
                <w:rFonts w:ascii="Arial" w:hAnsi="Arial" w:cs="Arial"/>
                <w:sz w:val="19"/>
                <w:szCs w:val="19"/>
              </w:rPr>
            </w:pPr>
            <w:r w:rsidRPr="00C717C4">
              <w:rPr>
                <w:rFonts w:ascii="Arial" w:hAnsi="Arial" w:cs="Arial"/>
                <w:sz w:val="19"/>
                <w:szCs w:val="19"/>
              </w:rPr>
              <w:t>(5)</w:t>
            </w:r>
          </w:p>
        </w:tc>
        <w:tc>
          <w:tcPr>
            <w:tcW w:w="1134" w:type="dxa"/>
          </w:tcPr>
          <w:p w:rsidR="006D4766" w:rsidRPr="00BB2A59" w:rsidRDefault="00BB2A59" w:rsidP="003A1BD9">
            <w:pPr>
              <w:pStyle w:val="Tdec"/>
              <w:rPr>
                <w:rFonts w:ascii="Arial" w:hAnsi="Arial" w:cs="Arial"/>
                <w:sz w:val="19"/>
                <w:szCs w:val="19"/>
              </w:rPr>
            </w:pPr>
            <w:r w:rsidRPr="00BB2A59">
              <w:rPr>
                <w:rFonts w:ascii="Arial" w:hAnsi="Arial" w:cs="Arial"/>
                <w:sz w:val="19"/>
                <w:szCs w:val="19"/>
              </w:rPr>
              <w:t>18</w:t>
            </w:r>
          </w:p>
        </w:tc>
      </w:tr>
      <w:tr w:rsidR="006D4766" w:rsidRPr="00C46A29" w:rsidTr="00714A74">
        <w:trPr>
          <w:cantSplit/>
        </w:trPr>
        <w:tc>
          <w:tcPr>
            <w:tcW w:w="5273" w:type="dxa"/>
            <w:gridSpan w:val="2"/>
          </w:tcPr>
          <w:p w:rsidR="006D4766" w:rsidRPr="00BB2A59" w:rsidRDefault="00F16068" w:rsidP="00455A55">
            <w:pPr>
              <w:pStyle w:val="Tindent"/>
              <w:rPr>
                <w:rFonts w:ascii="Arial" w:hAnsi="Arial" w:cs="Arial"/>
                <w:sz w:val="19"/>
                <w:szCs w:val="19"/>
              </w:rPr>
            </w:pPr>
            <w:r w:rsidRPr="00BB2A59">
              <w:rPr>
                <w:rFonts w:ascii="Arial" w:hAnsi="Arial" w:cs="Arial"/>
                <w:sz w:val="19"/>
                <w:szCs w:val="19"/>
              </w:rPr>
              <w:t>Adjustments</w:t>
            </w:r>
            <w:r w:rsidR="00714A74" w:rsidRPr="00BB2A59">
              <w:rPr>
                <w:rFonts w:ascii="Arial" w:hAnsi="Arial" w:cs="Arial"/>
                <w:sz w:val="19"/>
                <w:szCs w:val="19"/>
              </w:rPr>
              <w:t xml:space="preserve"> to tax charge in respect of previous </w:t>
            </w:r>
            <w:r w:rsidR="00455A55">
              <w:rPr>
                <w:rFonts w:ascii="Arial" w:hAnsi="Arial" w:cs="Arial"/>
                <w:sz w:val="19"/>
                <w:szCs w:val="19"/>
              </w:rPr>
              <w:t>years</w:t>
            </w:r>
          </w:p>
        </w:tc>
        <w:tc>
          <w:tcPr>
            <w:tcW w:w="851" w:type="dxa"/>
            <w:gridSpan w:val="2"/>
          </w:tcPr>
          <w:p w:rsidR="006D4766" w:rsidRPr="00C46A29" w:rsidRDefault="006D4766" w:rsidP="003A1BD9">
            <w:pPr>
              <w:pStyle w:val="Tdec"/>
              <w:rPr>
                <w:rFonts w:ascii="Arial" w:hAnsi="Arial" w:cs="Arial"/>
                <w:sz w:val="19"/>
                <w:szCs w:val="19"/>
                <w:highlight w:val="yellow"/>
              </w:rPr>
            </w:pPr>
          </w:p>
        </w:tc>
        <w:tc>
          <w:tcPr>
            <w:tcW w:w="1106"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717C4" w:rsidRDefault="009A51B6" w:rsidP="003A1BD9">
            <w:pPr>
              <w:pStyle w:val="Tdec"/>
              <w:rPr>
                <w:rFonts w:ascii="Arial" w:hAnsi="Arial" w:cs="Arial"/>
                <w:sz w:val="19"/>
                <w:szCs w:val="19"/>
              </w:rPr>
            </w:pPr>
            <w:r w:rsidRPr="00C717C4">
              <w:rPr>
                <w:rFonts w:ascii="Arial" w:hAnsi="Arial" w:cs="Arial"/>
                <w:sz w:val="19"/>
                <w:szCs w:val="19"/>
              </w:rPr>
              <w:t>0</w:t>
            </w:r>
          </w:p>
        </w:tc>
        <w:tc>
          <w:tcPr>
            <w:tcW w:w="1134" w:type="dxa"/>
          </w:tcPr>
          <w:p w:rsidR="006D4766" w:rsidRPr="00BB2A59" w:rsidRDefault="00BB2A59" w:rsidP="003A1BD9">
            <w:pPr>
              <w:pStyle w:val="Tdec"/>
              <w:rPr>
                <w:rFonts w:ascii="Arial" w:hAnsi="Arial" w:cs="Arial"/>
                <w:sz w:val="19"/>
                <w:szCs w:val="19"/>
              </w:rPr>
            </w:pPr>
            <w:r w:rsidRPr="00BB2A59">
              <w:rPr>
                <w:rFonts w:ascii="Arial" w:hAnsi="Arial" w:cs="Arial"/>
                <w:sz w:val="19"/>
                <w:szCs w:val="19"/>
              </w:rPr>
              <w:t>0</w:t>
            </w:r>
          </w:p>
        </w:tc>
      </w:tr>
      <w:tr w:rsidR="00C30369" w:rsidRPr="00C46A29" w:rsidTr="006D4766">
        <w:trPr>
          <w:cantSplit/>
        </w:trPr>
        <w:tc>
          <w:tcPr>
            <w:tcW w:w="4962" w:type="dxa"/>
          </w:tcPr>
          <w:p w:rsidR="00C30369" w:rsidRPr="00BB2A59" w:rsidRDefault="00714A74" w:rsidP="003A1BD9">
            <w:pPr>
              <w:pStyle w:val="Tindent"/>
              <w:rPr>
                <w:rFonts w:ascii="Arial" w:hAnsi="Arial" w:cs="Arial"/>
                <w:sz w:val="19"/>
                <w:szCs w:val="19"/>
              </w:rPr>
            </w:pPr>
            <w:r w:rsidRPr="00BB2A59">
              <w:rPr>
                <w:rFonts w:ascii="Arial" w:hAnsi="Arial" w:cs="Arial"/>
                <w:sz w:val="19"/>
                <w:szCs w:val="19"/>
              </w:rPr>
              <w:t>Tax losses arising in the year – not recognised</w:t>
            </w:r>
          </w:p>
        </w:tc>
        <w:tc>
          <w:tcPr>
            <w:tcW w:w="1162" w:type="dxa"/>
            <w:gridSpan w:val="3"/>
          </w:tcPr>
          <w:p w:rsidR="00C30369" w:rsidRPr="00C46A29" w:rsidRDefault="00C30369" w:rsidP="003A1BD9">
            <w:pPr>
              <w:pStyle w:val="Tdec"/>
              <w:rPr>
                <w:rFonts w:ascii="Arial" w:hAnsi="Arial" w:cs="Arial"/>
                <w:sz w:val="19"/>
                <w:szCs w:val="19"/>
                <w:highlight w:val="yellow"/>
              </w:rPr>
            </w:pPr>
          </w:p>
        </w:tc>
        <w:tc>
          <w:tcPr>
            <w:tcW w:w="1106" w:type="dxa"/>
          </w:tcPr>
          <w:p w:rsidR="00C30369" w:rsidRPr="00C46A29" w:rsidRDefault="00C30369" w:rsidP="003A1BD9">
            <w:pPr>
              <w:pStyle w:val="Tdec"/>
              <w:rPr>
                <w:rFonts w:ascii="Arial" w:hAnsi="Arial" w:cs="Arial"/>
                <w:sz w:val="19"/>
                <w:szCs w:val="19"/>
                <w:highlight w:val="yellow"/>
              </w:rPr>
            </w:pPr>
          </w:p>
        </w:tc>
        <w:tc>
          <w:tcPr>
            <w:tcW w:w="1134" w:type="dxa"/>
          </w:tcPr>
          <w:p w:rsidR="00C30369" w:rsidRPr="00C717C4" w:rsidRDefault="009A51B6" w:rsidP="003A1BD9">
            <w:pPr>
              <w:pStyle w:val="Tdec"/>
              <w:rPr>
                <w:rFonts w:ascii="Arial" w:hAnsi="Arial" w:cs="Arial"/>
                <w:sz w:val="19"/>
                <w:szCs w:val="19"/>
              </w:rPr>
            </w:pPr>
            <w:r w:rsidRPr="00C717C4">
              <w:rPr>
                <w:rFonts w:ascii="Arial" w:hAnsi="Arial" w:cs="Arial"/>
                <w:sz w:val="19"/>
                <w:szCs w:val="19"/>
              </w:rPr>
              <w:t>0</w:t>
            </w:r>
          </w:p>
        </w:tc>
        <w:tc>
          <w:tcPr>
            <w:tcW w:w="1134" w:type="dxa"/>
          </w:tcPr>
          <w:p w:rsidR="00C30369" w:rsidRPr="00BB2A59" w:rsidRDefault="00BB2A59" w:rsidP="003A1BD9">
            <w:pPr>
              <w:pStyle w:val="Tdec"/>
              <w:rPr>
                <w:rFonts w:ascii="Arial" w:hAnsi="Arial" w:cs="Arial"/>
                <w:sz w:val="19"/>
                <w:szCs w:val="19"/>
              </w:rPr>
            </w:pPr>
            <w:r w:rsidRPr="00BB2A59">
              <w:rPr>
                <w:rFonts w:ascii="Arial" w:hAnsi="Arial" w:cs="Arial"/>
                <w:sz w:val="19"/>
                <w:szCs w:val="19"/>
              </w:rPr>
              <w:t>0</w:t>
            </w:r>
          </w:p>
        </w:tc>
      </w:tr>
      <w:tr w:rsidR="009A51B6" w:rsidRPr="00C46A29" w:rsidTr="006D4766">
        <w:trPr>
          <w:cantSplit/>
        </w:trPr>
        <w:tc>
          <w:tcPr>
            <w:tcW w:w="4962" w:type="dxa"/>
          </w:tcPr>
          <w:p w:rsidR="009A51B6" w:rsidRPr="00BB2A59" w:rsidRDefault="009A51B6" w:rsidP="003A1BD9">
            <w:pPr>
              <w:pStyle w:val="Tindent"/>
              <w:rPr>
                <w:rFonts w:ascii="Arial" w:hAnsi="Arial" w:cs="Arial"/>
                <w:sz w:val="19"/>
                <w:szCs w:val="19"/>
              </w:rPr>
            </w:pPr>
            <w:r w:rsidRPr="00BB2A59">
              <w:rPr>
                <w:rFonts w:ascii="Arial" w:hAnsi="Arial" w:cs="Arial"/>
                <w:sz w:val="19"/>
                <w:szCs w:val="19"/>
              </w:rPr>
              <w:t>Utilisation of tax losses</w:t>
            </w:r>
          </w:p>
        </w:tc>
        <w:tc>
          <w:tcPr>
            <w:tcW w:w="1162" w:type="dxa"/>
            <w:gridSpan w:val="3"/>
          </w:tcPr>
          <w:p w:rsidR="009A51B6" w:rsidRPr="00C46A29" w:rsidRDefault="009A51B6" w:rsidP="003A1BD9">
            <w:pPr>
              <w:pStyle w:val="Tdec"/>
              <w:rPr>
                <w:rFonts w:ascii="Arial" w:hAnsi="Arial" w:cs="Arial"/>
                <w:sz w:val="19"/>
                <w:szCs w:val="19"/>
                <w:highlight w:val="yellow"/>
              </w:rPr>
            </w:pPr>
          </w:p>
        </w:tc>
        <w:tc>
          <w:tcPr>
            <w:tcW w:w="1106" w:type="dxa"/>
          </w:tcPr>
          <w:p w:rsidR="009A51B6" w:rsidRPr="00C46A29" w:rsidRDefault="009A51B6" w:rsidP="003A1BD9">
            <w:pPr>
              <w:pStyle w:val="Tdec"/>
              <w:rPr>
                <w:rFonts w:ascii="Arial" w:hAnsi="Arial" w:cs="Arial"/>
                <w:sz w:val="19"/>
                <w:szCs w:val="19"/>
                <w:highlight w:val="yellow"/>
              </w:rPr>
            </w:pPr>
          </w:p>
        </w:tc>
        <w:tc>
          <w:tcPr>
            <w:tcW w:w="1134" w:type="dxa"/>
          </w:tcPr>
          <w:p w:rsidR="009A51B6" w:rsidRPr="00C717C4" w:rsidRDefault="009A51B6" w:rsidP="00C717C4">
            <w:pPr>
              <w:pStyle w:val="Tdec"/>
              <w:rPr>
                <w:rFonts w:ascii="Arial" w:hAnsi="Arial" w:cs="Arial"/>
                <w:sz w:val="19"/>
                <w:szCs w:val="19"/>
              </w:rPr>
            </w:pPr>
            <w:r w:rsidRPr="00C717C4">
              <w:rPr>
                <w:rFonts w:ascii="Arial" w:hAnsi="Arial" w:cs="Arial"/>
                <w:sz w:val="19"/>
                <w:szCs w:val="19"/>
              </w:rPr>
              <w:t>(</w:t>
            </w:r>
            <w:r w:rsidR="00C717C4" w:rsidRPr="00C717C4">
              <w:rPr>
                <w:rFonts w:ascii="Arial" w:hAnsi="Arial" w:cs="Arial"/>
                <w:sz w:val="19"/>
                <w:szCs w:val="19"/>
              </w:rPr>
              <w:t>33</w:t>
            </w:r>
            <w:r w:rsidRPr="00C717C4">
              <w:rPr>
                <w:rFonts w:ascii="Arial" w:hAnsi="Arial" w:cs="Arial"/>
                <w:sz w:val="19"/>
                <w:szCs w:val="19"/>
              </w:rPr>
              <w:t>)</w:t>
            </w:r>
          </w:p>
        </w:tc>
        <w:tc>
          <w:tcPr>
            <w:tcW w:w="1134" w:type="dxa"/>
          </w:tcPr>
          <w:p w:rsidR="009A51B6" w:rsidRPr="00BB2A59" w:rsidRDefault="00BB2A59" w:rsidP="003A1BD9">
            <w:pPr>
              <w:pStyle w:val="Tdec"/>
              <w:rPr>
                <w:rFonts w:ascii="Arial" w:hAnsi="Arial" w:cs="Arial"/>
                <w:sz w:val="19"/>
                <w:szCs w:val="19"/>
              </w:rPr>
            </w:pPr>
            <w:r w:rsidRPr="00BB2A59">
              <w:rPr>
                <w:rFonts w:ascii="Arial" w:hAnsi="Arial" w:cs="Arial"/>
                <w:sz w:val="19"/>
                <w:szCs w:val="19"/>
              </w:rPr>
              <w:t>(17)</w:t>
            </w:r>
          </w:p>
        </w:tc>
      </w:tr>
      <w:tr w:rsidR="00C30369" w:rsidRPr="00C46A29" w:rsidTr="006D4766">
        <w:trPr>
          <w:cantSplit/>
        </w:trPr>
        <w:tc>
          <w:tcPr>
            <w:tcW w:w="4962" w:type="dxa"/>
          </w:tcPr>
          <w:p w:rsidR="00C30369" w:rsidRPr="00BB2A59" w:rsidRDefault="00C30369" w:rsidP="003A1BD9">
            <w:pPr>
              <w:pStyle w:val="Tindent"/>
              <w:rPr>
                <w:rFonts w:ascii="Arial" w:hAnsi="Arial" w:cs="Arial"/>
                <w:sz w:val="19"/>
                <w:szCs w:val="19"/>
              </w:rPr>
            </w:pPr>
          </w:p>
        </w:tc>
        <w:tc>
          <w:tcPr>
            <w:tcW w:w="1162" w:type="dxa"/>
            <w:gridSpan w:val="3"/>
          </w:tcPr>
          <w:p w:rsidR="00C30369" w:rsidRPr="00C46A29" w:rsidRDefault="00C30369" w:rsidP="003A1BD9">
            <w:pPr>
              <w:pStyle w:val="Tdec"/>
              <w:rPr>
                <w:rFonts w:ascii="Arial" w:hAnsi="Arial" w:cs="Arial"/>
                <w:sz w:val="19"/>
                <w:szCs w:val="19"/>
                <w:highlight w:val="yellow"/>
              </w:rPr>
            </w:pPr>
          </w:p>
        </w:tc>
        <w:tc>
          <w:tcPr>
            <w:tcW w:w="1106" w:type="dxa"/>
          </w:tcPr>
          <w:p w:rsidR="00C30369" w:rsidRPr="00C46A29" w:rsidRDefault="00C30369" w:rsidP="003A1BD9">
            <w:pPr>
              <w:pStyle w:val="Tdec"/>
              <w:rPr>
                <w:rFonts w:ascii="Arial" w:hAnsi="Arial" w:cs="Arial"/>
                <w:sz w:val="19"/>
                <w:szCs w:val="19"/>
                <w:highlight w:val="yellow"/>
              </w:rPr>
            </w:pPr>
          </w:p>
        </w:tc>
        <w:tc>
          <w:tcPr>
            <w:tcW w:w="1134" w:type="dxa"/>
          </w:tcPr>
          <w:p w:rsidR="00C30369" w:rsidRPr="00C717C4" w:rsidRDefault="00C30369" w:rsidP="000C5A43">
            <w:pPr>
              <w:pStyle w:val="S9"/>
            </w:pPr>
          </w:p>
        </w:tc>
        <w:tc>
          <w:tcPr>
            <w:tcW w:w="1134" w:type="dxa"/>
          </w:tcPr>
          <w:p w:rsidR="00C30369" w:rsidRPr="00BB2A59" w:rsidRDefault="00C30369" w:rsidP="000C5A43">
            <w:pPr>
              <w:pStyle w:val="S9"/>
            </w:pPr>
          </w:p>
        </w:tc>
      </w:tr>
      <w:tr w:rsidR="006D4766" w:rsidRPr="00C46A29" w:rsidTr="006D4766">
        <w:trPr>
          <w:cantSplit/>
        </w:trPr>
        <w:tc>
          <w:tcPr>
            <w:tcW w:w="4962" w:type="dxa"/>
          </w:tcPr>
          <w:p w:rsidR="006D4766" w:rsidRPr="00BB2A59" w:rsidRDefault="00714A74" w:rsidP="003A1BD9">
            <w:pPr>
              <w:pStyle w:val="Tindent"/>
              <w:rPr>
                <w:rFonts w:ascii="Arial" w:hAnsi="Arial" w:cs="Arial"/>
                <w:b/>
                <w:sz w:val="19"/>
                <w:szCs w:val="19"/>
              </w:rPr>
            </w:pPr>
            <w:r w:rsidRPr="00BB2A59">
              <w:rPr>
                <w:rFonts w:ascii="Arial" w:hAnsi="Arial" w:cs="Arial"/>
                <w:b/>
                <w:sz w:val="19"/>
                <w:szCs w:val="19"/>
              </w:rPr>
              <w:t>Total current tax charge/(credit) for the year</w:t>
            </w:r>
          </w:p>
        </w:tc>
        <w:tc>
          <w:tcPr>
            <w:tcW w:w="1162" w:type="dxa"/>
            <w:gridSpan w:val="3"/>
          </w:tcPr>
          <w:p w:rsidR="006D4766" w:rsidRPr="00C46A29" w:rsidRDefault="006D4766" w:rsidP="003A1BD9">
            <w:pPr>
              <w:pStyle w:val="Tdec"/>
              <w:rPr>
                <w:rFonts w:ascii="Arial" w:hAnsi="Arial" w:cs="Arial"/>
                <w:sz w:val="19"/>
                <w:szCs w:val="19"/>
                <w:highlight w:val="yellow"/>
              </w:rPr>
            </w:pPr>
          </w:p>
        </w:tc>
        <w:tc>
          <w:tcPr>
            <w:tcW w:w="1106"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717C4" w:rsidRDefault="00C717C4" w:rsidP="00C717C4">
            <w:pPr>
              <w:pStyle w:val="Tdec"/>
              <w:rPr>
                <w:rFonts w:ascii="Arial" w:hAnsi="Arial" w:cs="Arial"/>
                <w:sz w:val="19"/>
                <w:szCs w:val="19"/>
              </w:rPr>
            </w:pPr>
            <w:r w:rsidRPr="00C717C4">
              <w:rPr>
                <w:rFonts w:ascii="Arial" w:hAnsi="Arial" w:cs="Arial"/>
                <w:sz w:val="19"/>
                <w:szCs w:val="19"/>
              </w:rPr>
              <w:t>0</w:t>
            </w:r>
          </w:p>
        </w:tc>
        <w:tc>
          <w:tcPr>
            <w:tcW w:w="1134" w:type="dxa"/>
          </w:tcPr>
          <w:p w:rsidR="006D4766" w:rsidRPr="00BB2A59" w:rsidRDefault="00BB2A59" w:rsidP="003A1BD9">
            <w:pPr>
              <w:pStyle w:val="Tdec"/>
              <w:rPr>
                <w:rFonts w:ascii="Arial" w:hAnsi="Arial" w:cs="Arial"/>
                <w:sz w:val="19"/>
                <w:szCs w:val="19"/>
              </w:rPr>
            </w:pPr>
            <w:r w:rsidRPr="00BB2A59">
              <w:rPr>
                <w:rFonts w:ascii="Arial" w:hAnsi="Arial" w:cs="Arial"/>
                <w:sz w:val="19"/>
                <w:szCs w:val="19"/>
              </w:rPr>
              <w:t>0</w:t>
            </w:r>
          </w:p>
        </w:tc>
      </w:tr>
      <w:tr w:rsidR="006D4766" w:rsidRPr="00C46A29" w:rsidTr="006D4766">
        <w:trPr>
          <w:cantSplit/>
        </w:trPr>
        <w:tc>
          <w:tcPr>
            <w:tcW w:w="4962" w:type="dxa"/>
          </w:tcPr>
          <w:p w:rsidR="006D4766" w:rsidRPr="00C46A29" w:rsidRDefault="006D4766" w:rsidP="003A1BD9">
            <w:pPr>
              <w:pStyle w:val="Tindent"/>
              <w:rPr>
                <w:rFonts w:ascii="Arial" w:hAnsi="Arial" w:cs="Arial"/>
                <w:sz w:val="19"/>
                <w:szCs w:val="19"/>
                <w:highlight w:val="yellow"/>
              </w:rPr>
            </w:pPr>
          </w:p>
        </w:tc>
        <w:tc>
          <w:tcPr>
            <w:tcW w:w="1162" w:type="dxa"/>
            <w:gridSpan w:val="3"/>
          </w:tcPr>
          <w:p w:rsidR="006D4766" w:rsidRPr="00C46A29" w:rsidRDefault="006D4766" w:rsidP="003A1BD9">
            <w:pPr>
              <w:pStyle w:val="Tdec"/>
              <w:rPr>
                <w:rFonts w:ascii="Arial" w:hAnsi="Arial" w:cs="Arial"/>
                <w:sz w:val="19"/>
                <w:szCs w:val="19"/>
                <w:highlight w:val="yellow"/>
              </w:rPr>
            </w:pPr>
          </w:p>
        </w:tc>
        <w:tc>
          <w:tcPr>
            <w:tcW w:w="1106"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D9"/>
              <w:spacing w:line="240" w:lineRule="auto"/>
              <w:rPr>
                <w:rFonts w:ascii="Arial" w:hAnsi="Arial" w:cs="Arial"/>
                <w:sz w:val="19"/>
                <w:szCs w:val="19"/>
                <w:highlight w:val="yellow"/>
              </w:rPr>
            </w:pPr>
          </w:p>
        </w:tc>
        <w:tc>
          <w:tcPr>
            <w:tcW w:w="1134" w:type="dxa"/>
          </w:tcPr>
          <w:p w:rsidR="006D4766" w:rsidRPr="00C46A29" w:rsidRDefault="006D4766" w:rsidP="003A1BD9">
            <w:pPr>
              <w:pStyle w:val="D9"/>
              <w:spacing w:line="240" w:lineRule="auto"/>
              <w:rPr>
                <w:rFonts w:ascii="Arial" w:hAnsi="Arial" w:cs="Arial"/>
                <w:sz w:val="19"/>
                <w:szCs w:val="19"/>
                <w:highlight w:val="yellow"/>
              </w:rPr>
            </w:pPr>
          </w:p>
        </w:tc>
      </w:tr>
    </w:tbl>
    <w:p w:rsidR="00714A74" w:rsidRPr="00C46A29" w:rsidRDefault="00714A74" w:rsidP="003A1BD9">
      <w:pPr>
        <w:spacing w:after="0"/>
        <w:jc w:val="left"/>
        <w:rPr>
          <w:rFonts w:ascii="Arial" w:hAnsi="Arial" w:cs="Arial"/>
          <w:sz w:val="19"/>
          <w:szCs w:val="19"/>
          <w:highlight w:val="yellow"/>
        </w:rPr>
      </w:pPr>
    </w:p>
    <w:p w:rsidR="001A0912" w:rsidRDefault="001A0912" w:rsidP="007E2B7C">
      <w:pPr>
        <w:rPr>
          <w:rFonts w:ascii="Arial" w:hAnsi="Arial" w:cs="Arial"/>
          <w:b/>
          <w:iCs/>
          <w:sz w:val="19"/>
          <w:szCs w:val="19"/>
        </w:rPr>
      </w:pPr>
      <w:r w:rsidRPr="001A0912">
        <w:rPr>
          <w:rFonts w:ascii="Arial" w:hAnsi="Arial" w:cs="Arial"/>
          <w:b/>
          <w:iCs/>
          <w:sz w:val="19"/>
          <w:szCs w:val="19"/>
        </w:rPr>
        <w:t>Factors affecting tax charge in</w:t>
      </w:r>
      <w:r>
        <w:rPr>
          <w:rFonts w:ascii="Arial" w:hAnsi="Arial" w:cs="Arial"/>
          <w:b/>
          <w:iCs/>
          <w:sz w:val="19"/>
          <w:szCs w:val="19"/>
        </w:rPr>
        <w:t xml:space="preserve"> </w:t>
      </w:r>
      <w:r w:rsidRPr="001A0912">
        <w:rPr>
          <w:rFonts w:ascii="Arial" w:hAnsi="Arial" w:cs="Arial"/>
          <w:b/>
          <w:iCs/>
          <w:sz w:val="19"/>
          <w:szCs w:val="19"/>
        </w:rPr>
        <w:t>fu</w:t>
      </w:r>
      <w:r>
        <w:rPr>
          <w:rFonts w:ascii="Arial" w:hAnsi="Arial" w:cs="Arial"/>
          <w:b/>
          <w:iCs/>
          <w:sz w:val="19"/>
          <w:szCs w:val="19"/>
        </w:rPr>
        <w:t>t</w:t>
      </w:r>
      <w:r w:rsidRPr="001A0912">
        <w:rPr>
          <w:rFonts w:ascii="Arial" w:hAnsi="Arial" w:cs="Arial"/>
          <w:b/>
          <w:iCs/>
          <w:sz w:val="19"/>
          <w:szCs w:val="19"/>
        </w:rPr>
        <w:t>ure years</w:t>
      </w:r>
    </w:p>
    <w:p w:rsidR="001A0912" w:rsidRDefault="001A0912" w:rsidP="007E2B7C">
      <w:pPr>
        <w:rPr>
          <w:rFonts w:ascii="Arial" w:hAnsi="Arial" w:cs="Arial"/>
          <w:iCs/>
          <w:sz w:val="19"/>
          <w:szCs w:val="19"/>
        </w:rPr>
      </w:pPr>
      <w:r w:rsidRPr="007D6587">
        <w:rPr>
          <w:rFonts w:ascii="Arial" w:hAnsi="Arial" w:cs="Arial"/>
          <w:iCs/>
          <w:sz w:val="19"/>
          <w:szCs w:val="19"/>
        </w:rPr>
        <w:t>The finance act 2014, which provides for a reduction in the main rate of UK corporation tax to 21% effective from 1 April 2015 and 20% from 1 April 2016, was enacted on 17 July 2014. As this legislation was substanti</w:t>
      </w:r>
      <w:r w:rsidR="007D6587">
        <w:rPr>
          <w:rFonts w:ascii="Arial" w:hAnsi="Arial" w:cs="Arial"/>
          <w:iCs/>
          <w:sz w:val="19"/>
          <w:szCs w:val="19"/>
        </w:rPr>
        <w:t>vely</w:t>
      </w:r>
      <w:r w:rsidRPr="007D6587">
        <w:rPr>
          <w:rFonts w:ascii="Arial" w:hAnsi="Arial" w:cs="Arial"/>
          <w:iCs/>
          <w:sz w:val="19"/>
          <w:szCs w:val="19"/>
        </w:rPr>
        <w:t xml:space="preserve"> enacted prior to the balance sheet date the closing deferred tax asset has been revalued at 20% at 31 March 2015.</w:t>
      </w:r>
    </w:p>
    <w:p w:rsidR="007D6587" w:rsidRPr="007D6587" w:rsidRDefault="007D6587" w:rsidP="007E2B7C">
      <w:pPr>
        <w:rPr>
          <w:rFonts w:ascii="Arial" w:hAnsi="Arial" w:cs="Arial"/>
          <w:iCs/>
          <w:sz w:val="19"/>
          <w:szCs w:val="19"/>
        </w:rPr>
      </w:pPr>
      <w:r>
        <w:rPr>
          <w:rFonts w:ascii="Arial" w:hAnsi="Arial" w:cs="Arial"/>
          <w:iCs/>
          <w:sz w:val="19"/>
          <w:szCs w:val="19"/>
        </w:rPr>
        <w:t>In the budget of 8 July 2015, the government announced further reductions in the main rate of corporation tax to 19% in 2017 and 18% in 2020.  Changes have not been substantively enacted.</w:t>
      </w:r>
    </w:p>
    <w:p w:rsidR="007E2B7C" w:rsidRPr="007E2B7C" w:rsidRDefault="007E2B7C" w:rsidP="007E2B7C">
      <w:pPr>
        <w:rPr>
          <w:rFonts w:ascii="Arial" w:hAnsi="Arial" w:cs="Arial"/>
          <w:iCs/>
          <w:sz w:val="19"/>
          <w:szCs w:val="19"/>
        </w:rPr>
      </w:pPr>
      <w:r w:rsidRPr="00C717C4">
        <w:rPr>
          <w:rFonts w:ascii="Arial" w:hAnsi="Arial" w:cs="Arial"/>
          <w:iCs/>
          <w:sz w:val="19"/>
          <w:szCs w:val="19"/>
        </w:rPr>
        <w:t>The Company has deferred tax a</w:t>
      </w:r>
      <w:r w:rsidR="00BB2A59" w:rsidRPr="00C717C4">
        <w:rPr>
          <w:rFonts w:ascii="Arial" w:hAnsi="Arial" w:cs="Arial"/>
          <w:iCs/>
          <w:sz w:val="19"/>
          <w:szCs w:val="19"/>
        </w:rPr>
        <w:t>ssets totalling £1,</w:t>
      </w:r>
      <w:r w:rsidR="00C717C4" w:rsidRPr="00C717C4">
        <w:rPr>
          <w:rFonts w:ascii="Arial" w:hAnsi="Arial" w:cs="Arial"/>
          <w:iCs/>
          <w:sz w:val="19"/>
          <w:szCs w:val="19"/>
        </w:rPr>
        <w:t>494</w:t>
      </w:r>
      <w:r w:rsidR="00BB2A59" w:rsidRPr="00C717C4">
        <w:rPr>
          <w:rFonts w:ascii="Arial" w:hAnsi="Arial" w:cs="Arial"/>
          <w:iCs/>
          <w:sz w:val="19"/>
          <w:szCs w:val="19"/>
        </w:rPr>
        <w:t>,</w:t>
      </w:r>
      <w:r w:rsidR="00C717C4" w:rsidRPr="00C717C4">
        <w:rPr>
          <w:rFonts w:ascii="Arial" w:hAnsi="Arial" w:cs="Arial"/>
          <w:iCs/>
          <w:sz w:val="19"/>
          <w:szCs w:val="19"/>
        </w:rPr>
        <w:t>519</w:t>
      </w:r>
      <w:r w:rsidR="00BB2A59" w:rsidRPr="00C717C4">
        <w:rPr>
          <w:rFonts w:ascii="Arial" w:hAnsi="Arial" w:cs="Arial"/>
          <w:iCs/>
          <w:sz w:val="19"/>
          <w:szCs w:val="19"/>
        </w:rPr>
        <w:t xml:space="preserve"> </w:t>
      </w:r>
      <w:r w:rsidR="00455A55" w:rsidRPr="00C717C4">
        <w:rPr>
          <w:rFonts w:ascii="Arial" w:hAnsi="Arial" w:cs="Arial"/>
          <w:iCs/>
          <w:sz w:val="19"/>
          <w:szCs w:val="19"/>
        </w:rPr>
        <w:t>(2014:</w:t>
      </w:r>
      <w:r w:rsidR="00BB2A59" w:rsidRPr="00C717C4">
        <w:rPr>
          <w:rFonts w:ascii="Arial" w:hAnsi="Arial" w:cs="Arial"/>
          <w:iCs/>
          <w:sz w:val="19"/>
          <w:szCs w:val="19"/>
        </w:rPr>
        <w:t xml:space="preserve"> £1,156,326</w:t>
      </w:r>
      <w:r w:rsidRPr="00C717C4">
        <w:rPr>
          <w:rFonts w:ascii="Arial" w:hAnsi="Arial" w:cs="Arial"/>
          <w:iCs/>
          <w:sz w:val="19"/>
          <w:szCs w:val="19"/>
        </w:rPr>
        <w:t>), which relate to tax losses and short term timing differences, that have not been recognised as available to offset against future trading profits.</w:t>
      </w:r>
    </w:p>
    <w:p w:rsidR="007E2B7C" w:rsidRPr="00070D17" w:rsidRDefault="007E2B7C" w:rsidP="003A1BD9">
      <w:pPr>
        <w:spacing w:after="0"/>
        <w:jc w:val="left"/>
        <w:rPr>
          <w:rFonts w:ascii="Arial" w:hAnsi="Arial" w:cs="Arial"/>
          <w:sz w:val="19"/>
          <w:szCs w:val="19"/>
        </w:rPr>
      </w:pPr>
    </w:p>
    <w:p w:rsidR="00C25094" w:rsidRPr="00070D17" w:rsidRDefault="00714A74" w:rsidP="003A1BD9">
      <w:pPr>
        <w:spacing w:after="0"/>
        <w:jc w:val="left"/>
        <w:rPr>
          <w:rFonts w:ascii="Arial" w:hAnsi="Arial" w:cs="Arial"/>
          <w:sz w:val="19"/>
          <w:szCs w:val="19"/>
        </w:rPr>
      </w:pPr>
      <w:r w:rsidRPr="00070D17">
        <w:rPr>
          <w:rFonts w:ascii="Arial" w:hAnsi="Arial" w:cs="Arial"/>
          <w:sz w:val="19"/>
          <w:szCs w:val="19"/>
        </w:rPr>
        <w:br w:type="page"/>
      </w:r>
    </w:p>
    <w:p w:rsidR="00B33A52" w:rsidRPr="005463BB" w:rsidRDefault="00E07F92" w:rsidP="00E07F92">
      <w:pPr>
        <w:pStyle w:val="Heading1"/>
        <w:numPr>
          <w:ilvl w:val="0"/>
          <w:numId w:val="33"/>
        </w:numPr>
        <w:spacing w:before="120"/>
        <w:ind w:left="567" w:hanging="567"/>
        <w:rPr>
          <w:rFonts w:ascii="Arial" w:hAnsi="Arial" w:cs="Arial"/>
          <w:sz w:val="24"/>
          <w:szCs w:val="19"/>
        </w:rPr>
      </w:pPr>
      <w:bookmarkStart w:id="17" w:name="_Toc390775323"/>
      <w:r w:rsidRPr="005463BB">
        <w:rPr>
          <w:rFonts w:ascii="Arial" w:hAnsi="Arial" w:cs="Arial"/>
          <w:caps w:val="0"/>
          <w:sz w:val="24"/>
          <w:szCs w:val="19"/>
        </w:rPr>
        <w:lastRenderedPageBreak/>
        <w:t>Tangible Fixed Assets</w:t>
      </w:r>
      <w:bookmarkEnd w:id="17"/>
    </w:p>
    <w:tbl>
      <w:tblPr>
        <w:tblW w:w="9481" w:type="dxa"/>
        <w:tblInd w:w="-1" w:type="dxa"/>
        <w:tblLayout w:type="fixed"/>
        <w:tblCellMar>
          <w:left w:w="28" w:type="dxa"/>
          <w:right w:w="28" w:type="dxa"/>
        </w:tblCellMar>
        <w:tblLook w:val="0000" w:firstRow="0" w:lastRow="0" w:firstColumn="0" w:lastColumn="0" w:noHBand="0" w:noVBand="0"/>
      </w:tblPr>
      <w:tblGrid>
        <w:gridCol w:w="2639"/>
        <w:gridCol w:w="84"/>
        <w:gridCol w:w="1417"/>
        <w:gridCol w:w="1418"/>
        <w:gridCol w:w="1417"/>
        <w:gridCol w:w="1418"/>
        <w:gridCol w:w="1088"/>
      </w:tblGrid>
      <w:tr w:rsidR="009C0988" w:rsidRPr="005463BB" w:rsidTr="00270CEB">
        <w:trPr>
          <w:cantSplit/>
        </w:trPr>
        <w:tc>
          <w:tcPr>
            <w:tcW w:w="2639" w:type="dxa"/>
          </w:tcPr>
          <w:p w:rsidR="009C0988" w:rsidRPr="005463BB" w:rsidRDefault="009C0988" w:rsidP="003A1BD9">
            <w:pPr>
              <w:pStyle w:val="Tindent"/>
              <w:rPr>
                <w:rFonts w:ascii="Arial" w:hAnsi="Arial" w:cs="Arial"/>
                <w:b/>
                <w:sz w:val="19"/>
                <w:szCs w:val="19"/>
              </w:rPr>
            </w:pPr>
          </w:p>
        </w:tc>
        <w:tc>
          <w:tcPr>
            <w:tcW w:w="84" w:type="dxa"/>
          </w:tcPr>
          <w:p w:rsidR="009C0988" w:rsidRPr="005463BB" w:rsidRDefault="009C0988" w:rsidP="003A1BD9">
            <w:pPr>
              <w:pStyle w:val="Thead"/>
              <w:rPr>
                <w:rFonts w:ascii="Arial" w:hAnsi="Arial" w:cs="Arial"/>
                <w:sz w:val="19"/>
                <w:szCs w:val="19"/>
              </w:rPr>
            </w:pPr>
          </w:p>
        </w:tc>
        <w:tc>
          <w:tcPr>
            <w:tcW w:w="1417" w:type="dxa"/>
          </w:tcPr>
          <w:p w:rsidR="009C0988" w:rsidRPr="005463BB" w:rsidRDefault="00172CC5" w:rsidP="003A1BD9">
            <w:pPr>
              <w:pStyle w:val="Thead"/>
              <w:rPr>
                <w:rFonts w:ascii="Arial" w:hAnsi="Arial" w:cs="Arial"/>
                <w:sz w:val="19"/>
                <w:szCs w:val="19"/>
              </w:rPr>
            </w:pPr>
            <w:r w:rsidRPr="005463BB">
              <w:rPr>
                <w:rFonts w:ascii="Arial" w:hAnsi="Arial" w:cs="Arial"/>
                <w:sz w:val="19"/>
                <w:szCs w:val="19"/>
              </w:rPr>
              <w:t xml:space="preserve">Freehold land and </w:t>
            </w:r>
            <w:r w:rsidR="00F16068" w:rsidRPr="005463BB">
              <w:rPr>
                <w:rFonts w:ascii="Arial" w:hAnsi="Arial" w:cs="Arial"/>
                <w:sz w:val="19"/>
                <w:szCs w:val="19"/>
              </w:rPr>
              <w:t>buildings</w:t>
            </w:r>
            <w:r w:rsidRPr="005463BB">
              <w:rPr>
                <w:rFonts w:ascii="Arial" w:hAnsi="Arial" w:cs="Arial"/>
                <w:sz w:val="19"/>
                <w:szCs w:val="19"/>
              </w:rPr>
              <w:t>*</w:t>
            </w:r>
          </w:p>
        </w:tc>
        <w:tc>
          <w:tcPr>
            <w:tcW w:w="1418" w:type="dxa"/>
          </w:tcPr>
          <w:p w:rsidR="009C0988" w:rsidRPr="005463BB" w:rsidRDefault="00172CC5" w:rsidP="003A1BD9">
            <w:pPr>
              <w:pStyle w:val="Thead"/>
              <w:rPr>
                <w:rFonts w:ascii="Arial" w:hAnsi="Arial" w:cs="Arial"/>
                <w:sz w:val="19"/>
                <w:szCs w:val="19"/>
              </w:rPr>
            </w:pPr>
            <w:r w:rsidRPr="005463BB">
              <w:rPr>
                <w:rFonts w:ascii="Arial" w:hAnsi="Arial" w:cs="Arial"/>
                <w:sz w:val="19"/>
                <w:szCs w:val="19"/>
              </w:rPr>
              <w:t>Assets under the course of cons</w:t>
            </w:r>
            <w:r w:rsidR="00270CEB" w:rsidRPr="005463BB">
              <w:rPr>
                <w:rFonts w:ascii="Arial" w:hAnsi="Arial" w:cs="Arial"/>
                <w:sz w:val="19"/>
                <w:szCs w:val="19"/>
              </w:rPr>
              <w:t>t’</w:t>
            </w:r>
            <w:r w:rsidRPr="005463BB">
              <w:rPr>
                <w:rFonts w:ascii="Arial" w:hAnsi="Arial" w:cs="Arial"/>
                <w:sz w:val="19"/>
                <w:szCs w:val="19"/>
              </w:rPr>
              <w:t>n</w:t>
            </w:r>
          </w:p>
        </w:tc>
        <w:tc>
          <w:tcPr>
            <w:tcW w:w="1417" w:type="dxa"/>
          </w:tcPr>
          <w:p w:rsidR="009C0988" w:rsidRPr="005463BB" w:rsidRDefault="00172CC5" w:rsidP="003A1BD9">
            <w:pPr>
              <w:pStyle w:val="Thead"/>
              <w:rPr>
                <w:rFonts w:ascii="Arial" w:hAnsi="Arial" w:cs="Arial"/>
                <w:sz w:val="19"/>
                <w:szCs w:val="19"/>
              </w:rPr>
            </w:pPr>
            <w:r w:rsidRPr="005463BB">
              <w:rPr>
                <w:rFonts w:ascii="Arial" w:hAnsi="Arial" w:cs="Arial"/>
                <w:sz w:val="19"/>
                <w:szCs w:val="19"/>
              </w:rPr>
              <w:t>Fixtures, fittings, tools and equipment</w:t>
            </w:r>
          </w:p>
        </w:tc>
        <w:tc>
          <w:tcPr>
            <w:tcW w:w="1418" w:type="dxa"/>
          </w:tcPr>
          <w:p w:rsidR="009C0988" w:rsidRPr="005463BB" w:rsidRDefault="009C0988" w:rsidP="003A1BD9">
            <w:pPr>
              <w:pStyle w:val="Thead"/>
              <w:rPr>
                <w:rFonts w:ascii="Arial" w:hAnsi="Arial" w:cs="Arial"/>
                <w:sz w:val="19"/>
                <w:szCs w:val="19"/>
              </w:rPr>
            </w:pPr>
          </w:p>
          <w:p w:rsidR="00172CC5" w:rsidRPr="005463BB" w:rsidRDefault="00172CC5" w:rsidP="003A1BD9">
            <w:pPr>
              <w:pStyle w:val="Thead"/>
              <w:rPr>
                <w:rFonts w:ascii="Arial" w:hAnsi="Arial" w:cs="Arial"/>
                <w:sz w:val="19"/>
                <w:szCs w:val="19"/>
              </w:rPr>
            </w:pPr>
          </w:p>
          <w:p w:rsidR="00172CC5" w:rsidRPr="005463BB" w:rsidRDefault="00172CC5" w:rsidP="003A1BD9">
            <w:pPr>
              <w:pStyle w:val="Thead"/>
              <w:rPr>
                <w:rFonts w:ascii="Arial" w:hAnsi="Arial" w:cs="Arial"/>
                <w:sz w:val="19"/>
                <w:szCs w:val="19"/>
              </w:rPr>
            </w:pPr>
          </w:p>
          <w:p w:rsidR="00172CC5" w:rsidRPr="005463BB" w:rsidRDefault="00172CC5" w:rsidP="003A1BD9">
            <w:pPr>
              <w:pStyle w:val="Thead"/>
              <w:rPr>
                <w:rFonts w:ascii="Arial" w:hAnsi="Arial" w:cs="Arial"/>
                <w:sz w:val="19"/>
                <w:szCs w:val="19"/>
              </w:rPr>
            </w:pPr>
            <w:r w:rsidRPr="005463BB">
              <w:rPr>
                <w:rFonts w:ascii="Arial" w:hAnsi="Arial" w:cs="Arial"/>
                <w:sz w:val="19"/>
                <w:szCs w:val="19"/>
              </w:rPr>
              <w:t>Software</w:t>
            </w:r>
          </w:p>
        </w:tc>
        <w:tc>
          <w:tcPr>
            <w:tcW w:w="1088" w:type="dxa"/>
          </w:tcPr>
          <w:p w:rsidR="009C0988" w:rsidRPr="005463BB" w:rsidRDefault="009C0988" w:rsidP="003A1BD9">
            <w:pPr>
              <w:pStyle w:val="Thead"/>
              <w:rPr>
                <w:rFonts w:ascii="Arial" w:hAnsi="Arial" w:cs="Arial"/>
                <w:sz w:val="19"/>
                <w:szCs w:val="19"/>
              </w:rPr>
            </w:pPr>
          </w:p>
          <w:p w:rsidR="00172CC5" w:rsidRPr="005463BB" w:rsidRDefault="00172CC5" w:rsidP="003A1BD9">
            <w:pPr>
              <w:pStyle w:val="Thead"/>
              <w:rPr>
                <w:rFonts w:ascii="Arial" w:hAnsi="Arial" w:cs="Arial"/>
                <w:sz w:val="19"/>
                <w:szCs w:val="19"/>
              </w:rPr>
            </w:pPr>
          </w:p>
          <w:p w:rsidR="00172CC5" w:rsidRPr="005463BB" w:rsidRDefault="00172CC5" w:rsidP="003A1BD9">
            <w:pPr>
              <w:pStyle w:val="Thead"/>
              <w:rPr>
                <w:rFonts w:ascii="Arial" w:hAnsi="Arial" w:cs="Arial"/>
                <w:sz w:val="19"/>
                <w:szCs w:val="19"/>
              </w:rPr>
            </w:pPr>
          </w:p>
          <w:p w:rsidR="00172CC5" w:rsidRPr="005463BB" w:rsidRDefault="00172CC5" w:rsidP="003A1BD9">
            <w:pPr>
              <w:pStyle w:val="Thead"/>
              <w:rPr>
                <w:rFonts w:ascii="Arial" w:hAnsi="Arial" w:cs="Arial"/>
                <w:sz w:val="19"/>
                <w:szCs w:val="19"/>
              </w:rPr>
            </w:pPr>
            <w:r w:rsidRPr="005463BB">
              <w:rPr>
                <w:rFonts w:ascii="Arial" w:hAnsi="Arial" w:cs="Arial"/>
                <w:sz w:val="19"/>
                <w:szCs w:val="19"/>
              </w:rPr>
              <w:t>Total</w:t>
            </w:r>
          </w:p>
        </w:tc>
      </w:tr>
      <w:tr w:rsidR="009C0988" w:rsidRPr="005463BB" w:rsidTr="00270CEB">
        <w:trPr>
          <w:cantSplit/>
        </w:trPr>
        <w:tc>
          <w:tcPr>
            <w:tcW w:w="2639" w:type="dxa"/>
          </w:tcPr>
          <w:p w:rsidR="009C0988" w:rsidRPr="005463BB" w:rsidRDefault="009C0988" w:rsidP="003A1BD9">
            <w:pPr>
              <w:pStyle w:val="Tindent"/>
              <w:rPr>
                <w:rFonts w:ascii="Arial" w:hAnsi="Arial" w:cs="Arial"/>
                <w:sz w:val="19"/>
                <w:szCs w:val="19"/>
              </w:rPr>
            </w:pPr>
          </w:p>
        </w:tc>
        <w:tc>
          <w:tcPr>
            <w:tcW w:w="84" w:type="dxa"/>
          </w:tcPr>
          <w:p w:rsidR="009C0988" w:rsidRPr="005463BB" w:rsidRDefault="009C0988" w:rsidP="003A1BD9">
            <w:pPr>
              <w:pStyle w:val="Thead"/>
              <w:rPr>
                <w:rFonts w:ascii="Arial" w:hAnsi="Arial" w:cs="Arial"/>
                <w:sz w:val="19"/>
                <w:szCs w:val="19"/>
              </w:rPr>
            </w:pPr>
          </w:p>
        </w:tc>
        <w:tc>
          <w:tcPr>
            <w:tcW w:w="1417" w:type="dxa"/>
          </w:tcPr>
          <w:p w:rsidR="009C0988" w:rsidRPr="005463BB" w:rsidRDefault="00FB7342" w:rsidP="003A1BD9">
            <w:pPr>
              <w:pStyle w:val="Thead"/>
              <w:rPr>
                <w:rFonts w:ascii="Arial" w:hAnsi="Arial" w:cs="Arial"/>
                <w:sz w:val="19"/>
                <w:szCs w:val="19"/>
              </w:rPr>
            </w:pPr>
            <w:r w:rsidRPr="005463BB">
              <w:rPr>
                <w:rFonts w:ascii="Arial" w:hAnsi="Arial" w:cs="Arial"/>
                <w:sz w:val="19"/>
                <w:szCs w:val="19"/>
              </w:rPr>
              <w:t>£</w:t>
            </w:r>
            <w:r w:rsidR="00172CC5" w:rsidRPr="005463BB">
              <w:rPr>
                <w:rFonts w:ascii="Arial" w:hAnsi="Arial" w:cs="Arial"/>
                <w:sz w:val="19"/>
                <w:szCs w:val="19"/>
              </w:rPr>
              <w:t>000</w:t>
            </w:r>
          </w:p>
        </w:tc>
        <w:tc>
          <w:tcPr>
            <w:tcW w:w="1418" w:type="dxa"/>
          </w:tcPr>
          <w:p w:rsidR="009C0988" w:rsidRPr="005463BB" w:rsidRDefault="00172CC5" w:rsidP="003A1BD9">
            <w:pPr>
              <w:pStyle w:val="Thead"/>
              <w:rPr>
                <w:rFonts w:ascii="Arial" w:hAnsi="Arial" w:cs="Arial"/>
                <w:sz w:val="19"/>
                <w:szCs w:val="19"/>
              </w:rPr>
            </w:pPr>
            <w:r w:rsidRPr="005463BB">
              <w:rPr>
                <w:rFonts w:ascii="Arial" w:hAnsi="Arial" w:cs="Arial"/>
                <w:sz w:val="19"/>
                <w:szCs w:val="19"/>
              </w:rPr>
              <w:t>£000</w:t>
            </w:r>
          </w:p>
        </w:tc>
        <w:tc>
          <w:tcPr>
            <w:tcW w:w="1417" w:type="dxa"/>
          </w:tcPr>
          <w:p w:rsidR="009C0988" w:rsidRPr="005463BB" w:rsidRDefault="00172CC5" w:rsidP="003A1BD9">
            <w:pPr>
              <w:pStyle w:val="Thead"/>
              <w:rPr>
                <w:rFonts w:ascii="Arial" w:hAnsi="Arial" w:cs="Arial"/>
                <w:sz w:val="19"/>
                <w:szCs w:val="19"/>
              </w:rPr>
            </w:pPr>
            <w:r w:rsidRPr="005463BB">
              <w:rPr>
                <w:rFonts w:ascii="Arial" w:hAnsi="Arial" w:cs="Arial"/>
                <w:sz w:val="19"/>
                <w:szCs w:val="19"/>
              </w:rPr>
              <w:t>£000</w:t>
            </w:r>
          </w:p>
        </w:tc>
        <w:tc>
          <w:tcPr>
            <w:tcW w:w="1418" w:type="dxa"/>
          </w:tcPr>
          <w:p w:rsidR="009C0988" w:rsidRPr="005463BB" w:rsidRDefault="00172CC5" w:rsidP="003A1BD9">
            <w:pPr>
              <w:pStyle w:val="Thead"/>
              <w:rPr>
                <w:rFonts w:ascii="Arial" w:hAnsi="Arial" w:cs="Arial"/>
                <w:sz w:val="19"/>
                <w:szCs w:val="19"/>
              </w:rPr>
            </w:pPr>
            <w:r w:rsidRPr="005463BB">
              <w:rPr>
                <w:rFonts w:ascii="Arial" w:hAnsi="Arial" w:cs="Arial"/>
                <w:sz w:val="19"/>
                <w:szCs w:val="19"/>
              </w:rPr>
              <w:t>£000</w:t>
            </w:r>
          </w:p>
        </w:tc>
        <w:tc>
          <w:tcPr>
            <w:tcW w:w="1088" w:type="dxa"/>
          </w:tcPr>
          <w:p w:rsidR="009C0988" w:rsidRPr="005463BB" w:rsidRDefault="00172CC5" w:rsidP="003A1BD9">
            <w:pPr>
              <w:pStyle w:val="Thead"/>
              <w:rPr>
                <w:rFonts w:ascii="Arial" w:hAnsi="Arial" w:cs="Arial"/>
                <w:sz w:val="19"/>
                <w:szCs w:val="19"/>
              </w:rPr>
            </w:pPr>
            <w:r w:rsidRPr="005463BB">
              <w:rPr>
                <w:rFonts w:ascii="Arial" w:hAnsi="Arial" w:cs="Arial"/>
                <w:sz w:val="19"/>
                <w:szCs w:val="19"/>
              </w:rPr>
              <w:t>£000</w:t>
            </w:r>
          </w:p>
        </w:tc>
      </w:tr>
      <w:tr w:rsidR="009C0988" w:rsidRPr="005463BB" w:rsidTr="00270CEB">
        <w:tblPrEx>
          <w:tblCellMar>
            <w:left w:w="29" w:type="dxa"/>
            <w:right w:w="29" w:type="dxa"/>
          </w:tblCellMar>
        </w:tblPrEx>
        <w:trPr>
          <w:cantSplit/>
        </w:trPr>
        <w:tc>
          <w:tcPr>
            <w:tcW w:w="2639" w:type="dxa"/>
          </w:tcPr>
          <w:p w:rsidR="009C0988" w:rsidRPr="005463BB" w:rsidRDefault="009C0988" w:rsidP="003A1BD9">
            <w:pPr>
              <w:pStyle w:val="Tindent"/>
              <w:rPr>
                <w:rFonts w:ascii="Arial" w:hAnsi="Arial" w:cs="Arial"/>
                <w:b/>
                <w:sz w:val="19"/>
                <w:szCs w:val="19"/>
              </w:rPr>
            </w:pPr>
            <w:r w:rsidRPr="005463BB">
              <w:rPr>
                <w:rFonts w:ascii="Arial" w:hAnsi="Arial" w:cs="Arial"/>
                <w:b/>
                <w:sz w:val="19"/>
                <w:szCs w:val="19"/>
              </w:rPr>
              <w:t xml:space="preserve">Cost </w:t>
            </w:r>
          </w:p>
        </w:tc>
        <w:tc>
          <w:tcPr>
            <w:tcW w:w="84" w:type="dxa"/>
          </w:tcPr>
          <w:p w:rsidR="009C0988" w:rsidRPr="005463BB" w:rsidRDefault="009C0988" w:rsidP="003A1BD9">
            <w:pPr>
              <w:pStyle w:val="Tdec"/>
              <w:rPr>
                <w:rFonts w:ascii="Arial" w:hAnsi="Arial" w:cs="Arial"/>
                <w:sz w:val="19"/>
                <w:szCs w:val="19"/>
              </w:rPr>
            </w:pPr>
          </w:p>
        </w:tc>
        <w:tc>
          <w:tcPr>
            <w:tcW w:w="1417" w:type="dxa"/>
          </w:tcPr>
          <w:p w:rsidR="009C0988" w:rsidRPr="005463BB" w:rsidRDefault="009C0988" w:rsidP="003A1BD9">
            <w:pPr>
              <w:pStyle w:val="Tdec"/>
              <w:rPr>
                <w:rFonts w:ascii="Arial" w:hAnsi="Arial" w:cs="Arial"/>
                <w:sz w:val="19"/>
                <w:szCs w:val="19"/>
              </w:rPr>
            </w:pPr>
          </w:p>
        </w:tc>
        <w:tc>
          <w:tcPr>
            <w:tcW w:w="1418" w:type="dxa"/>
          </w:tcPr>
          <w:p w:rsidR="009C0988" w:rsidRPr="005463BB" w:rsidRDefault="009C0988" w:rsidP="003A1BD9">
            <w:pPr>
              <w:pStyle w:val="Tdec"/>
              <w:rPr>
                <w:rFonts w:ascii="Arial" w:hAnsi="Arial" w:cs="Arial"/>
                <w:sz w:val="19"/>
                <w:szCs w:val="19"/>
              </w:rPr>
            </w:pPr>
          </w:p>
        </w:tc>
        <w:tc>
          <w:tcPr>
            <w:tcW w:w="1417" w:type="dxa"/>
          </w:tcPr>
          <w:p w:rsidR="009C0988" w:rsidRPr="005463BB" w:rsidRDefault="009C0988" w:rsidP="003A1BD9">
            <w:pPr>
              <w:pStyle w:val="Tdec"/>
              <w:rPr>
                <w:rFonts w:ascii="Arial" w:hAnsi="Arial" w:cs="Arial"/>
                <w:sz w:val="19"/>
                <w:szCs w:val="19"/>
              </w:rPr>
            </w:pPr>
          </w:p>
        </w:tc>
        <w:tc>
          <w:tcPr>
            <w:tcW w:w="1418" w:type="dxa"/>
          </w:tcPr>
          <w:p w:rsidR="009C0988" w:rsidRPr="005463BB" w:rsidRDefault="009C0988" w:rsidP="003A1BD9">
            <w:pPr>
              <w:pStyle w:val="Tdec"/>
              <w:rPr>
                <w:rFonts w:ascii="Arial" w:hAnsi="Arial" w:cs="Arial"/>
                <w:sz w:val="19"/>
                <w:szCs w:val="19"/>
              </w:rPr>
            </w:pPr>
          </w:p>
        </w:tc>
        <w:tc>
          <w:tcPr>
            <w:tcW w:w="1088" w:type="dxa"/>
          </w:tcPr>
          <w:p w:rsidR="009C0988" w:rsidRPr="005463BB" w:rsidRDefault="009C0988" w:rsidP="003A1BD9">
            <w:pPr>
              <w:pStyle w:val="Tdec"/>
              <w:rPr>
                <w:rFonts w:ascii="Arial" w:hAnsi="Arial" w:cs="Arial"/>
                <w:sz w:val="19"/>
                <w:szCs w:val="19"/>
              </w:rPr>
            </w:pPr>
          </w:p>
        </w:tc>
      </w:tr>
      <w:tr w:rsidR="00FB7342" w:rsidRPr="005463BB" w:rsidTr="00270CEB">
        <w:trPr>
          <w:cantSplit/>
        </w:trPr>
        <w:tc>
          <w:tcPr>
            <w:tcW w:w="2639" w:type="dxa"/>
          </w:tcPr>
          <w:p w:rsidR="00FB7342" w:rsidRPr="005463BB" w:rsidRDefault="00FB7342" w:rsidP="003A1BD9">
            <w:pPr>
              <w:pStyle w:val="Tindent"/>
              <w:rPr>
                <w:rFonts w:ascii="Arial" w:hAnsi="Arial" w:cs="Arial"/>
                <w:sz w:val="19"/>
                <w:szCs w:val="19"/>
              </w:rPr>
            </w:pPr>
            <w:r w:rsidRPr="005463BB">
              <w:rPr>
                <w:rFonts w:ascii="Arial" w:hAnsi="Arial" w:cs="Arial"/>
                <w:sz w:val="19"/>
                <w:szCs w:val="19"/>
              </w:rPr>
              <w:t xml:space="preserve">At 1 </w:t>
            </w:r>
            <w:r w:rsidR="00172CC5" w:rsidRPr="005463BB">
              <w:rPr>
                <w:rFonts w:ascii="Arial" w:hAnsi="Arial" w:cs="Arial"/>
                <w:sz w:val="19"/>
                <w:szCs w:val="19"/>
              </w:rPr>
              <w:t>April 201</w:t>
            </w:r>
            <w:r w:rsidR="005463BB" w:rsidRPr="005463BB">
              <w:rPr>
                <w:rFonts w:ascii="Arial" w:hAnsi="Arial" w:cs="Arial"/>
                <w:sz w:val="19"/>
                <w:szCs w:val="19"/>
              </w:rPr>
              <w:t>4</w:t>
            </w:r>
          </w:p>
        </w:tc>
        <w:tc>
          <w:tcPr>
            <w:tcW w:w="84" w:type="dxa"/>
          </w:tcPr>
          <w:p w:rsidR="00FB7342" w:rsidRPr="005463BB" w:rsidRDefault="00FB7342" w:rsidP="003A1BD9">
            <w:pPr>
              <w:pStyle w:val="Tdec"/>
              <w:rPr>
                <w:rFonts w:ascii="Arial" w:hAnsi="Arial" w:cs="Arial"/>
                <w:sz w:val="19"/>
                <w:szCs w:val="19"/>
              </w:rPr>
            </w:pPr>
          </w:p>
        </w:tc>
        <w:tc>
          <w:tcPr>
            <w:tcW w:w="1417" w:type="dxa"/>
          </w:tcPr>
          <w:p w:rsidR="00FB7342" w:rsidRPr="005463BB" w:rsidRDefault="00172CC5" w:rsidP="003A1BD9">
            <w:pPr>
              <w:pStyle w:val="Tdec"/>
              <w:rPr>
                <w:rFonts w:ascii="Arial" w:hAnsi="Arial" w:cs="Arial"/>
                <w:sz w:val="19"/>
                <w:szCs w:val="19"/>
              </w:rPr>
            </w:pPr>
            <w:r w:rsidRPr="005463BB">
              <w:rPr>
                <w:rFonts w:ascii="Arial" w:hAnsi="Arial" w:cs="Arial"/>
                <w:sz w:val="19"/>
                <w:szCs w:val="19"/>
              </w:rPr>
              <w:t>2,777</w:t>
            </w:r>
          </w:p>
        </w:tc>
        <w:tc>
          <w:tcPr>
            <w:tcW w:w="1418" w:type="dxa"/>
          </w:tcPr>
          <w:p w:rsidR="00FB7342" w:rsidRPr="005463BB" w:rsidRDefault="00172CC5" w:rsidP="003A1BD9">
            <w:pPr>
              <w:pStyle w:val="Tdec"/>
              <w:rPr>
                <w:rFonts w:ascii="Arial" w:hAnsi="Arial" w:cs="Arial"/>
                <w:sz w:val="19"/>
                <w:szCs w:val="19"/>
              </w:rPr>
            </w:pPr>
            <w:r w:rsidRPr="005463BB">
              <w:rPr>
                <w:rFonts w:ascii="Arial" w:hAnsi="Arial" w:cs="Arial"/>
                <w:sz w:val="19"/>
                <w:szCs w:val="19"/>
              </w:rPr>
              <w:t>-</w:t>
            </w:r>
          </w:p>
        </w:tc>
        <w:tc>
          <w:tcPr>
            <w:tcW w:w="1417"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257</w:t>
            </w:r>
          </w:p>
        </w:tc>
        <w:tc>
          <w:tcPr>
            <w:tcW w:w="1418"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233</w:t>
            </w:r>
          </w:p>
        </w:tc>
        <w:tc>
          <w:tcPr>
            <w:tcW w:w="1088" w:type="dxa"/>
          </w:tcPr>
          <w:p w:rsidR="00FB7342" w:rsidRPr="005463BB" w:rsidRDefault="00172CC5" w:rsidP="003A1BD9">
            <w:pPr>
              <w:pStyle w:val="Tdec"/>
              <w:rPr>
                <w:rFonts w:ascii="Arial" w:hAnsi="Arial" w:cs="Arial"/>
                <w:sz w:val="19"/>
                <w:szCs w:val="19"/>
              </w:rPr>
            </w:pPr>
            <w:r w:rsidRPr="005463BB">
              <w:rPr>
                <w:rFonts w:ascii="Arial" w:hAnsi="Arial" w:cs="Arial"/>
                <w:sz w:val="19"/>
                <w:szCs w:val="19"/>
              </w:rPr>
              <w:t>3,</w:t>
            </w:r>
            <w:r w:rsidR="005463BB" w:rsidRPr="005463BB">
              <w:rPr>
                <w:rFonts w:ascii="Arial" w:hAnsi="Arial" w:cs="Arial"/>
                <w:sz w:val="19"/>
                <w:szCs w:val="19"/>
              </w:rPr>
              <w:t>26</w:t>
            </w:r>
            <w:r w:rsidR="005A4A12">
              <w:rPr>
                <w:rFonts w:ascii="Arial" w:hAnsi="Arial" w:cs="Arial"/>
                <w:sz w:val="19"/>
                <w:szCs w:val="19"/>
              </w:rPr>
              <w:t>7</w:t>
            </w:r>
          </w:p>
        </w:tc>
      </w:tr>
      <w:tr w:rsidR="00723338" w:rsidRPr="005463BB" w:rsidTr="00270CEB">
        <w:trPr>
          <w:cantSplit/>
        </w:trPr>
        <w:tc>
          <w:tcPr>
            <w:tcW w:w="2639" w:type="dxa"/>
          </w:tcPr>
          <w:p w:rsidR="00723338" w:rsidRPr="005463BB" w:rsidRDefault="00723338" w:rsidP="003A1BD9">
            <w:pPr>
              <w:pStyle w:val="Tindent"/>
              <w:rPr>
                <w:rFonts w:ascii="Arial" w:hAnsi="Arial" w:cs="Arial"/>
                <w:sz w:val="19"/>
                <w:szCs w:val="19"/>
              </w:rPr>
            </w:pPr>
            <w:r w:rsidRPr="005463BB">
              <w:rPr>
                <w:rFonts w:ascii="Arial" w:hAnsi="Arial" w:cs="Arial"/>
                <w:sz w:val="19"/>
                <w:szCs w:val="19"/>
              </w:rPr>
              <w:t>Additions</w:t>
            </w:r>
          </w:p>
        </w:tc>
        <w:tc>
          <w:tcPr>
            <w:tcW w:w="84" w:type="dxa"/>
          </w:tcPr>
          <w:p w:rsidR="00723338" w:rsidRPr="005463BB" w:rsidRDefault="00723338" w:rsidP="003A1BD9">
            <w:pPr>
              <w:pStyle w:val="Tdec"/>
              <w:rPr>
                <w:rFonts w:ascii="Arial" w:hAnsi="Arial" w:cs="Arial"/>
                <w:sz w:val="19"/>
                <w:szCs w:val="19"/>
              </w:rPr>
            </w:pPr>
          </w:p>
        </w:tc>
        <w:tc>
          <w:tcPr>
            <w:tcW w:w="1417" w:type="dxa"/>
          </w:tcPr>
          <w:p w:rsidR="00723338" w:rsidRPr="005463BB" w:rsidRDefault="005463BB" w:rsidP="003A1BD9">
            <w:pPr>
              <w:pStyle w:val="Tdec"/>
              <w:rPr>
                <w:rFonts w:ascii="Arial" w:hAnsi="Arial" w:cs="Arial"/>
                <w:sz w:val="19"/>
                <w:szCs w:val="19"/>
              </w:rPr>
            </w:pPr>
            <w:r w:rsidRPr="005463BB">
              <w:rPr>
                <w:rFonts w:ascii="Arial" w:hAnsi="Arial" w:cs="Arial"/>
                <w:sz w:val="19"/>
                <w:szCs w:val="19"/>
              </w:rPr>
              <w:t>26</w:t>
            </w:r>
          </w:p>
        </w:tc>
        <w:tc>
          <w:tcPr>
            <w:tcW w:w="1418" w:type="dxa"/>
          </w:tcPr>
          <w:p w:rsidR="00723338" w:rsidRPr="005463BB" w:rsidRDefault="00FA2584" w:rsidP="003A1BD9">
            <w:pPr>
              <w:pStyle w:val="Tdec"/>
              <w:rPr>
                <w:rFonts w:ascii="Arial" w:hAnsi="Arial" w:cs="Arial"/>
                <w:sz w:val="19"/>
                <w:szCs w:val="19"/>
              </w:rPr>
            </w:pPr>
            <w:r w:rsidRPr="005463BB">
              <w:rPr>
                <w:rFonts w:ascii="Arial" w:hAnsi="Arial" w:cs="Arial"/>
                <w:sz w:val="19"/>
                <w:szCs w:val="19"/>
              </w:rPr>
              <w:t>-</w:t>
            </w:r>
          </w:p>
        </w:tc>
        <w:tc>
          <w:tcPr>
            <w:tcW w:w="1417" w:type="dxa"/>
          </w:tcPr>
          <w:p w:rsidR="00723338" w:rsidRPr="005463BB" w:rsidRDefault="005463BB" w:rsidP="003A1BD9">
            <w:pPr>
              <w:pStyle w:val="Tdec"/>
              <w:rPr>
                <w:rFonts w:ascii="Arial" w:hAnsi="Arial" w:cs="Arial"/>
                <w:sz w:val="19"/>
                <w:szCs w:val="19"/>
              </w:rPr>
            </w:pPr>
            <w:r w:rsidRPr="005463BB">
              <w:rPr>
                <w:rFonts w:ascii="Arial" w:hAnsi="Arial" w:cs="Arial"/>
                <w:sz w:val="19"/>
                <w:szCs w:val="19"/>
              </w:rPr>
              <w:t>12</w:t>
            </w:r>
          </w:p>
        </w:tc>
        <w:tc>
          <w:tcPr>
            <w:tcW w:w="1418" w:type="dxa"/>
          </w:tcPr>
          <w:p w:rsidR="00723338" w:rsidRPr="005463BB" w:rsidRDefault="005463BB" w:rsidP="003A1BD9">
            <w:pPr>
              <w:pStyle w:val="Tdec"/>
              <w:rPr>
                <w:rFonts w:ascii="Arial" w:hAnsi="Arial" w:cs="Arial"/>
                <w:sz w:val="19"/>
                <w:szCs w:val="19"/>
              </w:rPr>
            </w:pPr>
            <w:r w:rsidRPr="005463BB">
              <w:rPr>
                <w:rFonts w:ascii="Arial" w:hAnsi="Arial" w:cs="Arial"/>
                <w:sz w:val="19"/>
                <w:szCs w:val="19"/>
              </w:rPr>
              <w:t>19</w:t>
            </w:r>
          </w:p>
        </w:tc>
        <w:tc>
          <w:tcPr>
            <w:tcW w:w="1088" w:type="dxa"/>
          </w:tcPr>
          <w:p w:rsidR="00723338" w:rsidRPr="005463BB" w:rsidRDefault="00BE32B5" w:rsidP="003A1BD9">
            <w:pPr>
              <w:pStyle w:val="Tdec"/>
              <w:rPr>
                <w:rFonts w:ascii="Arial" w:hAnsi="Arial" w:cs="Arial"/>
                <w:sz w:val="19"/>
                <w:szCs w:val="19"/>
              </w:rPr>
            </w:pPr>
            <w:r w:rsidRPr="005463BB">
              <w:rPr>
                <w:rFonts w:ascii="Arial" w:hAnsi="Arial" w:cs="Arial"/>
                <w:sz w:val="19"/>
                <w:szCs w:val="19"/>
              </w:rPr>
              <w:t>57</w:t>
            </w:r>
          </w:p>
        </w:tc>
      </w:tr>
      <w:tr w:rsidR="00FB7342" w:rsidRPr="005463BB" w:rsidTr="00270CEB">
        <w:trPr>
          <w:cantSplit/>
        </w:trPr>
        <w:tc>
          <w:tcPr>
            <w:tcW w:w="2639" w:type="dxa"/>
          </w:tcPr>
          <w:p w:rsidR="00FB7342" w:rsidRPr="005463BB" w:rsidRDefault="00FB7342" w:rsidP="003A1BD9">
            <w:pPr>
              <w:pStyle w:val="Tindent"/>
              <w:rPr>
                <w:rFonts w:ascii="Arial" w:hAnsi="Arial" w:cs="Arial"/>
                <w:sz w:val="19"/>
                <w:szCs w:val="19"/>
              </w:rPr>
            </w:pPr>
            <w:r w:rsidRPr="005463BB">
              <w:rPr>
                <w:rFonts w:ascii="Arial" w:hAnsi="Arial" w:cs="Arial"/>
                <w:sz w:val="19"/>
                <w:szCs w:val="19"/>
              </w:rPr>
              <w:t>Disposals</w:t>
            </w:r>
          </w:p>
        </w:tc>
        <w:tc>
          <w:tcPr>
            <w:tcW w:w="84" w:type="dxa"/>
          </w:tcPr>
          <w:p w:rsidR="00FB7342" w:rsidRPr="005463BB" w:rsidRDefault="00FB7342" w:rsidP="003A1BD9">
            <w:pPr>
              <w:pStyle w:val="Tdec"/>
              <w:rPr>
                <w:rFonts w:ascii="Arial" w:hAnsi="Arial" w:cs="Arial"/>
                <w:sz w:val="19"/>
                <w:szCs w:val="19"/>
              </w:rPr>
            </w:pPr>
          </w:p>
        </w:tc>
        <w:tc>
          <w:tcPr>
            <w:tcW w:w="1417" w:type="dxa"/>
          </w:tcPr>
          <w:p w:rsidR="00FB7342" w:rsidRPr="005463BB" w:rsidRDefault="00FA2584" w:rsidP="003A1BD9">
            <w:pPr>
              <w:pStyle w:val="Tdec"/>
              <w:rPr>
                <w:rFonts w:ascii="Arial" w:hAnsi="Arial" w:cs="Arial"/>
                <w:sz w:val="19"/>
                <w:szCs w:val="19"/>
              </w:rPr>
            </w:pPr>
            <w:r w:rsidRPr="005463BB">
              <w:rPr>
                <w:rFonts w:ascii="Arial" w:hAnsi="Arial" w:cs="Arial"/>
                <w:sz w:val="19"/>
                <w:szCs w:val="19"/>
              </w:rPr>
              <w:t>-</w:t>
            </w:r>
          </w:p>
        </w:tc>
        <w:tc>
          <w:tcPr>
            <w:tcW w:w="1418" w:type="dxa"/>
          </w:tcPr>
          <w:p w:rsidR="00FB7342" w:rsidRPr="005463BB" w:rsidRDefault="00FA2584" w:rsidP="003A1BD9">
            <w:pPr>
              <w:pStyle w:val="Tdec"/>
              <w:rPr>
                <w:rFonts w:ascii="Arial" w:hAnsi="Arial" w:cs="Arial"/>
                <w:sz w:val="19"/>
                <w:szCs w:val="19"/>
              </w:rPr>
            </w:pPr>
            <w:r w:rsidRPr="005463BB">
              <w:rPr>
                <w:rFonts w:ascii="Arial" w:hAnsi="Arial" w:cs="Arial"/>
                <w:sz w:val="19"/>
                <w:szCs w:val="19"/>
              </w:rPr>
              <w:t>-</w:t>
            </w:r>
          </w:p>
        </w:tc>
        <w:tc>
          <w:tcPr>
            <w:tcW w:w="1417"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0</w:t>
            </w:r>
          </w:p>
        </w:tc>
        <w:tc>
          <w:tcPr>
            <w:tcW w:w="1418"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0</w:t>
            </w:r>
          </w:p>
        </w:tc>
        <w:tc>
          <w:tcPr>
            <w:tcW w:w="1088"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0</w:t>
            </w:r>
          </w:p>
        </w:tc>
      </w:tr>
      <w:tr w:rsidR="00FB7342" w:rsidRPr="005463BB" w:rsidTr="00270CEB">
        <w:trPr>
          <w:cantSplit/>
        </w:trPr>
        <w:tc>
          <w:tcPr>
            <w:tcW w:w="2639" w:type="dxa"/>
          </w:tcPr>
          <w:p w:rsidR="00FB7342" w:rsidRPr="005463BB" w:rsidRDefault="00FB7342" w:rsidP="003A1BD9">
            <w:pPr>
              <w:pStyle w:val="B0"/>
              <w:spacing w:line="240" w:lineRule="auto"/>
              <w:rPr>
                <w:rFonts w:ascii="Arial" w:hAnsi="Arial" w:cs="Arial"/>
                <w:sz w:val="19"/>
                <w:szCs w:val="19"/>
              </w:rPr>
            </w:pPr>
          </w:p>
        </w:tc>
        <w:tc>
          <w:tcPr>
            <w:tcW w:w="84" w:type="dxa"/>
          </w:tcPr>
          <w:p w:rsidR="00FB7342" w:rsidRPr="005463BB" w:rsidRDefault="00FB7342" w:rsidP="003A1BD9">
            <w:pPr>
              <w:pStyle w:val="B0"/>
              <w:spacing w:line="240" w:lineRule="auto"/>
              <w:rPr>
                <w:rFonts w:ascii="Arial" w:hAnsi="Arial" w:cs="Arial"/>
                <w:sz w:val="19"/>
                <w:szCs w:val="19"/>
              </w:rPr>
            </w:pPr>
          </w:p>
        </w:tc>
        <w:tc>
          <w:tcPr>
            <w:tcW w:w="1417" w:type="dxa"/>
          </w:tcPr>
          <w:p w:rsidR="00FB7342" w:rsidRPr="005463BB" w:rsidRDefault="00FB7342" w:rsidP="003A1BD9">
            <w:pPr>
              <w:pStyle w:val="S9"/>
              <w:spacing w:line="240" w:lineRule="auto"/>
              <w:rPr>
                <w:rFonts w:ascii="Arial" w:hAnsi="Arial" w:cs="Arial"/>
                <w:sz w:val="19"/>
                <w:szCs w:val="19"/>
              </w:rPr>
            </w:pPr>
          </w:p>
        </w:tc>
        <w:tc>
          <w:tcPr>
            <w:tcW w:w="1418" w:type="dxa"/>
          </w:tcPr>
          <w:p w:rsidR="00FB7342" w:rsidRPr="005463BB" w:rsidRDefault="00FB7342" w:rsidP="003A1BD9">
            <w:pPr>
              <w:pStyle w:val="S9"/>
              <w:spacing w:line="240" w:lineRule="auto"/>
              <w:rPr>
                <w:rFonts w:ascii="Arial" w:hAnsi="Arial" w:cs="Arial"/>
                <w:sz w:val="19"/>
                <w:szCs w:val="19"/>
              </w:rPr>
            </w:pPr>
          </w:p>
        </w:tc>
        <w:tc>
          <w:tcPr>
            <w:tcW w:w="1417" w:type="dxa"/>
          </w:tcPr>
          <w:p w:rsidR="00FB7342" w:rsidRPr="005463BB" w:rsidRDefault="00FB7342" w:rsidP="003A1BD9">
            <w:pPr>
              <w:pStyle w:val="S9"/>
              <w:spacing w:line="240" w:lineRule="auto"/>
              <w:rPr>
                <w:rFonts w:ascii="Arial" w:hAnsi="Arial" w:cs="Arial"/>
                <w:sz w:val="19"/>
                <w:szCs w:val="19"/>
              </w:rPr>
            </w:pPr>
          </w:p>
        </w:tc>
        <w:tc>
          <w:tcPr>
            <w:tcW w:w="1418" w:type="dxa"/>
          </w:tcPr>
          <w:p w:rsidR="00FB7342" w:rsidRPr="005463BB" w:rsidRDefault="00FB7342" w:rsidP="003A1BD9">
            <w:pPr>
              <w:pStyle w:val="S9"/>
              <w:spacing w:line="240" w:lineRule="auto"/>
              <w:rPr>
                <w:rFonts w:ascii="Arial" w:hAnsi="Arial" w:cs="Arial"/>
                <w:sz w:val="19"/>
                <w:szCs w:val="19"/>
              </w:rPr>
            </w:pPr>
          </w:p>
        </w:tc>
        <w:tc>
          <w:tcPr>
            <w:tcW w:w="1088" w:type="dxa"/>
          </w:tcPr>
          <w:p w:rsidR="00FB7342" w:rsidRPr="005463BB" w:rsidRDefault="00FB7342" w:rsidP="003A1BD9">
            <w:pPr>
              <w:pStyle w:val="S9"/>
              <w:spacing w:line="240" w:lineRule="auto"/>
              <w:rPr>
                <w:rFonts w:ascii="Arial" w:hAnsi="Arial" w:cs="Arial"/>
                <w:sz w:val="19"/>
                <w:szCs w:val="19"/>
              </w:rPr>
            </w:pPr>
          </w:p>
        </w:tc>
      </w:tr>
      <w:tr w:rsidR="00FB7342" w:rsidRPr="005463BB" w:rsidTr="00270CEB">
        <w:trPr>
          <w:cantSplit/>
        </w:trPr>
        <w:tc>
          <w:tcPr>
            <w:tcW w:w="2639" w:type="dxa"/>
          </w:tcPr>
          <w:p w:rsidR="00FB7342" w:rsidRPr="005463BB" w:rsidRDefault="00FB7342" w:rsidP="005463BB">
            <w:pPr>
              <w:pStyle w:val="Tindent"/>
              <w:rPr>
                <w:rFonts w:ascii="Arial" w:hAnsi="Arial" w:cs="Arial"/>
                <w:sz w:val="19"/>
                <w:szCs w:val="19"/>
              </w:rPr>
            </w:pPr>
            <w:r w:rsidRPr="005463BB">
              <w:rPr>
                <w:rFonts w:ascii="Arial" w:hAnsi="Arial" w:cs="Arial"/>
                <w:sz w:val="19"/>
                <w:szCs w:val="19"/>
              </w:rPr>
              <w:t xml:space="preserve">At </w:t>
            </w:r>
            <w:r w:rsidRPr="005463BB">
              <w:rPr>
                <w:rFonts w:ascii="Arial" w:hAnsi="Arial" w:cs="Arial"/>
                <w:sz w:val="19"/>
                <w:szCs w:val="19"/>
              </w:rPr>
              <w:fldChar w:fldCharType="begin"/>
            </w:r>
            <w:r w:rsidRPr="005463BB">
              <w:rPr>
                <w:rFonts w:ascii="Arial" w:hAnsi="Arial" w:cs="Arial"/>
                <w:sz w:val="19"/>
                <w:szCs w:val="19"/>
              </w:rPr>
              <w:instrText>Date_Year \* charformat</w:instrText>
            </w:r>
            <w:r w:rsidRPr="005463BB">
              <w:rPr>
                <w:rFonts w:ascii="Arial" w:hAnsi="Arial" w:cs="Arial"/>
                <w:sz w:val="19"/>
                <w:szCs w:val="19"/>
              </w:rPr>
              <w:fldChar w:fldCharType="separate"/>
            </w:r>
            <w:r w:rsidR="00263A0D" w:rsidRPr="005463BB">
              <w:rPr>
                <w:rFonts w:ascii="Arial" w:hAnsi="Arial" w:cs="Arial"/>
                <w:sz w:val="19"/>
                <w:szCs w:val="19"/>
              </w:rPr>
              <w:t>31 March 201</w:t>
            </w:r>
            <w:r w:rsidRPr="005463BB">
              <w:rPr>
                <w:rFonts w:ascii="Arial" w:hAnsi="Arial" w:cs="Arial"/>
                <w:sz w:val="19"/>
                <w:szCs w:val="19"/>
              </w:rPr>
              <w:fldChar w:fldCharType="end"/>
            </w:r>
            <w:r w:rsidR="005463BB" w:rsidRPr="005463BB">
              <w:rPr>
                <w:rFonts w:ascii="Arial" w:hAnsi="Arial" w:cs="Arial"/>
                <w:sz w:val="19"/>
                <w:szCs w:val="19"/>
              </w:rPr>
              <w:t>5</w:t>
            </w:r>
          </w:p>
        </w:tc>
        <w:tc>
          <w:tcPr>
            <w:tcW w:w="84" w:type="dxa"/>
          </w:tcPr>
          <w:p w:rsidR="00FB7342" w:rsidRPr="005463BB" w:rsidRDefault="00FB7342" w:rsidP="003A1BD9">
            <w:pPr>
              <w:pStyle w:val="Tdec"/>
              <w:rPr>
                <w:rFonts w:ascii="Arial" w:hAnsi="Arial" w:cs="Arial"/>
                <w:sz w:val="19"/>
                <w:szCs w:val="19"/>
              </w:rPr>
            </w:pPr>
          </w:p>
        </w:tc>
        <w:tc>
          <w:tcPr>
            <w:tcW w:w="1417" w:type="dxa"/>
          </w:tcPr>
          <w:p w:rsidR="00FB7342" w:rsidRPr="005463BB" w:rsidRDefault="00BE32B5" w:rsidP="003A1BD9">
            <w:pPr>
              <w:pStyle w:val="Tdec"/>
              <w:rPr>
                <w:rFonts w:ascii="Arial" w:hAnsi="Arial" w:cs="Arial"/>
                <w:sz w:val="19"/>
                <w:szCs w:val="19"/>
              </w:rPr>
            </w:pPr>
            <w:r w:rsidRPr="005463BB">
              <w:rPr>
                <w:rFonts w:ascii="Arial" w:hAnsi="Arial" w:cs="Arial"/>
                <w:sz w:val="19"/>
                <w:szCs w:val="19"/>
              </w:rPr>
              <w:t>2,</w:t>
            </w:r>
            <w:r w:rsidR="005463BB" w:rsidRPr="005463BB">
              <w:rPr>
                <w:rFonts w:ascii="Arial" w:hAnsi="Arial" w:cs="Arial"/>
                <w:sz w:val="19"/>
                <w:szCs w:val="19"/>
              </w:rPr>
              <w:t>80</w:t>
            </w:r>
            <w:r w:rsidR="005A4A12">
              <w:rPr>
                <w:rFonts w:ascii="Arial" w:hAnsi="Arial" w:cs="Arial"/>
                <w:sz w:val="19"/>
                <w:szCs w:val="19"/>
              </w:rPr>
              <w:t>3</w:t>
            </w:r>
          </w:p>
        </w:tc>
        <w:tc>
          <w:tcPr>
            <w:tcW w:w="1418" w:type="dxa"/>
          </w:tcPr>
          <w:p w:rsidR="00FB7342" w:rsidRPr="005463BB" w:rsidRDefault="00FA2584" w:rsidP="003A1BD9">
            <w:pPr>
              <w:pStyle w:val="Tdec"/>
              <w:rPr>
                <w:rFonts w:ascii="Arial" w:hAnsi="Arial" w:cs="Arial"/>
                <w:sz w:val="19"/>
                <w:szCs w:val="19"/>
              </w:rPr>
            </w:pPr>
            <w:r w:rsidRPr="005463BB">
              <w:rPr>
                <w:rFonts w:ascii="Arial" w:hAnsi="Arial" w:cs="Arial"/>
                <w:sz w:val="19"/>
                <w:szCs w:val="19"/>
              </w:rPr>
              <w:t>-</w:t>
            </w:r>
          </w:p>
        </w:tc>
        <w:tc>
          <w:tcPr>
            <w:tcW w:w="1417"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26</w:t>
            </w:r>
            <w:r w:rsidR="005A4A12">
              <w:rPr>
                <w:rFonts w:ascii="Arial" w:hAnsi="Arial" w:cs="Arial"/>
                <w:sz w:val="19"/>
                <w:szCs w:val="19"/>
              </w:rPr>
              <w:t>9</w:t>
            </w:r>
          </w:p>
        </w:tc>
        <w:tc>
          <w:tcPr>
            <w:tcW w:w="1418"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25</w:t>
            </w:r>
            <w:r w:rsidR="005A4A12">
              <w:rPr>
                <w:rFonts w:ascii="Arial" w:hAnsi="Arial" w:cs="Arial"/>
                <w:sz w:val="19"/>
                <w:szCs w:val="19"/>
              </w:rPr>
              <w:t>2</w:t>
            </w:r>
          </w:p>
        </w:tc>
        <w:tc>
          <w:tcPr>
            <w:tcW w:w="1088" w:type="dxa"/>
          </w:tcPr>
          <w:p w:rsidR="00FB7342" w:rsidRPr="005463BB" w:rsidRDefault="00BE32B5" w:rsidP="003A1BD9">
            <w:pPr>
              <w:pStyle w:val="Tdec"/>
              <w:rPr>
                <w:rFonts w:ascii="Arial" w:hAnsi="Arial" w:cs="Arial"/>
                <w:sz w:val="19"/>
                <w:szCs w:val="19"/>
              </w:rPr>
            </w:pPr>
            <w:r w:rsidRPr="005463BB">
              <w:rPr>
                <w:rFonts w:ascii="Arial" w:hAnsi="Arial" w:cs="Arial"/>
                <w:sz w:val="19"/>
                <w:szCs w:val="19"/>
              </w:rPr>
              <w:t>3,</w:t>
            </w:r>
            <w:r w:rsidR="005463BB" w:rsidRPr="005463BB">
              <w:rPr>
                <w:rFonts w:ascii="Arial" w:hAnsi="Arial" w:cs="Arial"/>
                <w:sz w:val="19"/>
                <w:szCs w:val="19"/>
              </w:rPr>
              <w:t>32</w:t>
            </w:r>
            <w:r w:rsidR="005A4A12">
              <w:rPr>
                <w:rFonts w:ascii="Arial" w:hAnsi="Arial" w:cs="Arial"/>
                <w:sz w:val="19"/>
                <w:szCs w:val="19"/>
              </w:rPr>
              <w:t>4</w:t>
            </w:r>
          </w:p>
        </w:tc>
      </w:tr>
      <w:tr w:rsidR="00FB7342" w:rsidRPr="005463BB" w:rsidTr="00270CEB">
        <w:trPr>
          <w:cantSplit/>
        </w:trPr>
        <w:tc>
          <w:tcPr>
            <w:tcW w:w="2639" w:type="dxa"/>
          </w:tcPr>
          <w:p w:rsidR="00FB7342" w:rsidRPr="005463BB" w:rsidRDefault="00FB7342" w:rsidP="003A1BD9">
            <w:pPr>
              <w:pStyle w:val="B0"/>
              <w:spacing w:line="240" w:lineRule="auto"/>
              <w:rPr>
                <w:rFonts w:ascii="Arial" w:hAnsi="Arial" w:cs="Arial"/>
                <w:sz w:val="19"/>
                <w:szCs w:val="19"/>
              </w:rPr>
            </w:pPr>
          </w:p>
        </w:tc>
        <w:tc>
          <w:tcPr>
            <w:tcW w:w="84" w:type="dxa"/>
          </w:tcPr>
          <w:p w:rsidR="00FB7342" w:rsidRPr="005463BB" w:rsidRDefault="00FB7342" w:rsidP="003A1BD9">
            <w:pPr>
              <w:pStyle w:val="B0"/>
              <w:spacing w:line="240" w:lineRule="auto"/>
              <w:rPr>
                <w:rFonts w:ascii="Arial" w:hAnsi="Arial" w:cs="Arial"/>
                <w:sz w:val="19"/>
                <w:szCs w:val="19"/>
              </w:rPr>
            </w:pPr>
          </w:p>
        </w:tc>
        <w:tc>
          <w:tcPr>
            <w:tcW w:w="1417" w:type="dxa"/>
          </w:tcPr>
          <w:p w:rsidR="00FB7342" w:rsidRPr="005463BB" w:rsidRDefault="00FB7342" w:rsidP="003A1BD9">
            <w:pPr>
              <w:pStyle w:val="S9"/>
              <w:spacing w:line="240" w:lineRule="auto"/>
              <w:rPr>
                <w:rFonts w:ascii="Arial" w:hAnsi="Arial" w:cs="Arial"/>
                <w:sz w:val="19"/>
                <w:szCs w:val="19"/>
              </w:rPr>
            </w:pPr>
          </w:p>
        </w:tc>
        <w:tc>
          <w:tcPr>
            <w:tcW w:w="1418" w:type="dxa"/>
          </w:tcPr>
          <w:p w:rsidR="00FB7342" w:rsidRPr="005463BB" w:rsidRDefault="00FB7342" w:rsidP="003A1BD9">
            <w:pPr>
              <w:pStyle w:val="S9"/>
              <w:spacing w:line="240" w:lineRule="auto"/>
              <w:rPr>
                <w:rFonts w:ascii="Arial" w:hAnsi="Arial" w:cs="Arial"/>
                <w:sz w:val="19"/>
                <w:szCs w:val="19"/>
              </w:rPr>
            </w:pPr>
          </w:p>
        </w:tc>
        <w:tc>
          <w:tcPr>
            <w:tcW w:w="1417" w:type="dxa"/>
          </w:tcPr>
          <w:p w:rsidR="00FB7342" w:rsidRPr="005463BB" w:rsidRDefault="00FB7342" w:rsidP="003A1BD9">
            <w:pPr>
              <w:pStyle w:val="S9"/>
              <w:spacing w:line="240" w:lineRule="auto"/>
              <w:rPr>
                <w:rFonts w:ascii="Arial" w:hAnsi="Arial" w:cs="Arial"/>
                <w:sz w:val="19"/>
                <w:szCs w:val="19"/>
              </w:rPr>
            </w:pPr>
          </w:p>
        </w:tc>
        <w:tc>
          <w:tcPr>
            <w:tcW w:w="1418" w:type="dxa"/>
          </w:tcPr>
          <w:p w:rsidR="00FB7342" w:rsidRPr="005463BB" w:rsidRDefault="00FB7342" w:rsidP="003A1BD9">
            <w:pPr>
              <w:pStyle w:val="S9"/>
              <w:spacing w:line="240" w:lineRule="auto"/>
              <w:rPr>
                <w:rFonts w:ascii="Arial" w:hAnsi="Arial" w:cs="Arial"/>
                <w:sz w:val="19"/>
                <w:szCs w:val="19"/>
              </w:rPr>
            </w:pPr>
          </w:p>
        </w:tc>
        <w:tc>
          <w:tcPr>
            <w:tcW w:w="1088" w:type="dxa"/>
          </w:tcPr>
          <w:p w:rsidR="00FB7342" w:rsidRPr="005463BB" w:rsidRDefault="00FB7342" w:rsidP="003A1BD9">
            <w:pPr>
              <w:pStyle w:val="S9"/>
              <w:spacing w:line="240" w:lineRule="auto"/>
              <w:rPr>
                <w:rFonts w:ascii="Arial" w:hAnsi="Arial" w:cs="Arial"/>
                <w:sz w:val="19"/>
                <w:szCs w:val="19"/>
              </w:rPr>
            </w:pPr>
          </w:p>
        </w:tc>
      </w:tr>
      <w:tr w:rsidR="00FB7342" w:rsidRPr="005463BB" w:rsidTr="00270CEB">
        <w:trPr>
          <w:cantSplit/>
        </w:trPr>
        <w:tc>
          <w:tcPr>
            <w:tcW w:w="2639" w:type="dxa"/>
          </w:tcPr>
          <w:p w:rsidR="00FB7342" w:rsidRPr="005463BB" w:rsidRDefault="00FB7342" w:rsidP="003A1BD9">
            <w:pPr>
              <w:pStyle w:val="Tindent"/>
              <w:rPr>
                <w:rFonts w:ascii="Arial" w:hAnsi="Arial" w:cs="Arial"/>
                <w:b/>
                <w:sz w:val="19"/>
                <w:szCs w:val="19"/>
              </w:rPr>
            </w:pPr>
            <w:r w:rsidRPr="005463BB">
              <w:rPr>
                <w:rFonts w:ascii="Arial" w:hAnsi="Arial" w:cs="Arial"/>
                <w:b/>
                <w:sz w:val="19"/>
                <w:szCs w:val="19"/>
              </w:rPr>
              <w:t>Depreciation</w:t>
            </w:r>
          </w:p>
        </w:tc>
        <w:tc>
          <w:tcPr>
            <w:tcW w:w="84" w:type="dxa"/>
          </w:tcPr>
          <w:p w:rsidR="00FB7342" w:rsidRPr="005463BB" w:rsidRDefault="00FB7342" w:rsidP="003A1BD9">
            <w:pPr>
              <w:pStyle w:val="Tdec"/>
              <w:rPr>
                <w:rFonts w:ascii="Arial" w:hAnsi="Arial" w:cs="Arial"/>
                <w:sz w:val="19"/>
                <w:szCs w:val="19"/>
              </w:rPr>
            </w:pPr>
          </w:p>
        </w:tc>
        <w:tc>
          <w:tcPr>
            <w:tcW w:w="1417" w:type="dxa"/>
          </w:tcPr>
          <w:p w:rsidR="00FB7342" w:rsidRPr="005463BB" w:rsidRDefault="00FB7342" w:rsidP="003A1BD9">
            <w:pPr>
              <w:pStyle w:val="Tdec"/>
              <w:rPr>
                <w:rFonts w:ascii="Arial" w:hAnsi="Arial" w:cs="Arial"/>
                <w:sz w:val="19"/>
                <w:szCs w:val="19"/>
              </w:rPr>
            </w:pPr>
          </w:p>
        </w:tc>
        <w:tc>
          <w:tcPr>
            <w:tcW w:w="1418" w:type="dxa"/>
          </w:tcPr>
          <w:p w:rsidR="00FB7342" w:rsidRPr="005463BB" w:rsidRDefault="00FA2584" w:rsidP="003A1BD9">
            <w:pPr>
              <w:pStyle w:val="Tdec"/>
              <w:rPr>
                <w:rFonts w:ascii="Arial" w:hAnsi="Arial" w:cs="Arial"/>
                <w:sz w:val="19"/>
                <w:szCs w:val="19"/>
              </w:rPr>
            </w:pPr>
            <w:r w:rsidRPr="005463BB">
              <w:rPr>
                <w:rFonts w:ascii="Arial" w:hAnsi="Arial" w:cs="Arial"/>
                <w:sz w:val="19"/>
                <w:szCs w:val="19"/>
              </w:rPr>
              <w:t>-</w:t>
            </w:r>
          </w:p>
        </w:tc>
        <w:tc>
          <w:tcPr>
            <w:tcW w:w="1417" w:type="dxa"/>
          </w:tcPr>
          <w:p w:rsidR="00FB7342" w:rsidRPr="005463BB" w:rsidRDefault="00FB7342" w:rsidP="003A1BD9">
            <w:pPr>
              <w:pStyle w:val="Tdec"/>
              <w:rPr>
                <w:rFonts w:ascii="Arial" w:hAnsi="Arial" w:cs="Arial"/>
                <w:sz w:val="19"/>
                <w:szCs w:val="19"/>
              </w:rPr>
            </w:pPr>
          </w:p>
        </w:tc>
        <w:tc>
          <w:tcPr>
            <w:tcW w:w="1418" w:type="dxa"/>
          </w:tcPr>
          <w:p w:rsidR="00FB7342" w:rsidRPr="005463BB" w:rsidRDefault="00FB7342" w:rsidP="003A1BD9">
            <w:pPr>
              <w:pStyle w:val="Tdec"/>
              <w:rPr>
                <w:rFonts w:ascii="Arial" w:hAnsi="Arial" w:cs="Arial"/>
                <w:sz w:val="19"/>
                <w:szCs w:val="19"/>
              </w:rPr>
            </w:pPr>
          </w:p>
        </w:tc>
        <w:tc>
          <w:tcPr>
            <w:tcW w:w="1088" w:type="dxa"/>
          </w:tcPr>
          <w:p w:rsidR="00FB7342" w:rsidRPr="005463BB" w:rsidRDefault="00FB7342" w:rsidP="003A1BD9">
            <w:pPr>
              <w:pStyle w:val="Tdec"/>
              <w:rPr>
                <w:rFonts w:ascii="Arial" w:hAnsi="Arial" w:cs="Arial"/>
                <w:sz w:val="19"/>
                <w:szCs w:val="19"/>
              </w:rPr>
            </w:pPr>
          </w:p>
        </w:tc>
      </w:tr>
      <w:tr w:rsidR="00FB7342" w:rsidRPr="005463BB" w:rsidTr="00270CEB">
        <w:trPr>
          <w:cantSplit/>
        </w:trPr>
        <w:tc>
          <w:tcPr>
            <w:tcW w:w="2639" w:type="dxa"/>
          </w:tcPr>
          <w:p w:rsidR="00FB7342" w:rsidRPr="005463BB" w:rsidRDefault="00FB7342" w:rsidP="005463BB">
            <w:pPr>
              <w:pStyle w:val="Tindent"/>
              <w:rPr>
                <w:rFonts w:ascii="Arial" w:hAnsi="Arial" w:cs="Arial"/>
                <w:sz w:val="19"/>
                <w:szCs w:val="19"/>
              </w:rPr>
            </w:pPr>
            <w:r w:rsidRPr="005463BB">
              <w:rPr>
                <w:rFonts w:ascii="Arial" w:hAnsi="Arial" w:cs="Arial"/>
                <w:sz w:val="19"/>
                <w:szCs w:val="19"/>
              </w:rPr>
              <w:t xml:space="preserve">At 1 </w:t>
            </w:r>
            <w:r w:rsidR="00172CC5" w:rsidRPr="005463BB">
              <w:rPr>
                <w:rFonts w:ascii="Arial" w:hAnsi="Arial" w:cs="Arial"/>
                <w:sz w:val="19"/>
                <w:szCs w:val="19"/>
              </w:rPr>
              <w:t>April 201</w:t>
            </w:r>
            <w:r w:rsidR="005463BB" w:rsidRPr="005463BB">
              <w:rPr>
                <w:rFonts w:ascii="Arial" w:hAnsi="Arial" w:cs="Arial"/>
                <w:sz w:val="19"/>
                <w:szCs w:val="19"/>
              </w:rPr>
              <w:t>4</w:t>
            </w:r>
          </w:p>
        </w:tc>
        <w:tc>
          <w:tcPr>
            <w:tcW w:w="84" w:type="dxa"/>
          </w:tcPr>
          <w:p w:rsidR="00FB7342" w:rsidRPr="005463BB" w:rsidRDefault="00FB7342" w:rsidP="003A1BD9">
            <w:pPr>
              <w:pStyle w:val="Tdec"/>
              <w:rPr>
                <w:rFonts w:ascii="Arial" w:hAnsi="Arial" w:cs="Arial"/>
                <w:sz w:val="19"/>
                <w:szCs w:val="19"/>
              </w:rPr>
            </w:pPr>
          </w:p>
        </w:tc>
        <w:tc>
          <w:tcPr>
            <w:tcW w:w="1417"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129</w:t>
            </w:r>
          </w:p>
        </w:tc>
        <w:tc>
          <w:tcPr>
            <w:tcW w:w="1418" w:type="dxa"/>
          </w:tcPr>
          <w:p w:rsidR="00FB7342" w:rsidRPr="005463BB" w:rsidRDefault="00172CC5" w:rsidP="003A1BD9">
            <w:pPr>
              <w:pStyle w:val="Tdec"/>
              <w:rPr>
                <w:rFonts w:ascii="Arial" w:hAnsi="Arial" w:cs="Arial"/>
                <w:sz w:val="19"/>
                <w:szCs w:val="19"/>
              </w:rPr>
            </w:pPr>
            <w:r w:rsidRPr="005463BB">
              <w:rPr>
                <w:rFonts w:ascii="Arial" w:hAnsi="Arial" w:cs="Arial"/>
                <w:sz w:val="19"/>
                <w:szCs w:val="19"/>
              </w:rPr>
              <w:t>-</w:t>
            </w:r>
          </w:p>
        </w:tc>
        <w:tc>
          <w:tcPr>
            <w:tcW w:w="1417" w:type="dxa"/>
          </w:tcPr>
          <w:p w:rsidR="00FB7342" w:rsidRPr="005463BB" w:rsidRDefault="005A4A12" w:rsidP="003A1BD9">
            <w:pPr>
              <w:pStyle w:val="Tdec"/>
              <w:rPr>
                <w:rFonts w:ascii="Arial" w:hAnsi="Arial" w:cs="Arial"/>
                <w:sz w:val="19"/>
                <w:szCs w:val="19"/>
              </w:rPr>
            </w:pPr>
            <w:r>
              <w:rPr>
                <w:rFonts w:ascii="Arial" w:hAnsi="Arial" w:cs="Arial"/>
                <w:sz w:val="19"/>
                <w:szCs w:val="19"/>
              </w:rPr>
              <w:t>100</w:t>
            </w:r>
          </w:p>
        </w:tc>
        <w:tc>
          <w:tcPr>
            <w:tcW w:w="1418"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189</w:t>
            </w:r>
          </w:p>
        </w:tc>
        <w:tc>
          <w:tcPr>
            <w:tcW w:w="1088"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41</w:t>
            </w:r>
            <w:r w:rsidR="005A4A12">
              <w:rPr>
                <w:rFonts w:ascii="Arial" w:hAnsi="Arial" w:cs="Arial"/>
                <w:sz w:val="19"/>
                <w:szCs w:val="19"/>
              </w:rPr>
              <w:t>8</w:t>
            </w:r>
          </w:p>
        </w:tc>
      </w:tr>
      <w:tr w:rsidR="00723338" w:rsidRPr="005463BB" w:rsidTr="00270CEB">
        <w:trPr>
          <w:cantSplit/>
        </w:trPr>
        <w:tc>
          <w:tcPr>
            <w:tcW w:w="2639" w:type="dxa"/>
          </w:tcPr>
          <w:p w:rsidR="00723338" w:rsidRPr="005463BB" w:rsidRDefault="00723338" w:rsidP="003A1BD9">
            <w:pPr>
              <w:pStyle w:val="Tindent"/>
              <w:rPr>
                <w:rFonts w:ascii="Arial" w:hAnsi="Arial" w:cs="Arial"/>
                <w:sz w:val="19"/>
                <w:szCs w:val="19"/>
              </w:rPr>
            </w:pPr>
            <w:r w:rsidRPr="005463BB">
              <w:rPr>
                <w:rFonts w:ascii="Arial" w:hAnsi="Arial" w:cs="Arial"/>
                <w:sz w:val="19"/>
                <w:szCs w:val="19"/>
              </w:rPr>
              <w:t>Charge for the year</w:t>
            </w:r>
          </w:p>
        </w:tc>
        <w:tc>
          <w:tcPr>
            <w:tcW w:w="84" w:type="dxa"/>
          </w:tcPr>
          <w:p w:rsidR="00723338" w:rsidRPr="005463BB" w:rsidRDefault="00723338" w:rsidP="003A1BD9">
            <w:pPr>
              <w:pStyle w:val="Tdec"/>
              <w:rPr>
                <w:rFonts w:ascii="Arial" w:hAnsi="Arial" w:cs="Arial"/>
                <w:sz w:val="19"/>
                <w:szCs w:val="19"/>
              </w:rPr>
            </w:pPr>
          </w:p>
        </w:tc>
        <w:tc>
          <w:tcPr>
            <w:tcW w:w="1417" w:type="dxa"/>
          </w:tcPr>
          <w:p w:rsidR="00723338" w:rsidRPr="005463BB" w:rsidRDefault="005463BB" w:rsidP="003A1BD9">
            <w:pPr>
              <w:pStyle w:val="Tdec"/>
              <w:rPr>
                <w:rFonts w:ascii="Arial" w:hAnsi="Arial" w:cs="Arial"/>
                <w:sz w:val="19"/>
                <w:szCs w:val="19"/>
              </w:rPr>
            </w:pPr>
            <w:r w:rsidRPr="005463BB">
              <w:rPr>
                <w:rFonts w:ascii="Arial" w:hAnsi="Arial" w:cs="Arial"/>
                <w:sz w:val="19"/>
                <w:szCs w:val="19"/>
              </w:rPr>
              <w:t>4</w:t>
            </w:r>
            <w:r w:rsidR="00723DFA">
              <w:rPr>
                <w:rFonts w:ascii="Arial" w:hAnsi="Arial" w:cs="Arial"/>
                <w:sz w:val="19"/>
                <w:szCs w:val="19"/>
              </w:rPr>
              <w:t>3</w:t>
            </w:r>
          </w:p>
        </w:tc>
        <w:tc>
          <w:tcPr>
            <w:tcW w:w="1418" w:type="dxa"/>
          </w:tcPr>
          <w:p w:rsidR="00723338" w:rsidRPr="005463BB" w:rsidRDefault="00FA2584" w:rsidP="003A1BD9">
            <w:pPr>
              <w:pStyle w:val="Tdec"/>
              <w:rPr>
                <w:rFonts w:ascii="Arial" w:hAnsi="Arial" w:cs="Arial"/>
                <w:sz w:val="19"/>
                <w:szCs w:val="19"/>
              </w:rPr>
            </w:pPr>
            <w:r w:rsidRPr="005463BB">
              <w:rPr>
                <w:rFonts w:ascii="Arial" w:hAnsi="Arial" w:cs="Arial"/>
                <w:sz w:val="19"/>
                <w:szCs w:val="19"/>
              </w:rPr>
              <w:t>-</w:t>
            </w:r>
          </w:p>
        </w:tc>
        <w:tc>
          <w:tcPr>
            <w:tcW w:w="1417" w:type="dxa"/>
          </w:tcPr>
          <w:p w:rsidR="00723338" w:rsidRPr="005463BB" w:rsidRDefault="00902A93" w:rsidP="003A1BD9">
            <w:pPr>
              <w:pStyle w:val="Tdec"/>
              <w:rPr>
                <w:rFonts w:ascii="Arial" w:hAnsi="Arial" w:cs="Arial"/>
                <w:sz w:val="19"/>
                <w:szCs w:val="19"/>
              </w:rPr>
            </w:pPr>
            <w:r w:rsidRPr="005463BB">
              <w:rPr>
                <w:rFonts w:ascii="Arial" w:hAnsi="Arial" w:cs="Arial"/>
                <w:sz w:val="19"/>
                <w:szCs w:val="19"/>
              </w:rPr>
              <w:t>4</w:t>
            </w:r>
            <w:r w:rsidR="005463BB" w:rsidRPr="005463BB">
              <w:rPr>
                <w:rFonts w:ascii="Arial" w:hAnsi="Arial" w:cs="Arial"/>
                <w:sz w:val="19"/>
                <w:szCs w:val="19"/>
              </w:rPr>
              <w:t>4</w:t>
            </w:r>
          </w:p>
        </w:tc>
        <w:tc>
          <w:tcPr>
            <w:tcW w:w="1418" w:type="dxa"/>
          </w:tcPr>
          <w:p w:rsidR="00723338" w:rsidRPr="005463BB" w:rsidRDefault="005463BB" w:rsidP="003A1BD9">
            <w:pPr>
              <w:pStyle w:val="Tdec"/>
              <w:rPr>
                <w:rFonts w:ascii="Arial" w:hAnsi="Arial" w:cs="Arial"/>
                <w:sz w:val="19"/>
                <w:szCs w:val="19"/>
              </w:rPr>
            </w:pPr>
            <w:r w:rsidRPr="005463BB">
              <w:rPr>
                <w:rFonts w:ascii="Arial" w:hAnsi="Arial" w:cs="Arial"/>
                <w:sz w:val="19"/>
                <w:szCs w:val="19"/>
              </w:rPr>
              <w:t>28</w:t>
            </w:r>
          </w:p>
        </w:tc>
        <w:tc>
          <w:tcPr>
            <w:tcW w:w="1088" w:type="dxa"/>
          </w:tcPr>
          <w:p w:rsidR="00723338" w:rsidRPr="005463BB" w:rsidRDefault="005463BB" w:rsidP="003A1BD9">
            <w:pPr>
              <w:pStyle w:val="Tdec"/>
              <w:rPr>
                <w:rFonts w:ascii="Arial" w:hAnsi="Arial" w:cs="Arial"/>
                <w:sz w:val="19"/>
                <w:szCs w:val="19"/>
              </w:rPr>
            </w:pPr>
            <w:r w:rsidRPr="005463BB">
              <w:rPr>
                <w:rFonts w:ascii="Arial" w:hAnsi="Arial" w:cs="Arial"/>
                <w:sz w:val="19"/>
                <w:szCs w:val="19"/>
              </w:rPr>
              <w:t>11</w:t>
            </w:r>
            <w:r w:rsidR="00723DFA">
              <w:rPr>
                <w:rFonts w:ascii="Arial" w:hAnsi="Arial" w:cs="Arial"/>
                <w:sz w:val="19"/>
                <w:szCs w:val="19"/>
              </w:rPr>
              <w:t>5</w:t>
            </w:r>
          </w:p>
        </w:tc>
      </w:tr>
      <w:tr w:rsidR="00FB7342" w:rsidRPr="005463BB" w:rsidTr="00270CEB">
        <w:trPr>
          <w:cantSplit/>
        </w:trPr>
        <w:tc>
          <w:tcPr>
            <w:tcW w:w="2639" w:type="dxa"/>
          </w:tcPr>
          <w:p w:rsidR="00FB7342" w:rsidRPr="005463BB" w:rsidRDefault="00723338" w:rsidP="003A1BD9">
            <w:pPr>
              <w:pStyle w:val="Tindent"/>
              <w:rPr>
                <w:rFonts w:ascii="Arial" w:hAnsi="Arial" w:cs="Arial"/>
                <w:sz w:val="19"/>
                <w:szCs w:val="19"/>
              </w:rPr>
            </w:pPr>
            <w:r w:rsidRPr="005463BB">
              <w:rPr>
                <w:rFonts w:ascii="Arial" w:hAnsi="Arial" w:cs="Arial"/>
                <w:sz w:val="19"/>
                <w:szCs w:val="19"/>
              </w:rPr>
              <w:t>On disposa</w:t>
            </w:r>
            <w:r w:rsidR="00C70189" w:rsidRPr="005463BB">
              <w:rPr>
                <w:rFonts w:ascii="Arial" w:hAnsi="Arial" w:cs="Arial"/>
                <w:sz w:val="19"/>
                <w:szCs w:val="19"/>
              </w:rPr>
              <w:t>l</w:t>
            </w:r>
            <w:r w:rsidRPr="005463BB">
              <w:rPr>
                <w:rFonts w:ascii="Arial" w:hAnsi="Arial" w:cs="Arial"/>
                <w:sz w:val="19"/>
                <w:szCs w:val="19"/>
              </w:rPr>
              <w:t>s</w:t>
            </w:r>
          </w:p>
        </w:tc>
        <w:tc>
          <w:tcPr>
            <w:tcW w:w="84" w:type="dxa"/>
          </w:tcPr>
          <w:p w:rsidR="00FB7342" w:rsidRPr="005463BB" w:rsidRDefault="00FB7342" w:rsidP="003A1BD9">
            <w:pPr>
              <w:pStyle w:val="Tdec"/>
              <w:rPr>
                <w:rFonts w:ascii="Arial" w:hAnsi="Arial" w:cs="Arial"/>
                <w:sz w:val="19"/>
                <w:szCs w:val="19"/>
              </w:rPr>
            </w:pPr>
          </w:p>
        </w:tc>
        <w:tc>
          <w:tcPr>
            <w:tcW w:w="1417" w:type="dxa"/>
          </w:tcPr>
          <w:p w:rsidR="00FB7342" w:rsidRPr="005463BB" w:rsidRDefault="00FA2584" w:rsidP="003A1BD9">
            <w:pPr>
              <w:pStyle w:val="Tdec"/>
              <w:rPr>
                <w:rFonts w:ascii="Arial" w:hAnsi="Arial" w:cs="Arial"/>
                <w:sz w:val="19"/>
                <w:szCs w:val="19"/>
              </w:rPr>
            </w:pPr>
            <w:r w:rsidRPr="005463BB">
              <w:rPr>
                <w:rFonts w:ascii="Arial" w:hAnsi="Arial" w:cs="Arial"/>
                <w:sz w:val="19"/>
                <w:szCs w:val="19"/>
              </w:rPr>
              <w:t>-</w:t>
            </w:r>
          </w:p>
        </w:tc>
        <w:tc>
          <w:tcPr>
            <w:tcW w:w="1418" w:type="dxa"/>
          </w:tcPr>
          <w:p w:rsidR="00FB7342" w:rsidRPr="005463BB" w:rsidRDefault="00FA2584" w:rsidP="003A1BD9">
            <w:pPr>
              <w:pStyle w:val="Tdec"/>
              <w:rPr>
                <w:rFonts w:ascii="Arial" w:hAnsi="Arial" w:cs="Arial"/>
                <w:sz w:val="19"/>
                <w:szCs w:val="19"/>
              </w:rPr>
            </w:pPr>
            <w:r w:rsidRPr="005463BB">
              <w:rPr>
                <w:rFonts w:ascii="Arial" w:hAnsi="Arial" w:cs="Arial"/>
                <w:sz w:val="19"/>
                <w:szCs w:val="19"/>
              </w:rPr>
              <w:t>-</w:t>
            </w:r>
          </w:p>
        </w:tc>
        <w:tc>
          <w:tcPr>
            <w:tcW w:w="1417"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0</w:t>
            </w:r>
          </w:p>
        </w:tc>
        <w:tc>
          <w:tcPr>
            <w:tcW w:w="1418"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0</w:t>
            </w:r>
          </w:p>
        </w:tc>
        <w:tc>
          <w:tcPr>
            <w:tcW w:w="1088"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0</w:t>
            </w:r>
          </w:p>
        </w:tc>
      </w:tr>
      <w:tr w:rsidR="00FB7342" w:rsidRPr="005463BB" w:rsidTr="00270CEB">
        <w:trPr>
          <w:cantSplit/>
        </w:trPr>
        <w:tc>
          <w:tcPr>
            <w:tcW w:w="2639" w:type="dxa"/>
          </w:tcPr>
          <w:p w:rsidR="00FB7342" w:rsidRPr="005463BB" w:rsidRDefault="00FB7342" w:rsidP="003A1BD9">
            <w:pPr>
              <w:pStyle w:val="B0"/>
              <w:spacing w:line="240" w:lineRule="auto"/>
              <w:rPr>
                <w:rFonts w:ascii="Arial" w:hAnsi="Arial" w:cs="Arial"/>
                <w:sz w:val="19"/>
                <w:szCs w:val="19"/>
              </w:rPr>
            </w:pPr>
          </w:p>
        </w:tc>
        <w:tc>
          <w:tcPr>
            <w:tcW w:w="84" w:type="dxa"/>
          </w:tcPr>
          <w:p w:rsidR="00FB7342" w:rsidRPr="005463BB" w:rsidRDefault="00FB7342" w:rsidP="003A1BD9">
            <w:pPr>
              <w:pStyle w:val="B0"/>
              <w:spacing w:line="240" w:lineRule="auto"/>
              <w:rPr>
                <w:rFonts w:ascii="Arial" w:hAnsi="Arial" w:cs="Arial"/>
                <w:sz w:val="19"/>
                <w:szCs w:val="19"/>
              </w:rPr>
            </w:pPr>
          </w:p>
        </w:tc>
        <w:tc>
          <w:tcPr>
            <w:tcW w:w="1417" w:type="dxa"/>
          </w:tcPr>
          <w:p w:rsidR="00FB7342" w:rsidRPr="005463BB" w:rsidRDefault="00FB7342" w:rsidP="003A1BD9">
            <w:pPr>
              <w:pStyle w:val="S9"/>
              <w:spacing w:line="240" w:lineRule="auto"/>
              <w:rPr>
                <w:rFonts w:ascii="Arial" w:hAnsi="Arial" w:cs="Arial"/>
                <w:sz w:val="19"/>
                <w:szCs w:val="19"/>
              </w:rPr>
            </w:pPr>
          </w:p>
        </w:tc>
        <w:tc>
          <w:tcPr>
            <w:tcW w:w="1418" w:type="dxa"/>
          </w:tcPr>
          <w:p w:rsidR="00FB7342" w:rsidRPr="005463BB" w:rsidRDefault="00FB7342" w:rsidP="003A1BD9">
            <w:pPr>
              <w:pStyle w:val="S9"/>
              <w:spacing w:line="240" w:lineRule="auto"/>
              <w:rPr>
                <w:rFonts w:ascii="Arial" w:hAnsi="Arial" w:cs="Arial"/>
                <w:sz w:val="19"/>
                <w:szCs w:val="19"/>
              </w:rPr>
            </w:pPr>
          </w:p>
        </w:tc>
        <w:tc>
          <w:tcPr>
            <w:tcW w:w="1417" w:type="dxa"/>
          </w:tcPr>
          <w:p w:rsidR="00FB7342" w:rsidRPr="005463BB" w:rsidRDefault="00FB7342" w:rsidP="003A1BD9">
            <w:pPr>
              <w:pStyle w:val="S9"/>
              <w:spacing w:line="240" w:lineRule="auto"/>
              <w:rPr>
                <w:rFonts w:ascii="Arial" w:hAnsi="Arial" w:cs="Arial"/>
                <w:sz w:val="19"/>
                <w:szCs w:val="19"/>
              </w:rPr>
            </w:pPr>
          </w:p>
        </w:tc>
        <w:tc>
          <w:tcPr>
            <w:tcW w:w="1418" w:type="dxa"/>
          </w:tcPr>
          <w:p w:rsidR="00FB7342" w:rsidRPr="005463BB" w:rsidRDefault="00FB7342" w:rsidP="003A1BD9">
            <w:pPr>
              <w:pStyle w:val="S9"/>
              <w:spacing w:line="240" w:lineRule="auto"/>
              <w:rPr>
                <w:rFonts w:ascii="Arial" w:hAnsi="Arial" w:cs="Arial"/>
                <w:sz w:val="19"/>
                <w:szCs w:val="19"/>
              </w:rPr>
            </w:pPr>
          </w:p>
        </w:tc>
        <w:tc>
          <w:tcPr>
            <w:tcW w:w="1088" w:type="dxa"/>
          </w:tcPr>
          <w:p w:rsidR="00FB7342" w:rsidRPr="005463BB" w:rsidRDefault="00FB7342" w:rsidP="003A1BD9">
            <w:pPr>
              <w:pStyle w:val="S9"/>
              <w:spacing w:line="240" w:lineRule="auto"/>
              <w:rPr>
                <w:rFonts w:ascii="Arial" w:hAnsi="Arial" w:cs="Arial"/>
                <w:sz w:val="19"/>
                <w:szCs w:val="19"/>
              </w:rPr>
            </w:pPr>
          </w:p>
        </w:tc>
      </w:tr>
      <w:tr w:rsidR="00FB7342" w:rsidRPr="005463BB" w:rsidTr="00270CEB">
        <w:trPr>
          <w:cantSplit/>
        </w:trPr>
        <w:tc>
          <w:tcPr>
            <w:tcW w:w="2639" w:type="dxa"/>
          </w:tcPr>
          <w:p w:rsidR="00FB7342" w:rsidRPr="005463BB" w:rsidRDefault="00FB7342" w:rsidP="005463BB">
            <w:pPr>
              <w:pStyle w:val="Tindent"/>
              <w:rPr>
                <w:rFonts w:ascii="Arial" w:hAnsi="Arial" w:cs="Arial"/>
                <w:sz w:val="19"/>
                <w:szCs w:val="19"/>
              </w:rPr>
            </w:pPr>
            <w:r w:rsidRPr="005463BB">
              <w:rPr>
                <w:rFonts w:ascii="Arial" w:hAnsi="Arial" w:cs="Arial"/>
                <w:sz w:val="19"/>
                <w:szCs w:val="19"/>
              </w:rPr>
              <w:t xml:space="preserve">At </w:t>
            </w:r>
            <w:r w:rsidRPr="005463BB">
              <w:rPr>
                <w:rFonts w:ascii="Arial" w:hAnsi="Arial" w:cs="Arial"/>
                <w:sz w:val="19"/>
                <w:szCs w:val="19"/>
              </w:rPr>
              <w:fldChar w:fldCharType="begin"/>
            </w:r>
            <w:r w:rsidRPr="005463BB">
              <w:rPr>
                <w:rFonts w:ascii="Arial" w:hAnsi="Arial" w:cs="Arial"/>
                <w:sz w:val="19"/>
                <w:szCs w:val="19"/>
              </w:rPr>
              <w:instrText>Date_Year \* charformat</w:instrText>
            </w:r>
            <w:r w:rsidRPr="005463BB">
              <w:rPr>
                <w:rFonts w:ascii="Arial" w:hAnsi="Arial" w:cs="Arial"/>
                <w:sz w:val="19"/>
                <w:szCs w:val="19"/>
              </w:rPr>
              <w:fldChar w:fldCharType="separate"/>
            </w:r>
            <w:r w:rsidR="00263A0D" w:rsidRPr="005463BB">
              <w:rPr>
                <w:rFonts w:ascii="Arial" w:hAnsi="Arial" w:cs="Arial"/>
                <w:sz w:val="19"/>
                <w:szCs w:val="19"/>
              </w:rPr>
              <w:t>31 March 201</w:t>
            </w:r>
            <w:r w:rsidRPr="005463BB">
              <w:rPr>
                <w:rFonts w:ascii="Arial" w:hAnsi="Arial" w:cs="Arial"/>
                <w:sz w:val="19"/>
                <w:szCs w:val="19"/>
              </w:rPr>
              <w:fldChar w:fldCharType="end"/>
            </w:r>
            <w:r w:rsidR="005463BB" w:rsidRPr="005463BB">
              <w:rPr>
                <w:rFonts w:ascii="Arial" w:hAnsi="Arial" w:cs="Arial"/>
                <w:sz w:val="19"/>
                <w:szCs w:val="19"/>
              </w:rPr>
              <w:t>5</w:t>
            </w:r>
          </w:p>
        </w:tc>
        <w:tc>
          <w:tcPr>
            <w:tcW w:w="84" w:type="dxa"/>
          </w:tcPr>
          <w:p w:rsidR="00FB7342" w:rsidRPr="005463BB" w:rsidRDefault="00FB7342" w:rsidP="003A1BD9">
            <w:pPr>
              <w:pStyle w:val="Tdec"/>
              <w:rPr>
                <w:rFonts w:ascii="Arial" w:hAnsi="Arial" w:cs="Arial"/>
                <w:sz w:val="19"/>
                <w:szCs w:val="19"/>
              </w:rPr>
            </w:pPr>
          </w:p>
        </w:tc>
        <w:tc>
          <w:tcPr>
            <w:tcW w:w="1417" w:type="dxa"/>
          </w:tcPr>
          <w:p w:rsidR="00FB7342" w:rsidRPr="005463BB" w:rsidRDefault="00902A93" w:rsidP="003A1BD9">
            <w:pPr>
              <w:pStyle w:val="Tdec"/>
              <w:rPr>
                <w:rFonts w:ascii="Arial" w:hAnsi="Arial" w:cs="Arial"/>
                <w:sz w:val="19"/>
                <w:szCs w:val="19"/>
              </w:rPr>
            </w:pPr>
            <w:r w:rsidRPr="005463BB">
              <w:rPr>
                <w:rFonts w:ascii="Arial" w:hAnsi="Arial" w:cs="Arial"/>
                <w:sz w:val="19"/>
                <w:szCs w:val="19"/>
              </w:rPr>
              <w:t>1</w:t>
            </w:r>
            <w:r w:rsidR="005463BB" w:rsidRPr="005463BB">
              <w:rPr>
                <w:rFonts w:ascii="Arial" w:hAnsi="Arial" w:cs="Arial"/>
                <w:sz w:val="19"/>
                <w:szCs w:val="19"/>
              </w:rPr>
              <w:t>7</w:t>
            </w:r>
            <w:r w:rsidR="00723DFA">
              <w:rPr>
                <w:rFonts w:ascii="Arial" w:hAnsi="Arial" w:cs="Arial"/>
                <w:sz w:val="19"/>
                <w:szCs w:val="19"/>
              </w:rPr>
              <w:t>2</w:t>
            </w:r>
          </w:p>
        </w:tc>
        <w:tc>
          <w:tcPr>
            <w:tcW w:w="1418" w:type="dxa"/>
          </w:tcPr>
          <w:p w:rsidR="00FB7342" w:rsidRPr="005463BB" w:rsidRDefault="00FA2584" w:rsidP="003A1BD9">
            <w:pPr>
              <w:pStyle w:val="Tdec"/>
              <w:rPr>
                <w:rFonts w:ascii="Arial" w:hAnsi="Arial" w:cs="Arial"/>
                <w:sz w:val="19"/>
                <w:szCs w:val="19"/>
              </w:rPr>
            </w:pPr>
            <w:r w:rsidRPr="005463BB">
              <w:rPr>
                <w:rFonts w:ascii="Arial" w:hAnsi="Arial" w:cs="Arial"/>
                <w:sz w:val="19"/>
                <w:szCs w:val="19"/>
              </w:rPr>
              <w:t>-</w:t>
            </w:r>
          </w:p>
        </w:tc>
        <w:tc>
          <w:tcPr>
            <w:tcW w:w="1417" w:type="dxa"/>
          </w:tcPr>
          <w:p w:rsidR="00FB7342" w:rsidRPr="005463BB" w:rsidRDefault="00902A93" w:rsidP="003A1BD9">
            <w:pPr>
              <w:pStyle w:val="Tdec"/>
              <w:rPr>
                <w:rFonts w:ascii="Arial" w:hAnsi="Arial" w:cs="Arial"/>
                <w:sz w:val="19"/>
                <w:szCs w:val="19"/>
              </w:rPr>
            </w:pPr>
            <w:r w:rsidRPr="005463BB">
              <w:rPr>
                <w:rFonts w:ascii="Arial" w:hAnsi="Arial" w:cs="Arial"/>
                <w:sz w:val="19"/>
                <w:szCs w:val="19"/>
              </w:rPr>
              <w:t>1</w:t>
            </w:r>
            <w:r w:rsidR="005463BB" w:rsidRPr="005463BB">
              <w:rPr>
                <w:rFonts w:ascii="Arial" w:hAnsi="Arial" w:cs="Arial"/>
                <w:sz w:val="19"/>
                <w:szCs w:val="19"/>
              </w:rPr>
              <w:t>4</w:t>
            </w:r>
            <w:r w:rsidR="00723DFA">
              <w:rPr>
                <w:rFonts w:ascii="Arial" w:hAnsi="Arial" w:cs="Arial"/>
                <w:sz w:val="19"/>
                <w:szCs w:val="19"/>
              </w:rPr>
              <w:t>4</w:t>
            </w:r>
          </w:p>
        </w:tc>
        <w:tc>
          <w:tcPr>
            <w:tcW w:w="1418"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217</w:t>
            </w:r>
          </w:p>
        </w:tc>
        <w:tc>
          <w:tcPr>
            <w:tcW w:w="1088" w:type="dxa"/>
          </w:tcPr>
          <w:p w:rsidR="00FB7342" w:rsidRPr="005463BB" w:rsidRDefault="001F1404" w:rsidP="003A1BD9">
            <w:pPr>
              <w:pStyle w:val="Tdec"/>
              <w:rPr>
                <w:rFonts w:ascii="Arial" w:hAnsi="Arial" w:cs="Arial"/>
                <w:sz w:val="19"/>
                <w:szCs w:val="19"/>
              </w:rPr>
            </w:pPr>
            <w:r>
              <w:rPr>
                <w:rFonts w:ascii="Arial" w:hAnsi="Arial" w:cs="Arial"/>
                <w:sz w:val="19"/>
                <w:szCs w:val="19"/>
              </w:rPr>
              <w:t>533</w:t>
            </w:r>
          </w:p>
        </w:tc>
      </w:tr>
      <w:tr w:rsidR="00FB7342" w:rsidRPr="005463BB" w:rsidTr="00270CEB">
        <w:trPr>
          <w:cantSplit/>
        </w:trPr>
        <w:tc>
          <w:tcPr>
            <w:tcW w:w="2639" w:type="dxa"/>
          </w:tcPr>
          <w:p w:rsidR="00FB7342" w:rsidRPr="005463BB" w:rsidRDefault="00FB7342" w:rsidP="003A1BD9">
            <w:pPr>
              <w:pStyle w:val="B0"/>
              <w:spacing w:line="240" w:lineRule="auto"/>
              <w:rPr>
                <w:rFonts w:ascii="Arial" w:hAnsi="Arial" w:cs="Arial"/>
                <w:sz w:val="19"/>
                <w:szCs w:val="19"/>
              </w:rPr>
            </w:pPr>
          </w:p>
        </w:tc>
        <w:tc>
          <w:tcPr>
            <w:tcW w:w="84" w:type="dxa"/>
          </w:tcPr>
          <w:p w:rsidR="00FB7342" w:rsidRPr="005463BB" w:rsidRDefault="00FB7342" w:rsidP="003A1BD9">
            <w:pPr>
              <w:pStyle w:val="B0"/>
              <w:spacing w:line="240" w:lineRule="auto"/>
              <w:rPr>
                <w:rFonts w:ascii="Arial" w:hAnsi="Arial" w:cs="Arial"/>
                <w:sz w:val="19"/>
                <w:szCs w:val="19"/>
              </w:rPr>
            </w:pPr>
          </w:p>
        </w:tc>
        <w:tc>
          <w:tcPr>
            <w:tcW w:w="1417" w:type="dxa"/>
          </w:tcPr>
          <w:p w:rsidR="00FB7342" w:rsidRPr="005463BB" w:rsidRDefault="00FB7342" w:rsidP="003A1BD9">
            <w:pPr>
              <w:pStyle w:val="S9"/>
              <w:spacing w:line="240" w:lineRule="auto"/>
              <w:rPr>
                <w:rFonts w:ascii="Arial" w:hAnsi="Arial" w:cs="Arial"/>
                <w:sz w:val="19"/>
                <w:szCs w:val="19"/>
              </w:rPr>
            </w:pPr>
          </w:p>
        </w:tc>
        <w:tc>
          <w:tcPr>
            <w:tcW w:w="1418" w:type="dxa"/>
          </w:tcPr>
          <w:p w:rsidR="00FB7342" w:rsidRPr="005463BB" w:rsidRDefault="00FB7342" w:rsidP="003A1BD9">
            <w:pPr>
              <w:pStyle w:val="S9"/>
              <w:spacing w:line="240" w:lineRule="auto"/>
              <w:rPr>
                <w:rFonts w:ascii="Arial" w:hAnsi="Arial" w:cs="Arial"/>
                <w:sz w:val="19"/>
                <w:szCs w:val="19"/>
              </w:rPr>
            </w:pPr>
          </w:p>
        </w:tc>
        <w:tc>
          <w:tcPr>
            <w:tcW w:w="1417" w:type="dxa"/>
          </w:tcPr>
          <w:p w:rsidR="00FB7342" w:rsidRPr="005463BB" w:rsidRDefault="00FB7342" w:rsidP="003A1BD9">
            <w:pPr>
              <w:pStyle w:val="S9"/>
              <w:spacing w:line="240" w:lineRule="auto"/>
              <w:rPr>
                <w:rFonts w:ascii="Arial" w:hAnsi="Arial" w:cs="Arial"/>
                <w:sz w:val="19"/>
                <w:szCs w:val="19"/>
              </w:rPr>
            </w:pPr>
          </w:p>
        </w:tc>
        <w:tc>
          <w:tcPr>
            <w:tcW w:w="1418" w:type="dxa"/>
          </w:tcPr>
          <w:p w:rsidR="00FB7342" w:rsidRPr="005463BB" w:rsidRDefault="00FB7342" w:rsidP="003A1BD9">
            <w:pPr>
              <w:pStyle w:val="S9"/>
              <w:spacing w:line="240" w:lineRule="auto"/>
              <w:rPr>
                <w:rFonts w:ascii="Arial" w:hAnsi="Arial" w:cs="Arial"/>
                <w:sz w:val="19"/>
                <w:szCs w:val="19"/>
              </w:rPr>
            </w:pPr>
          </w:p>
        </w:tc>
        <w:tc>
          <w:tcPr>
            <w:tcW w:w="1088" w:type="dxa"/>
          </w:tcPr>
          <w:p w:rsidR="00FB7342" w:rsidRPr="005463BB" w:rsidRDefault="00FB7342" w:rsidP="003A1BD9">
            <w:pPr>
              <w:pStyle w:val="S9"/>
              <w:spacing w:line="240" w:lineRule="auto"/>
              <w:rPr>
                <w:rFonts w:ascii="Arial" w:hAnsi="Arial" w:cs="Arial"/>
                <w:sz w:val="19"/>
                <w:szCs w:val="19"/>
              </w:rPr>
            </w:pPr>
          </w:p>
        </w:tc>
      </w:tr>
      <w:tr w:rsidR="00FB7342" w:rsidRPr="005463BB" w:rsidTr="00270CEB">
        <w:trPr>
          <w:cantSplit/>
        </w:trPr>
        <w:tc>
          <w:tcPr>
            <w:tcW w:w="2639" w:type="dxa"/>
          </w:tcPr>
          <w:p w:rsidR="00FB7342" w:rsidRPr="005463BB" w:rsidRDefault="00FB7342" w:rsidP="003A1BD9">
            <w:pPr>
              <w:pStyle w:val="Tindent"/>
              <w:rPr>
                <w:rFonts w:ascii="Arial" w:hAnsi="Arial" w:cs="Arial"/>
                <w:b/>
                <w:sz w:val="19"/>
                <w:szCs w:val="19"/>
              </w:rPr>
            </w:pPr>
            <w:r w:rsidRPr="005463BB">
              <w:rPr>
                <w:rFonts w:ascii="Arial" w:hAnsi="Arial" w:cs="Arial"/>
                <w:b/>
                <w:sz w:val="19"/>
                <w:szCs w:val="19"/>
              </w:rPr>
              <w:t>Net book value</w:t>
            </w:r>
          </w:p>
        </w:tc>
        <w:tc>
          <w:tcPr>
            <w:tcW w:w="84" w:type="dxa"/>
          </w:tcPr>
          <w:p w:rsidR="00FB7342" w:rsidRPr="005463BB" w:rsidRDefault="00FB7342" w:rsidP="003A1BD9">
            <w:pPr>
              <w:pStyle w:val="Tdec"/>
              <w:rPr>
                <w:rFonts w:ascii="Arial" w:hAnsi="Arial" w:cs="Arial"/>
                <w:sz w:val="19"/>
                <w:szCs w:val="19"/>
              </w:rPr>
            </w:pPr>
          </w:p>
        </w:tc>
        <w:tc>
          <w:tcPr>
            <w:tcW w:w="1417" w:type="dxa"/>
          </w:tcPr>
          <w:p w:rsidR="00FB7342" w:rsidRPr="005463BB" w:rsidRDefault="00FB7342" w:rsidP="003A1BD9">
            <w:pPr>
              <w:pStyle w:val="Tdec"/>
              <w:rPr>
                <w:rFonts w:ascii="Arial" w:hAnsi="Arial" w:cs="Arial"/>
                <w:sz w:val="19"/>
                <w:szCs w:val="19"/>
              </w:rPr>
            </w:pPr>
          </w:p>
        </w:tc>
        <w:tc>
          <w:tcPr>
            <w:tcW w:w="1418" w:type="dxa"/>
          </w:tcPr>
          <w:p w:rsidR="00FB7342" w:rsidRPr="005463BB" w:rsidRDefault="00FB7342" w:rsidP="003A1BD9">
            <w:pPr>
              <w:pStyle w:val="Tdec"/>
              <w:rPr>
                <w:rFonts w:ascii="Arial" w:hAnsi="Arial" w:cs="Arial"/>
                <w:sz w:val="19"/>
                <w:szCs w:val="19"/>
              </w:rPr>
            </w:pPr>
          </w:p>
        </w:tc>
        <w:tc>
          <w:tcPr>
            <w:tcW w:w="1417" w:type="dxa"/>
          </w:tcPr>
          <w:p w:rsidR="00FB7342" w:rsidRPr="005463BB" w:rsidRDefault="00FB7342" w:rsidP="003A1BD9">
            <w:pPr>
              <w:pStyle w:val="Tdec"/>
              <w:rPr>
                <w:rFonts w:ascii="Arial" w:hAnsi="Arial" w:cs="Arial"/>
                <w:sz w:val="19"/>
                <w:szCs w:val="19"/>
              </w:rPr>
            </w:pPr>
          </w:p>
        </w:tc>
        <w:tc>
          <w:tcPr>
            <w:tcW w:w="1418" w:type="dxa"/>
          </w:tcPr>
          <w:p w:rsidR="00FB7342" w:rsidRPr="005463BB" w:rsidRDefault="00FB7342" w:rsidP="003A1BD9">
            <w:pPr>
              <w:pStyle w:val="Tdec"/>
              <w:rPr>
                <w:rFonts w:ascii="Arial" w:hAnsi="Arial" w:cs="Arial"/>
                <w:sz w:val="19"/>
                <w:szCs w:val="19"/>
              </w:rPr>
            </w:pPr>
          </w:p>
        </w:tc>
        <w:tc>
          <w:tcPr>
            <w:tcW w:w="1088" w:type="dxa"/>
          </w:tcPr>
          <w:p w:rsidR="00FB7342" w:rsidRPr="005463BB" w:rsidRDefault="00FB7342" w:rsidP="003A1BD9">
            <w:pPr>
              <w:pStyle w:val="Tdec"/>
              <w:rPr>
                <w:rFonts w:ascii="Arial" w:hAnsi="Arial" w:cs="Arial"/>
                <w:sz w:val="19"/>
                <w:szCs w:val="19"/>
              </w:rPr>
            </w:pPr>
          </w:p>
        </w:tc>
      </w:tr>
      <w:tr w:rsidR="00FB7342" w:rsidRPr="005463BB" w:rsidTr="00270CEB">
        <w:trPr>
          <w:cantSplit/>
        </w:trPr>
        <w:tc>
          <w:tcPr>
            <w:tcW w:w="2639" w:type="dxa"/>
          </w:tcPr>
          <w:p w:rsidR="00FB7342" w:rsidRPr="005463BB" w:rsidRDefault="00FB7342" w:rsidP="005463BB">
            <w:pPr>
              <w:pStyle w:val="Tindent"/>
              <w:rPr>
                <w:rFonts w:ascii="Arial" w:hAnsi="Arial" w:cs="Arial"/>
                <w:sz w:val="19"/>
                <w:szCs w:val="19"/>
              </w:rPr>
            </w:pPr>
            <w:r w:rsidRPr="005463BB">
              <w:rPr>
                <w:rFonts w:ascii="Arial" w:hAnsi="Arial" w:cs="Arial"/>
                <w:sz w:val="19"/>
                <w:szCs w:val="19"/>
              </w:rPr>
              <w:t xml:space="preserve">At </w:t>
            </w:r>
            <w:r w:rsidRPr="005463BB">
              <w:rPr>
                <w:rFonts w:ascii="Arial" w:hAnsi="Arial" w:cs="Arial"/>
                <w:sz w:val="19"/>
                <w:szCs w:val="19"/>
              </w:rPr>
              <w:fldChar w:fldCharType="begin"/>
            </w:r>
            <w:r w:rsidRPr="005463BB">
              <w:rPr>
                <w:rFonts w:ascii="Arial" w:hAnsi="Arial" w:cs="Arial"/>
                <w:sz w:val="19"/>
                <w:szCs w:val="19"/>
              </w:rPr>
              <w:instrText>Date_Year \* charformat</w:instrText>
            </w:r>
            <w:r w:rsidRPr="005463BB">
              <w:rPr>
                <w:rFonts w:ascii="Arial" w:hAnsi="Arial" w:cs="Arial"/>
                <w:sz w:val="19"/>
                <w:szCs w:val="19"/>
              </w:rPr>
              <w:fldChar w:fldCharType="separate"/>
            </w:r>
            <w:r w:rsidR="00263A0D" w:rsidRPr="005463BB">
              <w:rPr>
                <w:rFonts w:ascii="Arial" w:hAnsi="Arial" w:cs="Arial"/>
                <w:sz w:val="19"/>
                <w:szCs w:val="19"/>
              </w:rPr>
              <w:t>31 March 201</w:t>
            </w:r>
            <w:r w:rsidRPr="005463BB">
              <w:rPr>
                <w:rFonts w:ascii="Arial" w:hAnsi="Arial" w:cs="Arial"/>
                <w:sz w:val="19"/>
                <w:szCs w:val="19"/>
              </w:rPr>
              <w:fldChar w:fldCharType="end"/>
            </w:r>
            <w:r w:rsidR="005463BB" w:rsidRPr="005463BB">
              <w:rPr>
                <w:rFonts w:ascii="Arial" w:hAnsi="Arial" w:cs="Arial"/>
                <w:sz w:val="19"/>
                <w:szCs w:val="19"/>
              </w:rPr>
              <w:t>5</w:t>
            </w:r>
          </w:p>
        </w:tc>
        <w:tc>
          <w:tcPr>
            <w:tcW w:w="84" w:type="dxa"/>
          </w:tcPr>
          <w:p w:rsidR="00FB7342" w:rsidRPr="005463BB" w:rsidRDefault="00FB7342" w:rsidP="003A1BD9">
            <w:pPr>
              <w:pStyle w:val="Tdec"/>
              <w:rPr>
                <w:rFonts w:ascii="Arial" w:hAnsi="Arial" w:cs="Arial"/>
                <w:sz w:val="19"/>
                <w:szCs w:val="19"/>
              </w:rPr>
            </w:pPr>
          </w:p>
        </w:tc>
        <w:tc>
          <w:tcPr>
            <w:tcW w:w="1417" w:type="dxa"/>
          </w:tcPr>
          <w:p w:rsidR="00FB7342" w:rsidRPr="005463BB" w:rsidRDefault="00902A93" w:rsidP="003A1BD9">
            <w:pPr>
              <w:pStyle w:val="Tdec"/>
              <w:rPr>
                <w:rFonts w:ascii="Arial" w:hAnsi="Arial" w:cs="Arial"/>
                <w:sz w:val="19"/>
                <w:szCs w:val="19"/>
              </w:rPr>
            </w:pPr>
            <w:r w:rsidRPr="005463BB">
              <w:rPr>
                <w:rFonts w:ascii="Arial" w:hAnsi="Arial" w:cs="Arial"/>
                <w:sz w:val="19"/>
                <w:szCs w:val="19"/>
              </w:rPr>
              <w:t>2,6</w:t>
            </w:r>
            <w:r w:rsidR="005463BB" w:rsidRPr="005463BB">
              <w:rPr>
                <w:rFonts w:ascii="Arial" w:hAnsi="Arial" w:cs="Arial"/>
                <w:sz w:val="19"/>
                <w:szCs w:val="19"/>
              </w:rPr>
              <w:t>3</w:t>
            </w:r>
            <w:r w:rsidR="00723DFA">
              <w:rPr>
                <w:rFonts w:ascii="Arial" w:hAnsi="Arial" w:cs="Arial"/>
                <w:sz w:val="19"/>
                <w:szCs w:val="19"/>
              </w:rPr>
              <w:t>1</w:t>
            </w:r>
          </w:p>
        </w:tc>
        <w:tc>
          <w:tcPr>
            <w:tcW w:w="1418" w:type="dxa"/>
          </w:tcPr>
          <w:p w:rsidR="00FB7342" w:rsidRPr="005463BB" w:rsidRDefault="00FA2584" w:rsidP="003A1BD9">
            <w:pPr>
              <w:pStyle w:val="Tdec"/>
              <w:rPr>
                <w:rFonts w:ascii="Arial" w:hAnsi="Arial" w:cs="Arial"/>
                <w:sz w:val="19"/>
                <w:szCs w:val="19"/>
              </w:rPr>
            </w:pPr>
            <w:r w:rsidRPr="005463BB">
              <w:rPr>
                <w:rFonts w:ascii="Arial" w:hAnsi="Arial" w:cs="Arial"/>
                <w:sz w:val="19"/>
                <w:szCs w:val="19"/>
              </w:rPr>
              <w:t>-</w:t>
            </w:r>
          </w:p>
        </w:tc>
        <w:tc>
          <w:tcPr>
            <w:tcW w:w="1417" w:type="dxa"/>
          </w:tcPr>
          <w:p w:rsidR="00FB7342" w:rsidRPr="005463BB" w:rsidRDefault="00902A93" w:rsidP="003A1BD9">
            <w:pPr>
              <w:pStyle w:val="Tdec"/>
              <w:rPr>
                <w:rFonts w:ascii="Arial" w:hAnsi="Arial" w:cs="Arial"/>
                <w:sz w:val="19"/>
                <w:szCs w:val="19"/>
              </w:rPr>
            </w:pPr>
            <w:r w:rsidRPr="005463BB">
              <w:rPr>
                <w:rFonts w:ascii="Arial" w:hAnsi="Arial" w:cs="Arial"/>
                <w:sz w:val="19"/>
                <w:szCs w:val="19"/>
              </w:rPr>
              <w:t>1</w:t>
            </w:r>
            <w:r w:rsidR="005463BB" w:rsidRPr="005463BB">
              <w:rPr>
                <w:rFonts w:ascii="Arial" w:hAnsi="Arial" w:cs="Arial"/>
                <w:sz w:val="19"/>
                <w:szCs w:val="19"/>
              </w:rPr>
              <w:t>25</w:t>
            </w:r>
          </w:p>
        </w:tc>
        <w:tc>
          <w:tcPr>
            <w:tcW w:w="1418"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3</w:t>
            </w:r>
            <w:r w:rsidR="00723DFA">
              <w:rPr>
                <w:rFonts w:ascii="Arial" w:hAnsi="Arial" w:cs="Arial"/>
                <w:sz w:val="19"/>
                <w:szCs w:val="19"/>
              </w:rPr>
              <w:t>5</w:t>
            </w:r>
          </w:p>
        </w:tc>
        <w:tc>
          <w:tcPr>
            <w:tcW w:w="1088" w:type="dxa"/>
          </w:tcPr>
          <w:p w:rsidR="00FB7342" w:rsidRPr="005463BB" w:rsidRDefault="00BE32B5" w:rsidP="003A1BD9">
            <w:pPr>
              <w:pStyle w:val="Tdec"/>
              <w:rPr>
                <w:rFonts w:ascii="Arial" w:hAnsi="Arial" w:cs="Arial"/>
                <w:sz w:val="19"/>
                <w:szCs w:val="19"/>
              </w:rPr>
            </w:pPr>
            <w:r w:rsidRPr="005463BB">
              <w:rPr>
                <w:rFonts w:ascii="Arial" w:hAnsi="Arial" w:cs="Arial"/>
                <w:sz w:val="19"/>
                <w:szCs w:val="19"/>
              </w:rPr>
              <w:t>2,</w:t>
            </w:r>
            <w:r w:rsidR="005463BB" w:rsidRPr="005463BB">
              <w:rPr>
                <w:rFonts w:ascii="Arial" w:hAnsi="Arial" w:cs="Arial"/>
                <w:sz w:val="19"/>
                <w:szCs w:val="19"/>
              </w:rPr>
              <w:t>791</w:t>
            </w:r>
          </w:p>
        </w:tc>
      </w:tr>
      <w:tr w:rsidR="00FB7342" w:rsidRPr="005463BB" w:rsidTr="00270CEB">
        <w:trPr>
          <w:cantSplit/>
        </w:trPr>
        <w:tc>
          <w:tcPr>
            <w:tcW w:w="2639" w:type="dxa"/>
          </w:tcPr>
          <w:p w:rsidR="00FB7342" w:rsidRPr="005463BB" w:rsidRDefault="00FB7342" w:rsidP="003A1BD9">
            <w:pPr>
              <w:pStyle w:val="B0"/>
              <w:spacing w:line="240" w:lineRule="auto"/>
              <w:rPr>
                <w:rFonts w:ascii="Arial" w:hAnsi="Arial" w:cs="Arial"/>
                <w:sz w:val="19"/>
                <w:szCs w:val="19"/>
              </w:rPr>
            </w:pPr>
          </w:p>
        </w:tc>
        <w:tc>
          <w:tcPr>
            <w:tcW w:w="84" w:type="dxa"/>
          </w:tcPr>
          <w:p w:rsidR="00FB7342" w:rsidRPr="005463BB" w:rsidRDefault="00FB7342" w:rsidP="003A1BD9">
            <w:pPr>
              <w:pStyle w:val="B0"/>
              <w:spacing w:line="240" w:lineRule="auto"/>
              <w:rPr>
                <w:rFonts w:ascii="Arial" w:hAnsi="Arial" w:cs="Arial"/>
                <w:sz w:val="19"/>
                <w:szCs w:val="19"/>
              </w:rPr>
            </w:pPr>
          </w:p>
        </w:tc>
        <w:tc>
          <w:tcPr>
            <w:tcW w:w="1417" w:type="dxa"/>
          </w:tcPr>
          <w:p w:rsidR="00FB7342" w:rsidRPr="005463BB" w:rsidRDefault="00FB7342" w:rsidP="003A1BD9">
            <w:pPr>
              <w:pStyle w:val="D9"/>
              <w:spacing w:line="240" w:lineRule="auto"/>
              <w:rPr>
                <w:rFonts w:ascii="Arial" w:hAnsi="Arial" w:cs="Arial"/>
                <w:sz w:val="19"/>
                <w:szCs w:val="19"/>
              </w:rPr>
            </w:pPr>
          </w:p>
        </w:tc>
        <w:tc>
          <w:tcPr>
            <w:tcW w:w="1418" w:type="dxa"/>
          </w:tcPr>
          <w:p w:rsidR="00FB7342" w:rsidRPr="005463BB" w:rsidRDefault="00FB7342" w:rsidP="003A1BD9">
            <w:pPr>
              <w:pStyle w:val="D9"/>
              <w:spacing w:line="240" w:lineRule="auto"/>
              <w:rPr>
                <w:rFonts w:ascii="Arial" w:hAnsi="Arial" w:cs="Arial"/>
                <w:sz w:val="19"/>
                <w:szCs w:val="19"/>
              </w:rPr>
            </w:pPr>
          </w:p>
        </w:tc>
        <w:tc>
          <w:tcPr>
            <w:tcW w:w="1417" w:type="dxa"/>
          </w:tcPr>
          <w:p w:rsidR="00FB7342" w:rsidRPr="005463BB" w:rsidRDefault="00FB7342" w:rsidP="003A1BD9">
            <w:pPr>
              <w:pStyle w:val="D9"/>
              <w:spacing w:line="240" w:lineRule="auto"/>
              <w:rPr>
                <w:rFonts w:ascii="Arial" w:hAnsi="Arial" w:cs="Arial"/>
                <w:sz w:val="19"/>
                <w:szCs w:val="19"/>
              </w:rPr>
            </w:pPr>
          </w:p>
        </w:tc>
        <w:tc>
          <w:tcPr>
            <w:tcW w:w="1418" w:type="dxa"/>
          </w:tcPr>
          <w:p w:rsidR="00FB7342" w:rsidRPr="005463BB" w:rsidRDefault="00FB7342" w:rsidP="003A1BD9">
            <w:pPr>
              <w:pStyle w:val="D9"/>
              <w:spacing w:line="240" w:lineRule="auto"/>
              <w:rPr>
                <w:rFonts w:ascii="Arial" w:hAnsi="Arial" w:cs="Arial"/>
                <w:sz w:val="19"/>
                <w:szCs w:val="19"/>
              </w:rPr>
            </w:pPr>
          </w:p>
        </w:tc>
        <w:tc>
          <w:tcPr>
            <w:tcW w:w="1088" w:type="dxa"/>
          </w:tcPr>
          <w:p w:rsidR="00FB7342" w:rsidRPr="005463BB" w:rsidRDefault="00FB7342" w:rsidP="003A1BD9">
            <w:pPr>
              <w:pStyle w:val="D9"/>
              <w:spacing w:line="240" w:lineRule="auto"/>
              <w:rPr>
                <w:rFonts w:ascii="Arial" w:hAnsi="Arial" w:cs="Arial"/>
                <w:sz w:val="19"/>
                <w:szCs w:val="19"/>
              </w:rPr>
            </w:pPr>
          </w:p>
        </w:tc>
      </w:tr>
      <w:tr w:rsidR="00FB7342" w:rsidRPr="005463BB" w:rsidTr="00270CEB">
        <w:trPr>
          <w:cantSplit/>
        </w:trPr>
        <w:tc>
          <w:tcPr>
            <w:tcW w:w="2639" w:type="dxa"/>
          </w:tcPr>
          <w:p w:rsidR="00FB7342" w:rsidRPr="005463BB" w:rsidRDefault="00FB7342" w:rsidP="005463BB">
            <w:pPr>
              <w:pStyle w:val="Tindent"/>
              <w:rPr>
                <w:rFonts w:ascii="Arial" w:hAnsi="Arial" w:cs="Arial"/>
                <w:sz w:val="19"/>
                <w:szCs w:val="19"/>
              </w:rPr>
            </w:pPr>
            <w:r w:rsidRPr="005463BB">
              <w:rPr>
                <w:rFonts w:ascii="Arial" w:hAnsi="Arial" w:cs="Arial"/>
                <w:sz w:val="19"/>
                <w:szCs w:val="19"/>
              </w:rPr>
              <w:t xml:space="preserve">At 31 </w:t>
            </w:r>
            <w:r w:rsidR="00172CC5" w:rsidRPr="005463BB">
              <w:rPr>
                <w:rFonts w:ascii="Arial" w:hAnsi="Arial" w:cs="Arial"/>
                <w:sz w:val="19"/>
                <w:szCs w:val="19"/>
              </w:rPr>
              <w:t>March 201</w:t>
            </w:r>
            <w:r w:rsidR="005463BB" w:rsidRPr="005463BB">
              <w:rPr>
                <w:rFonts w:ascii="Arial" w:hAnsi="Arial" w:cs="Arial"/>
                <w:sz w:val="19"/>
                <w:szCs w:val="19"/>
              </w:rPr>
              <w:t>4</w:t>
            </w:r>
          </w:p>
        </w:tc>
        <w:tc>
          <w:tcPr>
            <w:tcW w:w="84" w:type="dxa"/>
          </w:tcPr>
          <w:p w:rsidR="00FB7342" w:rsidRPr="005463BB" w:rsidRDefault="00FB7342" w:rsidP="003A1BD9">
            <w:pPr>
              <w:pStyle w:val="Tdec"/>
              <w:rPr>
                <w:rFonts w:ascii="Arial" w:hAnsi="Arial" w:cs="Arial"/>
                <w:sz w:val="19"/>
                <w:szCs w:val="19"/>
              </w:rPr>
            </w:pPr>
          </w:p>
        </w:tc>
        <w:tc>
          <w:tcPr>
            <w:tcW w:w="1417" w:type="dxa"/>
          </w:tcPr>
          <w:p w:rsidR="00FB7342" w:rsidRPr="005463BB" w:rsidRDefault="00172CC5" w:rsidP="003A1BD9">
            <w:pPr>
              <w:pStyle w:val="Tdec"/>
              <w:rPr>
                <w:rFonts w:ascii="Arial" w:hAnsi="Arial" w:cs="Arial"/>
                <w:sz w:val="19"/>
                <w:szCs w:val="19"/>
              </w:rPr>
            </w:pPr>
            <w:r w:rsidRPr="005463BB">
              <w:rPr>
                <w:rFonts w:ascii="Arial" w:hAnsi="Arial" w:cs="Arial"/>
                <w:sz w:val="19"/>
                <w:szCs w:val="19"/>
              </w:rPr>
              <w:t>2,6</w:t>
            </w:r>
            <w:r w:rsidR="005463BB" w:rsidRPr="005463BB">
              <w:rPr>
                <w:rFonts w:ascii="Arial" w:hAnsi="Arial" w:cs="Arial"/>
                <w:sz w:val="19"/>
                <w:szCs w:val="19"/>
              </w:rPr>
              <w:t>48</w:t>
            </w:r>
          </w:p>
        </w:tc>
        <w:tc>
          <w:tcPr>
            <w:tcW w:w="1418" w:type="dxa"/>
          </w:tcPr>
          <w:p w:rsidR="00FB7342" w:rsidRPr="005463BB" w:rsidRDefault="00172CC5" w:rsidP="003A1BD9">
            <w:pPr>
              <w:pStyle w:val="Tdec"/>
              <w:rPr>
                <w:rFonts w:ascii="Arial" w:hAnsi="Arial" w:cs="Arial"/>
                <w:sz w:val="19"/>
                <w:szCs w:val="19"/>
              </w:rPr>
            </w:pPr>
            <w:r w:rsidRPr="005463BB">
              <w:rPr>
                <w:rFonts w:ascii="Arial" w:hAnsi="Arial" w:cs="Arial"/>
                <w:sz w:val="19"/>
                <w:szCs w:val="19"/>
              </w:rPr>
              <w:t>-</w:t>
            </w:r>
          </w:p>
        </w:tc>
        <w:tc>
          <w:tcPr>
            <w:tcW w:w="1417" w:type="dxa"/>
          </w:tcPr>
          <w:p w:rsidR="00FB7342" w:rsidRPr="005463BB" w:rsidRDefault="00172CC5" w:rsidP="003A1BD9">
            <w:pPr>
              <w:pStyle w:val="Tdec"/>
              <w:rPr>
                <w:rFonts w:ascii="Arial" w:hAnsi="Arial" w:cs="Arial"/>
                <w:sz w:val="19"/>
                <w:szCs w:val="19"/>
              </w:rPr>
            </w:pPr>
            <w:r w:rsidRPr="005463BB">
              <w:rPr>
                <w:rFonts w:ascii="Arial" w:hAnsi="Arial" w:cs="Arial"/>
                <w:sz w:val="19"/>
                <w:szCs w:val="19"/>
              </w:rPr>
              <w:t>1</w:t>
            </w:r>
            <w:r w:rsidR="005463BB" w:rsidRPr="005463BB">
              <w:rPr>
                <w:rFonts w:ascii="Arial" w:hAnsi="Arial" w:cs="Arial"/>
                <w:sz w:val="19"/>
                <w:szCs w:val="19"/>
              </w:rPr>
              <w:t>57</w:t>
            </w:r>
          </w:p>
        </w:tc>
        <w:tc>
          <w:tcPr>
            <w:tcW w:w="1418" w:type="dxa"/>
          </w:tcPr>
          <w:p w:rsidR="00FB7342" w:rsidRPr="005463BB" w:rsidRDefault="005463BB" w:rsidP="003A1BD9">
            <w:pPr>
              <w:pStyle w:val="Tdec"/>
              <w:rPr>
                <w:rFonts w:ascii="Arial" w:hAnsi="Arial" w:cs="Arial"/>
                <w:sz w:val="19"/>
                <w:szCs w:val="19"/>
              </w:rPr>
            </w:pPr>
            <w:r w:rsidRPr="005463BB">
              <w:rPr>
                <w:rFonts w:ascii="Arial" w:hAnsi="Arial" w:cs="Arial"/>
                <w:sz w:val="19"/>
                <w:szCs w:val="19"/>
              </w:rPr>
              <w:t>44</w:t>
            </w:r>
          </w:p>
        </w:tc>
        <w:tc>
          <w:tcPr>
            <w:tcW w:w="1088" w:type="dxa"/>
          </w:tcPr>
          <w:p w:rsidR="00FB7342" w:rsidRPr="005463BB" w:rsidRDefault="00172CC5" w:rsidP="003A1BD9">
            <w:pPr>
              <w:pStyle w:val="Tdec"/>
              <w:rPr>
                <w:rFonts w:ascii="Arial" w:hAnsi="Arial" w:cs="Arial"/>
                <w:sz w:val="19"/>
                <w:szCs w:val="19"/>
              </w:rPr>
            </w:pPr>
            <w:r w:rsidRPr="005463BB">
              <w:rPr>
                <w:rFonts w:ascii="Arial" w:hAnsi="Arial" w:cs="Arial"/>
                <w:sz w:val="19"/>
                <w:szCs w:val="19"/>
              </w:rPr>
              <w:t>2,</w:t>
            </w:r>
            <w:r w:rsidR="005463BB" w:rsidRPr="005463BB">
              <w:rPr>
                <w:rFonts w:ascii="Arial" w:hAnsi="Arial" w:cs="Arial"/>
                <w:sz w:val="19"/>
                <w:szCs w:val="19"/>
              </w:rPr>
              <w:t>849</w:t>
            </w:r>
          </w:p>
        </w:tc>
      </w:tr>
      <w:tr w:rsidR="00FB7342" w:rsidRPr="005463BB" w:rsidTr="00270CEB">
        <w:trPr>
          <w:cantSplit/>
        </w:trPr>
        <w:tc>
          <w:tcPr>
            <w:tcW w:w="2639" w:type="dxa"/>
          </w:tcPr>
          <w:p w:rsidR="00FB7342" w:rsidRPr="005463BB" w:rsidRDefault="00FB7342" w:rsidP="003A1BD9">
            <w:pPr>
              <w:pStyle w:val="B0"/>
              <w:spacing w:line="240" w:lineRule="auto"/>
              <w:rPr>
                <w:rFonts w:ascii="Arial" w:hAnsi="Arial" w:cs="Arial"/>
                <w:sz w:val="19"/>
                <w:szCs w:val="19"/>
              </w:rPr>
            </w:pPr>
          </w:p>
        </w:tc>
        <w:tc>
          <w:tcPr>
            <w:tcW w:w="84" w:type="dxa"/>
          </w:tcPr>
          <w:p w:rsidR="00FB7342" w:rsidRPr="005463BB" w:rsidRDefault="00FB7342" w:rsidP="003A1BD9">
            <w:pPr>
              <w:pStyle w:val="B0"/>
              <w:spacing w:line="240" w:lineRule="auto"/>
              <w:rPr>
                <w:rFonts w:ascii="Arial" w:hAnsi="Arial" w:cs="Arial"/>
                <w:sz w:val="19"/>
                <w:szCs w:val="19"/>
              </w:rPr>
            </w:pPr>
          </w:p>
        </w:tc>
        <w:tc>
          <w:tcPr>
            <w:tcW w:w="1417" w:type="dxa"/>
          </w:tcPr>
          <w:p w:rsidR="00FB7342" w:rsidRPr="005463BB" w:rsidRDefault="00FB7342" w:rsidP="003A1BD9">
            <w:pPr>
              <w:pStyle w:val="D9"/>
              <w:spacing w:line="240" w:lineRule="auto"/>
              <w:rPr>
                <w:rFonts w:ascii="Arial" w:hAnsi="Arial" w:cs="Arial"/>
                <w:sz w:val="19"/>
                <w:szCs w:val="19"/>
              </w:rPr>
            </w:pPr>
          </w:p>
        </w:tc>
        <w:tc>
          <w:tcPr>
            <w:tcW w:w="1418" w:type="dxa"/>
          </w:tcPr>
          <w:p w:rsidR="00FB7342" w:rsidRPr="005463BB" w:rsidRDefault="00FB7342" w:rsidP="003A1BD9">
            <w:pPr>
              <w:pStyle w:val="D9"/>
              <w:spacing w:line="240" w:lineRule="auto"/>
              <w:rPr>
                <w:rFonts w:ascii="Arial" w:hAnsi="Arial" w:cs="Arial"/>
                <w:sz w:val="19"/>
                <w:szCs w:val="19"/>
              </w:rPr>
            </w:pPr>
          </w:p>
        </w:tc>
        <w:tc>
          <w:tcPr>
            <w:tcW w:w="1417" w:type="dxa"/>
          </w:tcPr>
          <w:p w:rsidR="00FB7342" w:rsidRPr="005463BB" w:rsidRDefault="00FB7342" w:rsidP="003A1BD9">
            <w:pPr>
              <w:pStyle w:val="D9"/>
              <w:spacing w:line="240" w:lineRule="auto"/>
              <w:rPr>
                <w:rFonts w:ascii="Arial" w:hAnsi="Arial" w:cs="Arial"/>
                <w:sz w:val="19"/>
                <w:szCs w:val="19"/>
              </w:rPr>
            </w:pPr>
          </w:p>
        </w:tc>
        <w:tc>
          <w:tcPr>
            <w:tcW w:w="1418" w:type="dxa"/>
          </w:tcPr>
          <w:p w:rsidR="00FB7342" w:rsidRPr="005463BB" w:rsidRDefault="00FB7342" w:rsidP="003A1BD9">
            <w:pPr>
              <w:pStyle w:val="D9"/>
              <w:spacing w:line="240" w:lineRule="auto"/>
              <w:rPr>
                <w:rFonts w:ascii="Arial" w:hAnsi="Arial" w:cs="Arial"/>
                <w:sz w:val="19"/>
                <w:szCs w:val="19"/>
              </w:rPr>
            </w:pPr>
          </w:p>
        </w:tc>
        <w:tc>
          <w:tcPr>
            <w:tcW w:w="1088" w:type="dxa"/>
          </w:tcPr>
          <w:p w:rsidR="00FB7342" w:rsidRPr="005463BB" w:rsidRDefault="00FB7342" w:rsidP="003A1BD9">
            <w:pPr>
              <w:pStyle w:val="D9"/>
              <w:spacing w:line="240" w:lineRule="auto"/>
              <w:rPr>
                <w:rFonts w:ascii="Arial" w:hAnsi="Arial" w:cs="Arial"/>
                <w:sz w:val="19"/>
                <w:szCs w:val="19"/>
              </w:rPr>
            </w:pPr>
          </w:p>
        </w:tc>
      </w:tr>
    </w:tbl>
    <w:p w:rsidR="00A812FF" w:rsidRPr="005463BB" w:rsidRDefault="00172CC5" w:rsidP="00E07F92">
      <w:pPr>
        <w:autoSpaceDE w:val="0"/>
        <w:autoSpaceDN w:val="0"/>
        <w:adjustRightInd w:val="0"/>
        <w:spacing w:after="0"/>
        <w:ind w:left="567"/>
        <w:rPr>
          <w:rFonts w:ascii="Arial" w:hAnsi="Arial" w:cs="Arial"/>
          <w:bCs/>
          <w:sz w:val="19"/>
          <w:szCs w:val="19"/>
          <w:lang w:val="en-US"/>
        </w:rPr>
      </w:pPr>
      <w:r w:rsidRPr="005463BB">
        <w:rPr>
          <w:rFonts w:ascii="Arial" w:hAnsi="Arial" w:cs="Arial"/>
          <w:bCs/>
          <w:sz w:val="19"/>
          <w:szCs w:val="19"/>
          <w:lang w:val="en-US"/>
        </w:rPr>
        <w:t xml:space="preserve">*Freehold land and buildings includes housing properties owned by the </w:t>
      </w:r>
      <w:r w:rsidR="00201B4C" w:rsidRPr="005463BB">
        <w:rPr>
          <w:rFonts w:ascii="Arial" w:hAnsi="Arial" w:cs="Arial"/>
          <w:bCs/>
          <w:sz w:val="19"/>
          <w:szCs w:val="19"/>
          <w:lang w:val="en-US"/>
        </w:rPr>
        <w:t>Company</w:t>
      </w:r>
      <w:r w:rsidRPr="005463BB">
        <w:rPr>
          <w:rFonts w:ascii="Arial" w:hAnsi="Arial" w:cs="Arial"/>
          <w:bCs/>
          <w:sz w:val="19"/>
          <w:szCs w:val="19"/>
          <w:lang w:val="en-US"/>
        </w:rPr>
        <w:t xml:space="preserve"> held for rental in its own name as distinct from the housing stock managed on behalf of Northumberland County Council</w:t>
      </w:r>
    </w:p>
    <w:p w:rsidR="00E07F92" w:rsidRPr="00C46A29" w:rsidRDefault="00E07F92" w:rsidP="00E07F92">
      <w:pPr>
        <w:spacing w:after="0"/>
        <w:jc w:val="left"/>
        <w:rPr>
          <w:rFonts w:ascii="Arial" w:hAnsi="Arial" w:cs="Arial"/>
          <w:sz w:val="19"/>
          <w:szCs w:val="19"/>
          <w:highlight w:val="yellow"/>
        </w:rPr>
      </w:pPr>
    </w:p>
    <w:p w:rsidR="00E07F92" w:rsidRPr="00A75F84" w:rsidRDefault="00E07F92" w:rsidP="00E07F92">
      <w:pPr>
        <w:tabs>
          <w:tab w:val="left" w:pos="567"/>
        </w:tabs>
        <w:spacing w:after="0"/>
        <w:jc w:val="left"/>
        <w:rPr>
          <w:rFonts w:ascii="Arial" w:hAnsi="Arial" w:cs="Arial"/>
          <w:b/>
          <w:sz w:val="24"/>
          <w:szCs w:val="19"/>
        </w:rPr>
      </w:pPr>
      <w:r w:rsidRPr="00A75F84">
        <w:rPr>
          <w:rFonts w:ascii="Arial" w:hAnsi="Arial" w:cs="Arial"/>
          <w:b/>
          <w:sz w:val="24"/>
          <w:szCs w:val="19"/>
        </w:rPr>
        <w:t>1</w:t>
      </w:r>
      <w:r w:rsidR="003517C6">
        <w:rPr>
          <w:rFonts w:ascii="Arial" w:hAnsi="Arial" w:cs="Arial"/>
          <w:b/>
          <w:sz w:val="24"/>
          <w:szCs w:val="19"/>
        </w:rPr>
        <w:t>0</w:t>
      </w:r>
      <w:r w:rsidRPr="00A75F84">
        <w:rPr>
          <w:rFonts w:ascii="Arial" w:hAnsi="Arial" w:cs="Arial"/>
          <w:b/>
          <w:sz w:val="24"/>
          <w:szCs w:val="19"/>
        </w:rPr>
        <w:tab/>
      </w:r>
      <w:r w:rsidR="005B78BF" w:rsidRPr="00A75F84">
        <w:rPr>
          <w:rFonts w:ascii="Arial" w:hAnsi="Arial" w:cs="Arial"/>
          <w:b/>
          <w:sz w:val="24"/>
          <w:szCs w:val="19"/>
        </w:rPr>
        <w:t>S</w:t>
      </w:r>
      <w:r w:rsidRPr="00A75F84">
        <w:rPr>
          <w:rFonts w:ascii="Arial" w:hAnsi="Arial" w:cs="Arial"/>
          <w:b/>
          <w:sz w:val="24"/>
          <w:szCs w:val="19"/>
        </w:rPr>
        <w:t>tock</w:t>
      </w:r>
    </w:p>
    <w:p w:rsidR="00E07F92" w:rsidRPr="00A75F84" w:rsidRDefault="00E07F92" w:rsidP="00E07F92">
      <w:pPr>
        <w:spacing w:after="0"/>
        <w:jc w:val="left"/>
        <w:rPr>
          <w:rFonts w:ascii="Arial" w:hAnsi="Arial" w:cs="Arial"/>
          <w:sz w:val="19"/>
          <w:szCs w:val="19"/>
        </w:rPr>
      </w:pPr>
    </w:p>
    <w:tbl>
      <w:tblPr>
        <w:tblW w:w="9498" w:type="dxa"/>
        <w:tblLayout w:type="fixed"/>
        <w:tblCellMar>
          <w:left w:w="28" w:type="dxa"/>
          <w:right w:w="28" w:type="dxa"/>
        </w:tblCellMar>
        <w:tblLook w:val="0000" w:firstRow="0" w:lastRow="0" w:firstColumn="0" w:lastColumn="0" w:noHBand="0" w:noVBand="0"/>
      </w:tblPr>
      <w:tblGrid>
        <w:gridCol w:w="3828"/>
        <w:gridCol w:w="1134"/>
        <w:gridCol w:w="1134"/>
        <w:gridCol w:w="1134"/>
        <w:gridCol w:w="1134"/>
        <w:gridCol w:w="1134"/>
      </w:tblGrid>
      <w:tr w:rsidR="006D4766" w:rsidRPr="00A75F84" w:rsidTr="006D4766">
        <w:trPr>
          <w:cantSplit/>
        </w:trPr>
        <w:tc>
          <w:tcPr>
            <w:tcW w:w="3828" w:type="dxa"/>
          </w:tcPr>
          <w:p w:rsidR="006D4766" w:rsidRPr="00A75F84" w:rsidRDefault="006D4766" w:rsidP="003A1BD9">
            <w:pPr>
              <w:pStyle w:val="Tindent"/>
              <w:keepLines/>
              <w:rPr>
                <w:rFonts w:ascii="Arial" w:hAnsi="Arial" w:cs="Arial"/>
                <w:b/>
                <w:sz w:val="19"/>
                <w:szCs w:val="19"/>
              </w:rPr>
            </w:pPr>
          </w:p>
        </w:tc>
        <w:tc>
          <w:tcPr>
            <w:tcW w:w="1134" w:type="dxa"/>
          </w:tcPr>
          <w:p w:rsidR="006D4766" w:rsidRPr="00A75F84" w:rsidRDefault="006D4766" w:rsidP="003A1BD9">
            <w:pPr>
              <w:pStyle w:val="Thead"/>
              <w:rPr>
                <w:rFonts w:ascii="Arial" w:hAnsi="Arial" w:cs="Arial"/>
                <w:sz w:val="19"/>
                <w:szCs w:val="19"/>
              </w:rPr>
            </w:pPr>
          </w:p>
        </w:tc>
        <w:tc>
          <w:tcPr>
            <w:tcW w:w="1134" w:type="dxa"/>
          </w:tcPr>
          <w:p w:rsidR="006D4766" w:rsidRPr="00A75F84" w:rsidRDefault="006D4766" w:rsidP="003A1BD9">
            <w:pPr>
              <w:pStyle w:val="Thead"/>
              <w:rPr>
                <w:rFonts w:ascii="Arial" w:hAnsi="Arial" w:cs="Arial"/>
                <w:sz w:val="19"/>
                <w:szCs w:val="19"/>
              </w:rPr>
            </w:pPr>
          </w:p>
        </w:tc>
        <w:tc>
          <w:tcPr>
            <w:tcW w:w="1134" w:type="dxa"/>
          </w:tcPr>
          <w:p w:rsidR="006D4766" w:rsidRPr="00A75F84" w:rsidRDefault="006D4766" w:rsidP="003A1BD9">
            <w:pPr>
              <w:pStyle w:val="Thead"/>
              <w:rPr>
                <w:rFonts w:ascii="Arial" w:hAnsi="Arial" w:cs="Arial"/>
                <w:sz w:val="19"/>
                <w:szCs w:val="19"/>
              </w:rPr>
            </w:pPr>
          </w:p>
        </w:tc>
        <w:tc>
          <w:tcPr>
            <w:tcW w:w="1134" w:type="dxa"/>
          </w:tcPr>
          <w:p w:rsidR="006D4766" w:rsidRPr="00A75F84" w:rsidRDefault="00BB2A59" w:rsidP="003A1BD9">
            <w:pPr>
              <w:pStyle w:val="Thead"/>
              <w:rPr>
                <w:rFonts w:ascii="Arial" w:hAnsi="Arial" w:cs="Arial"/>
                <w:sz w:val="19"/>
                <w:szCs w:val="19"/>
              </w:rPr>
            </w:pPr>
            <w:r w:rsidRPr="00A75F84">
              <w:rPr>
                <w:rFonts w:ascii="Arial" w:hAnsi="Arial" w:cs="Arial"/>
                <w:sz w:val="19"/>
                <w:szCs w:val="19"/>
              </w:rPr>
              <w:t>2015</w:t>
            </w:r>
          </w:p>
          <w:p w:rsidR="00172CC5" w:rsidRPr="00A75F84" w:rsidRDefault="00172CC5" w:rsidP="003A1BD9">
            <w:pPr>
              <w:pStyle w:val="Thead"/>
              <w:rPr>
                <w:rFonts w:ascii="Arial" w:hAnsi="Arial" w:cs="Arial"/>
                <w:sz w:val="19"/>
                <w:szCs w:val="19"/>
              </w:rPr>
            </w:pPr>
            <w:r w:rsidRPr="00A75F84">
              <w:rPr>
                <w:rFonts w:ascii="Arial" w:hAnsi="Arial" w:cs="Arial"/>
                <w:sz w:val="19"/>
                <w:szCs w:val="19"/>
              </w:rPr>
              <w:t>£000</w:t>
            </w:r>
          </w:p>
        </w:tc>
        <w:tc>
          <w:tcPr>
            <w:tcW w:w="1134" w:type="dxa"/>
          </w:tcPr>
          <w:p w:rsidR="006D4766" w:rsidRPr="00A75F84" w:rsidRDefault="00BB2A59" w:rsidP="003A1BD9">
            <w:pPr>
              <w:pStyle w:val="Thead"/>
              <w:rPr>
                <w:rFonts w:ascii="Arial" w:hAnsi="Arial" w:cs="Arial"/>
                <w:sz w:val="19"/>
                <w:szCs w:val="19"/>
              </w:rPr>
            </w:pPr>
            <w:r w:rsidRPr="00A75F84">
              <w:rPr>
                <w:rFonts w:ascii="Arial" w:hAnsi="Arial" w:cs="Arial"/>
                <w:sz w:val="19"/>
                <w:szCs w:val="19"/>
              </w:rPr>
              <w:t>2014</w:t>
            </w:r>
          </w:p>
          <w:p w:rsidR="00172CC5" w:rsidRPr="00A75F84" w:rsidRDefault="00172CC5" w:rsidP="003A1BD9">
            <w:pPr>
              <w:pStyle w:val="Thead"/>
              <w:rPr>
                <w:rFonts w:ascii="Arial" w:hAnsi="Arial" w:cs="Arial"/>
                <w:sz w:val="19"/>
                <w:szCs w:val="19"/>
              </w:rPr>
            </w:pPr>
            <w:r w:rsidRPr="00A75F84">
              <w:rPr>
                <w:rFonts w:ascii="Arial" w:hAnsi="Arial" w:cs="Arial"/>
                <w:sz w:val="19"/>
                <w:szCs w:val="19"/>
              </w:rPr>
              <w:t>£000</w:t>
            </w:r>
          </w:p>
        </w:tc>
      </w:tr>
      <w:tr w:rsidR="006D4766" w:rsidRPr="00A75F84" w:rsidTr="006D4766">
        <w:trPr>
          <w:cantSplit/>
        </w:trPr>
        <w:tc>
          <w:tcPr>
            <w:tcW w:w="3828" w:type="dxa"/>
          </w:tcPr>
          <w:p w:rsidR="006D4766" w:rsidRPr="00A75F84" w:rsidRDefault="006D4766" w:rsidP="003A1BD9">
            <w:pPr>
              <w:pStyle w:val="B0"/>
              <w:spacing w:line="240" w:lineRule="auto"/>
              <w:rPr>
                <w:rFonts w:ascii="Arial" w:hAnsi="Arial" w:cs="Arial"/>
                <w:sz w:val="19"/>
                <w:szCs w:val="19"/>
              </w:rPr>
            </w:pPr>
          </w:p>
        </w:tc>
        <w:tc>
          <w:tcPr>
            <w:tcW w:w="1134" w:type="dxa"/>
          </w:tcPr>
          <w:p w:rsidR="006D4766" w:rsidRPr="00A75F84" w:rsidRDefault="006D4766" w:rsidP="003A1BD9">
            <w:pPr>
              <w:pStyle w:val="B0"/>
              <w:spacing w:line="240" w:lineRule="auto"/>
              <w:rPr>
                <w:rFonts w:ascii="Arial" w:hAnsi="Arial" w:cs="Arial"/>
                <w:sz w:val="19"/>
                <w:szCs w:val="19"/>
              </w:rPr>
            </w:pPr>
          </w:p>
        </w:tc>
        <w:tc>
          <w:tcPr>
            <w:tcW w:w="1134" w:type="dxa"/>
          </w:tcPr>
          <w:p w:rsidR="006D4766" w:rsidRPr="00A75F84" w:rsidRDefault="006D4766" w:rsidP="003A1BD9">
            <w:pPr>
              <w:pStyle w:val="B0"/>
              <w:spacing w:line="240" w:lineRule="auto"/>
              <w:rPr>
                <w:rFonts w:ascii="Arial" w:hAnsi="Arial" w:cs="Arial"/>
                <w:sz w:val="19"/>
                <w:szCs w:val="19"/>
              </w:rPr>
            </w:pPr>
          </w:p>
        </w:tc>
        <w:tc>
          <w:tcPr>
            <w:tcW w:w="1134" w:type="dxa"/>
          </w:tcPr>
          <w:p w:rsidR="006D4766" w:rsidRPr="00A75F84" w:rsidRDefault="006D4766" w:rsidP="003A1BD9">
            <w:pPr>
              <w:pStyle w:val="B0"/>
              <w:spacing w:line="240" w:lineRule="auto"/>
              <w:rPr>
                <w:rFonts w:ascii="Arial" w:hAnsi="Arial" w:cs="Arial"/>
                <w:sz w:val="19"/>
                <w:szCs w:val="19"/>
              </w:rPr>
            </w:pPr>
          </w:p>
        </w:tc>
        <w:tc>
          <w:tcPr>
            <w:tcW w:w="1134" w:type="dxa"/>
          </w:tcPr>
          <w:p w:rsidR="006D4766" w:rsidRPr="00A75F84" w:rsidRDefault="006D4766" w:rsidP="003A1BD9">
            <w:pPr>
              <w:pStyle w:val="B0"/>
              <w:spacing w:line="240" w:lineRule="auto"/>
              <w:rPr>
                <w:rFonts w:ascii="Arial" w:hAnsi="Arial" w:cs="Arial"/>
                <w:bCs/>
                <w:sz w:val="19"/>
                <w:szCs w:val="19"/>
              </w:rPr>
            </w:pPr>
          </w:p>
        </w:tc>
        <w:tc>
          <w:tcPr>
            <w:tcW w:w="1134" w:type="dxa"/>
          </w:tcPr>
          <w:p w:rsidR="006D4766" w:rsidRPr="00A75F84" w:rsidRDefault="006D4766" w:rsidP="003A1BD9">
            <w:pPr>
              <w:pStyle w:val="B0"/>
              <w:spacing w:line="240" w:lineRule="auto"/>
              <w:rPr>
                <w:rFonts w:ascii="Arial" w:hAnsi="Arial" w:cs="Arial"/>
                <w:bCs/>
                <w:sz w:val="19"/>
                <w:szCs w:val="19"/>
              </w:rPr>
            </w:pPr>
          </w:p>
        </w:tc>
      </w:tr>
      <w:tr w:rsidR="00A5704C" w:rsidRPr="00A75F84" w:rsidTr="00A85643">
        <w:trPr>
          <w:cantSplit/>
        </w:trPr>
        <w:tc>
          <w:tcPr>
            <w:tcW w:w="3828" w:type="dxa"/>
          </w:tcPr>
          <w:p w:rsidR="00A5704C" w:rsidRPr="00A75F84" w:rsidRDefault="00662204" w:rsidP="003A1BD9">
            <w:pPr>
              <w:pStyle w:val="Tindent"/>
              <w:keepLines/>
              <w:rPr>
                <w:rFonts w:ascii="Arial" w:hAnsi="Arial" w:cs="Arial"/>
                <w:sz w:val="19"/>
                <w:szCs w:val="19"/>
              </w:rPr>
            </w:pPr>
            <w:r w:rsidRPr="00A75F84">
              <w:rPr>
                <w:rFonts w:ascii="Arial" w:hAnsi="Arial" w:cs="Arial"/>
                <w:sz w:val="19"/>
                <w:szCs w:val="19"/>
              </w:rPr>
              <w:t>C</w:t>
            </w:r>
            <w:r w:rsidR="00A5704C" w:rsidRPr="00A75F84">
              <w:rPr>
                <w:rFonts w:ascii="Arial" w:hAnsi="Arial" w:cs="Arial"/>
                <w:sz w:val="19"/>
                <w:szCs w:val="19"/>
              </w:rPr>
              <w:t>onsumables</w:t>
            </w:r>
          </w:p>
        </w:tc>
        <w:tc>
          <w:tcPr>
            <w:tcW w:w="1134" w:type="dxa"/>
          </w:tcPr>
          <w:p w:rsidR="00A5704C" w:rsidRPr="00A75F84" w:rsidRDefault="00A5704C" w:rsidP="003A1BD9">
            <w:pPr>
              <w:pStyle w:val="Thead"/>
              <w:rPr>
                <w:rFonts w:ascii="Arial" w:hAnsi="Arial" w:cs="Arial"/>
                <w:sz w:val="19"/>
                <w:szCs w:val="19"/>
              </w:rPr>
            </w:pPr>
          </w:p>
        </w:tc>
        <w:tc>
          <w:tcPr>
            <w:tcW w:w="1134" w:type="dxa"/>
          </w:tcPr>
          <w:p w:rsidR="00A5704C" w:rsidRPr="00A75F84" w:rsidRDefault="00A5704C" w:rsidP="003A1BD9">
            <w:pPr>
              <w:pStyle w:val="Thead"/>
              <w:rPr>
                <w:rFonts w:ascii="Arial" w:hAnsi="Arial" w:cs="Arial"/>
                <w:sz w:val="19"/>
                <w:szCs w:val="19"/>
              </w:rPr>
            </w:pPr>
          </w:p>
        </w:tc>
        <w:tc>
          <w:tcPr>
            <w:tcW w:w="1134" w:type="dxa"/>
          </w:tcPr>
          <w:p w:rsidR="00A5704C" w:rsidRPr="00A75F84" w:rsidRDefault="00A5704C" w:rsidP="003A1BD9">
            <w:pPr>
              <w:pStyle w:val="Thead"/>
              <w:rPr>
                <w:rFonts w:ascii="Arial" w:hAnsi="Arial" w:cs="Arial"/>
                <w:sz w:val="19"/>
                <w:szCs w:val="19"/>
              </w:rPr>
            </w:pPr>
          </w:p>
        </w:tc>
        <w:tc>
          <w:tcPr>
            <w:tcW w:w="1134" w:type="dxa"/>
          </w:tcPr>
          <w:p w:rsidR="00A5704C" w:rsidRPr="00A75F84" w:rsidRDefault="00A75F84" w:rsidP="003A1BD9">
            <w:pPr>
              <w:pStyle w:val="Tdec"/>
              <w:rPr>
                <w:rFonts w:ascii="Arial" w:hAnsi="Arial" w:cs="Arial"/>
                <w:sz w:val="19"/>
                <w:szCs w:val="19"/>
              </w:rPr>
            </w:pPr>
            <w:r w:rsidRPr="00A75F84">
              <w:rPr>
                <w:rFonts w:ascii="Arial" w:hAnsi="Arial" w:cs="Arial"/>
                <w:sz w:val="19"/>
                <w:szCs w:val="19"/>
              </w:rPr>
              <w:t>384</w:t>
            </w:r>
          </w:p>
        </w:tc>
        <w:tc>
          <w:tcPr>
            <w:tcW w:w="1134" w:type="dxa"/>
          </w:tcPr>
          <w:p w:rsidR="00A5704C" w:rsidRPr="00A75F84" w:rsidRDefault="00172CC5" w:rsidP="003A1BD9">
            <w:pPr>
              <w:pStyle w:val="Tdec"/>
              <w:rPr>
                <w:rFonts w:ascii="Arial" w:hAnsi="Arial" w:cs="Arial"/>
                <w:sz w:val="19"/>
                <w:szCs w:val="19"/>
              </w:rPr>
            </w:pPr>
            <w:r w:rsidRPr="00A75F84">
              <w:rPr>
                <w:rFonts w:ascii="Arial" w:hAnsi="Arial" w:cs="Arial"/>
                <w:sz w:val="19"/>
                <w:szCs w:val="19"/>
              </w:rPr>
              <w:t>2</w:t>
            </w:r>
            <w:r w:rsidR="00BB2A59" w:rsidRPr="00A75F84">
              <w:rPr>
                <w:rFonts w:ascii="Arial" w:hAnsi="Arial" w:cs="Arial"/>
                <w:sz w:val="19"/>
                <w:szCs w:val="19"/>
              </w:rPr>
              <w:t>53</w:t>
            </w:r>
          </w:p>
        </w:tc>
      </w:tr>
      <w:tr w:rsidR="006D4766" w:rsidRPr="00A75F84" w:rsidTr="006D4766">
        <w:trPr>
          <w:cantSplit/>
        </w:trPr>
        <w:tc>
          <w:tcPr>
            <w:tcW w:w="3828" w:type="dxa"/>
          </w:tcPr>
          <w:p w:rsidR="006D4766" w:rsidRPr="00A75F84" w:rsidRDefault="006D4766" w:rsidP="003A1BD9">
            <w:pPr>
              <w:pStyle w:val="Tindent"/>
              <w:keepLines/>
              <w:rPr>
                <w:rFonts w:ascii="Arial" w:hAnsi="Arial" w:cs="Arial"/>
                <w:sz w:val="19"/>
                <w:szCs w:val="19"/>
              </w:rPr>
            </w:pPr>
          </w:p>
        </w:tc>
        <w:tc>
          <w:tcPr>
            <w:tcW w:w="1134" w:type="dxa"/>
          </w:tcPr>
          <w:p w:rsidR="006D4766" w:rsidRPr="00A75F84" w:rsidRDefault="006D4766" w:rsidP="003A1BD9">
            <w:pPr>
              <w:pStyle w:val="Thead"/>
              <w:rPr>
                <w:rFonts w:ascii="Arial" w:hAnsi="Arial" w:cs="Arial"/>
                <w:sz w:val="19"/>
                <w:szCs w:val="19"/>
              </w:rPr>
            </w:pPr>
          </w:p>
        </w:tc>
        <w:tc>
          <w:tcPr>
            <w:tcW w:w="1134" w:type="dxa"/>
          </w:tcPr>
          <w:p w:rsidR="006D4766" w:rsidRPr="00A75F84" w:rsidRDefault="006D4766" w:rsidP="003A1BD9">
            <w:pPr>
              <w:pStyle w:val="Thead"/>
              <w:rPr>
                <w:rFonts w:ascii="Arial" w:hAnsi="Arial" w:cs="Arial"/>
                <w:sz w:val="19"/>
                <w:szCs w:val="19"/>
              </w:rPr>
            </w:pPr>
          </w:p>
        </w:tc>
        <w:tc>
          <w:tcPr>
            <w:tcW w:w="1134" w:type="dxa"/>
          </w:tcPr>
          <w:p w:rsidR="006D4766" w:rsidRPr="00A75F84" w:rsidRDefault="006D4766" w:rsidP="003A1BD9">
            <w:pPr>
              <w:pStyle w:val="Thead"/>
              <w:rPr>
                <w:rFonts w:ascii="Arial" w:hAnsi="Arial" w:cs="Arial"/>
                <w:sz w:val="19"/>
                <w:szCs w:val="19"/>
              </w:rPr>
            </w:pPr>
          </w:p>
        </w:tc>
        <w:tc>
          <w:tcPr>
            <w:tcW w:w="1134" w:type="dxa"/>
          </w:tcPr>
          <w:p w:rsidR="006D4766" w:rsidRPr="00A75F84" w:rsidRDefault="006D4766" w:rsidP="003A1BD9">
            <w:pPr>
              <w:pStyle w:val="D9"/>
              <w:spacing w:line="240" w:lineRule="auto"/>
              <w:rPr>
                <w:rFonts w:ascii="Arial" w:hAnsi="Arial" w:cs="Arial"/>
                <w:sz w:val="19"/>
                <w:szCs w:val="19"/>
              </w:rPr>
            </w:pPr>
          </w:p>
        </w:tc>
        <w:tc>
          <w:tcPr>
            <w:tcW w:w="1134" w:type="dxa"/>
          </w:tcPr>
          <w:p w:rsidR="006D4766" w:rsidRPr="00A75F84" w:rsidRDefault="006D4766" w:rsidP="003A1BD9">
            <w:pPr>
              <w:pStyle w:val="D9"/>
              <w:spacing w:line="240" w:lineRule="auto"/>
              <w:rPr>
                <w:rFonts w:ascii="Arial" w:hAnsi="Arial" w:cs="Arial"/>
                <w:sz w:val="19"/>
                <w:szCs w:val="19"/>
              </w:rPr>
            </w:pPr>
          </w:p>
        </w:tc>
      </w:tr>
    </w:tbl>
    <w:p w:rsidR="00A812FF" w:rsidRDefault="000C3E8F" w:rsidP="00E07F92">
      <w:pPr>
        <w:pStyle w:val="Heading1"/>
        <w:numPr>
          <w:ilvl w:val="0"/>
          <w:numId w:val="0"/>
        </w:numPr>
        <w:spacing w:before="240" w:after="240"/>
        <w:ind w:left="567" w:hanging="567"/>
        <w:rPr>
          <w:rFonts w:ascii="Arial" w:hAnsi="Arial" w:cs="Arial"/>
          <w:b w:val="0"/>
          <w:bCs/>
          <w:caps w:val="0"/>
          <w:sz w:val="19"/>
          <w:szCs w:val="19"/>
          <w:lang w:val="en-US"/>
        </w:rPr>
      </w:pPr>
      <w:bookmarkStart w:id="18" w:name="_Toc390775324"/>
      <w:r w:rsidRPr="00A75F84">
        <w:rPr>
          <w:rFonts w:ascii="Arial" w:hAnsi="Arial" w:cs="Arial"/>
          <w:b w:val="0"/>
          <w:bCs/>
          <w:caps w:val="0"/>
          <w:sz w:val="19"/>
          <w:szCs w:val="19"/>
          <w:lang w:val="en-US"/>
        </w:rPr>
        <w:t>The replacement cost of stocks are not materially different from their carrying value as recorded above.</w:t>
      </w:r>
      <w:bookmarkEnd w:id="18"/>
    </w:p>
    <w:p w:rsidR="005300DC" w:rsidRDefault="005300DC" w:rsidP="005300DC">
      <w:pPr>
        <w:pStyle w:val="NormalIndent"/>
        <w:rPr>
          <w:lang w:val="en-US"/>
        </w:rPr>
      </w:pPr>
    </w:p>
    <w:p w:rsidR="005300DC" w:rsidRDefault="005300DC" w:rsidP="005300DC">
      <w:pPr>
        <w:pStyle w:val="NormalIndent"/>
        <w:rPr>
          <w:lang w:val="en-US"/>
        </w:rPr>
      </w:pPr>
    </w:p>
    <w:p w:rsidR="005300DC" w:rsidRDefault="005300DC" w:rsidP="005300DC">
      <w:pPr>
        <w:pStyle w:val="NormalIndent"/>
        <w:rPr>
          <w:lang w:val="en-US"/>
        </w:rPr>
      </w:pPr>
    </w:p>
    <w:p w:rsidR="005300DC" w:rsidRDefault="005300DC" w:rsidP="005300DC">
      <w:pPr>
        <w:pStyle w:val="NormalIndent"/>
        <w:rPr>
          <w:lang w:val="en-US"/>
        </w:rPr>
      </w:pPr>
    </w:p>
    <w:p w:rsidR="005300DC" w:rsidRDefault="005300DC" w:rsidP="005300DC">
      <w:pPr>
        <w:pStyle w:val="NormalIndent"/>
        <w:rPr>
          <w:lang w:val="en-US"/>
        </w:rPr>
      </w:pPr>
    </w:p>
    <w:p w:rsidR="005300DC" w:rsidRDefault="005300DC" w:rsidP="005300DC">
      <w:pPr>
        <w:pStyle w:val="NormalIndent"/>
        <w:rPr>
          <w:lang w:val="en-US"/>
        </w:rPr>
      </w:pPr>
    </w:p>
    <w:p w:rsidR="005300DC" w:rsidRDefault="005300DC" w:rsidP="005300DC">
      <w:pPr>
        <w:pStyle w:val="NormalIndent"/>
        <w:rPr>
          <w:lang w:val="en-US"/>
        </w:rPr>
      </w:pPr>
    </w:p>
    <w:p w:rsidR="005300DC" w:rsidRPr="005300DC" w:rsidRDefault="005300DC" w:rsidP="005300DC">
      <w:pPr>
        <w:pStyle w:val="NormalIndent"/>
        <w:rPr>
          <w:lang w:val="en-US"/>
        </w:rPr>
      </w:pPr>
    </w:p>
    <w:p w:rsidR="00C03D21" w:rsidRPr="00A75F84" w:rsidRDefault="003517C6" w:rsidP="003517C6">
      <w:pPr>
        <w:pStyle w:val="Heading1"/>
        <w:numPr>
          <w:ilvl w:val="0"/>
          <w:numId w:val="0"/>
        </w:numPr>
        <w:spacing w:before="240" w:after="240"/>
        <w:rPr>
          <w:rFonts w:ascii="Arial" w:hAnsi="Arial" w:cs="Arial"/>
          <w:sz w:val="24"/>
          <w:szCs w:val="19"/>
        </w:rPr>
      </w:pPr>
      <w:bookmarkStart w:id="19" w:name="_Toc390775325"/>
      <w:r>
        <w:rPr>
          <w:rFonts w:ascii="Arial" w:hAnsi="Arial" w:cs="Arial"/>
          <w:caps w:val="0"/>
          <w:sz w:val="24"/>
          <w:szCs w:val="19"/>
        </w:rPr>
        <w:lastRenderedPageBreak/>
        <w:t>11</w:t>
      </w:r>
      <w:r>
        <w:rPr>
          <w:rFonts w:ascii="Arial" w:hAnsi="Arial" w:cs="Arial"/>
          <w:caps w:val="0"/>
          <w:sz w:val="24"/>
          <w:szCs w:val="19"/>
        </w:rPr>
        <w:tab/>
      </w:r>
      <w:r w:rsidR="00E07F92" w:rsidRPr="00A75F84">
        <w:rPr>
          <w:rFonts w:ascii="Arial" w:hAnsi="Arial" w:cs="Arial"/>
          <w:caps w:val="0"/>
          <w:sz w:val="24"/>
          <w:szCs w:val="19"/>
        </w:rPr>
        <w:t>Debtors</w:t>
      </w:r>
      <w:bookmarkEnd w:id="19"/>
    </w:p>
    <w:tbl>
      <w:tblPr>
        <w:tblW w:w="9498" w:type="dxa"/>
        <w:tblLayout w:type="fixed"/>
        <w:tblCellMar>
          <w:left w:w="28" w:type="dxa"/>
          <w:right w:w="28" w:type="dxa"/>
        </w:tblCellMar>
        <w:tblLook w:val="0000" w:firstRow="0" w:lastRow="0" w:firstColumn="0" w:lastColumn="0" w:noHBand="0" w:noVBand="0"/>
      </w:tblPr>
      <w:tblGrid>
        <w:gridCol w:w="3828"/>
        <w:gridCol w:w="1134"/>
        <w:gridCol w:w="1134"/>
        <w:gridCol w:w="1134"/>
        <w:gridCol w:w="1134"/>
        <w:gridCol w:w="1134"/>
      </w:tblGrid>
      <w:tr w:rsidR="00172CC5" w:rsidRPr="00C46A29" w:rsidTr="006D4766">
        <w:trPr>
          <w:cantSplit/>
        </w:trPr>
        <w:tc>
          <w:tcPr>
            <w:tcW w:w="3828" w:type="dxa"/>
          </w:tcPr>
          <w:p w:rsidR="00172CC5" w:rsidRPr="00C46A29" w:rsidRDefault="00172CC5" w:rsidP="003A1BD9">
            <w:pPr>
              <w:pStyle w:val="Tindent"/>
              <w:keepLines/>
              <w:rPr>
                <w:rFonts w:ascii="Arial" w:hAnsi="Arial" w:cs="Arial"/>
                <w:b/>
                <w:sz w:val="19"/>
                <w:szCs w:val="19"/>
                <w:highlight w:val="yellow"/>
              </w:rPr>
            </w:pPr>
          </w:p>
        </w:tc>
        <w:tc>
          <w:tcPr>
            <w:tcW w:w="1134" w:type="dxa"/>
          </w:tcPr>
          <w:p w:rsidR="00172CC5" w:rsidRPr="00C46A29" w:rsidRDefault="00172CC5" w:rsidP="003A1BD9">
            <w:pPr>
              <w:pStyle w:val="Thead"/>
              <w:rPr>
                <w:rFonts w:ascii="Arial" w:hAnsi="Arial" w:cs="Arial"/>
                <w:sz w:val="19"/>
                <w:szCs w:val="19"/>
                <w:highlight w:val="yellow"/>
              </w:rPr>
            </w:pPr>
          </w:p>
        </w:tc>
        <w:tc>
          <w:tcPr>
            <w:tcW w:w="1134" w:type="dxa"/>
          </w:tcPr>
          <w:p w:rsidR="00172CC5" w:rsidRPr="00C46A29" w:rsidRDefault="00172CC5" w:rsidP="003A1BD9">
            <w:pPr>
              <w:pStyle w:val="Thead"/>
              <w:rPr>
                <w:rFonts w:ascii="Arial" w:hAnsi="Arial" w:cs="Arial"/>
                <w:sz w:val="19"/>
                <w:szCs w:val="19"/>
                <w:highlight w:val="yellow"/>
              </w:rPr>
            </w:pPr>
          </w:p>
        </w:tc>
        <w:tc>
          <w:tcPr>
            <w:tcW w:w="1134" w:type="dxa"/>
          </w:tcPr>
          <w:p w:rsidR="00172CC5" w:rsidRPr="00C46A29" w:rsidRDefault="00172CC5" w:rsidP="003A1BD9">
            <w:pPr>
              <w:pStyle w:val="Thead"/>
              <w:rPr>
                <w:rFonts w:ascii="Arial" w:hAnsi="Arial" w:cs="Arial"/>
                <w:sz w:val="19"/>
                <w:szCs w:val="19"/>
                <w:highlight w:val="yellow"/>
              </w:rPr>
            </w:pPr>
          </w:p>
        </w:tc>
        <w:tc>
          <w:tcPr>
            <w:tcW w:w="1134" w:type="dxa"/>
          </w:tcPr>
          <w:p w:rsidR="00172CC5" w:rsidRPr="00A75F84" w:rsidRDefault="00BB2A59" w:rsidP="003A1BD9">
            <w:pPr>
              <w:pStyle w:val="Thead"/>
              <w:rPr>
                <w:rFonts w:ascii="Arial" w:hAnsi="Arial" w:cs="Arial"/>
                <w:sz w:val="19"/>
                <w:szCs w:val="19"/>
              </w:rPr>
            </w:pPr>
            <w:r w:rsidRPr="00A75F84">
              <w:rPr>
                <w:rFonts w:ascii="Arial" w:hAnsi="Arial" w:cs="Arial"/>
                <w:sz w:val="19"/>
                <w:szCs w:val="19"/>
              </w:rPr>
              <w:t>2015</w:t>
            </w:r>
          </w:p>
          <w:p w:rsidR="00172CC5" w:rsidRPr="00A75F84" w:rsidRDefault="00172CC5" w:rsidP="003A1BD9">
            <w:pPr>
              <w:pStyle w:val="Thead"/>
              <w:rPr>
                <w:rFonts w:ascii="Arial" w:hAnsi="Arial" w:cs="Arial"/>
                <w:sz w:val="19"/>
                <w:szCs w:val="19"/>
              </w:rPr>
            </w:pPr>
            <w:r w:rsidRPr="00A75F84">
              <w:rPr>
                <w:rFonts w:ascii="Arial" w:hAnsi="Arial" w:cs="Arial"/>
                <w:sz w:val="19"/>
                <w:szCs w:val="19"/>
              </w:rPr>
              <w:t>£000</w:t>
            </w:r>
          </w:p>
        </w:tc>
        <w:tc>
          <w:tcPr>
            <w:tcW w:w="1134" w:type="dxa"/>
          </w:tcPr>
          <w:p w:rsidR="00172CC5" w:rsidRPr="00BB2A59" w:rsidRDefault="00BB2A59" w:rsidP="003A1BD9">
            <w:pPr>
              <w:pStyle w:val="Thead"/>
              <w:rPr>
                <w:rFonts w:ascii="Arial" w:hAnsi="Arial" w:cs="Arial"/>
                <w:sz w:val="19"/>
                <w:szCs w:val="19"/>
              </w:rPr>
            </w:pPr>
            <w:r w:rsidRPr="00BB2A59">
              <w:rPr>
                <w:rFonts w:ascii="Arial" w:hAnsi="Arial" w:cs="Arial"/>
                <w:sz w:val="19"/>
                <w:szCs w:val="19"/>
              </w:rPr>
              <w:t>2014</w:t>
            </w:r>
          </w:p>
          <w:p w:rsidR="00172CC5" w:rsidRPr="00BB2A59" w:rsidRDefault="00172CC5" w:rsidP="003A1BD9">
            <w:pPr>
              <w:pStyle w:val="Thead"/>
              <w:rPr>
                <w:rFonts w:ascii="Arial" w:hAnsi="Arial" w:cs="Arial"/>
                <w:sz w:val="19"/>
                <w:szCs w:val="19"/>
              </w:rPr>
            </w:pPr>
            <w:r w:rsidRPr="00BB2A59">
              <w:rPr>
                <w:rFonts w:ascii="Arial" w:hAnsi="Arial" w:cs="Arial"/>
                <w:sz w:val="19"/>
                <w:szCs w:val="19"/>
              </w:rPr>
              <w:t>£000</w:t>
            </w:r>
          </w:p>
        </w:tc>
      </w:tr>
      <w:tr w:rsidR="006D4766" w:rsidRPr="00C46A29" w:rsidTr="006D4766">
        <w:trPr>
          <w:cantSplit/>
        </w:trPr>
        <w:tc>
          <w:tcPr>
            <w:tcW w:w="3828" w:type="dxa"/>
          </w:tcPr>
          <w:p w:rsidR="006D4766" w:rsidRPr="00C46A29" w:rsidRDefault="006D4766" w:rsidP="003A1BD9">
            <w:pPr>
              <w:pStyle w:val="B0"/>
              <w:spacing w:line="240" w:lineRule="auto"/>
              <w:rPr>
                <w:rFonts w:ascii="Arial" w:hAnsi="Arial" w:cs="Arial"/>
                <w:sz w:val="19"/>
                <w:szCs w:val="19"/>
                <w:highlight w:val="yellow"/>
              </w:rPr>
            </w:pPr>
          </w:p>
        </w:tc>
        <w:tc>
          <w:tcPr>
            <w:tcW w:w="1134" w:type="dxa"/>
          </w:tcPr>
          <w:p w:rsidR="006D4766" w:rsidRPr="00C46A29" w:rsidRDefault="006D4766" w:rsidP="003A1BD9">
            <w:pPr>
              <w:pStyle w:val="B0"/>
              <w:spacing w:line="240" w:lineRule="auto"/>
              <w:rPr>
                <w:rFonts w:ascii="Arial" w:hAnsi="Arial" w:cs="Arial"/>
                <w:sz w:val="19"/>
                <w:szCs w:val="19"/>
                <w:highlight w:val="yellow"/>
              </w:rPr>
            </w:pPr>
          </w:p>
        </w:tc>
        <w:tc>
          <w:tcPr>
            <w:tcW w:w="1134" w:type="dxa"/>
          </w:tcPr>
          <w:p w:rsidR="006D4766" w:rsidRPr="00C46A29" w:rsidRDefault="006D4766" w:rsidP="003A1BD9">
            <w:pPr>
              <w:pStyle w:val="B0"/>
              <w:spacing w:line="240" w:lineRule="auto"/>
              <w:rPr>
                <w:rFonts w:ascii="Arial" w:hAnsi="Arial" w:cs="Arial"/>
                <w:sz w:val="19"/>
                <w:szCs w:val="19"/>
                <w:highlight w:val="yellow"/>
              </w:rPr>
            </w:pPr>
          </w:p>
        </w:tc>
        <w:tc>
          <w:tcPr>
            <w:tcW w:w="1134" w:type="dxa"/>
          </w:tcPr>
          <w:p w:rsidR="006D4766" w:rsidRPr="00C46A29" w:rsidRDefault="006D4766" w:rsidP="003A1BD9">
            <w:pPr>
              <w:pStyle w:val="B0"/>
              <w:spacing w:line="240" w:lineRule="auto"/>
              <w:rPr>
                <w:rFonts w:ascii="Arial" w:hAnsi="Arial" w:cs="Arial"/>
                <w:sz w:val="19"/>
                <w:szCs w:val="19"/>
                <w:highlight w:val="yellow"/>
              </w:rPr>
            </w:pPr>
          </w:p>
        </w:tc>
        <w:tc>
          <w:tcPr>
            <w:tcW w:w="1134" w:type="dxa"/>
          </w:tcPr>
          <w:p w:rsidR="006D4766" w:rsidRPr="00A75F84" w:rsidRDefault="006D4766" w:rsidP="003A1BD9">
            <w:pPr>
              <w:pStyle w:val="B0"/>
              <w:spacing w:line="240" w:lineRule="auto"/>
              <w:rPr>
                <w:rFonts w:ascii="Arial" w:hAnsi="Arial" w:cs="Arial"/>
                <w:sz w:val="19"/>
                <w:szCs w:val="19"/>
              </w:rPr>
            </w:pPr>
          </w:p>
        </w:tc>
        <w:tc>
          <w:tcPr>
            <w:tcW w:w="1134" w:type="dxa"/>
          </w:tcPr>
          <w:p w:rsidR="006D4766" w:rsidRPr="00BB2A59" w:rsidRDefault="006D4766" w:rsidP="003A1BD9">
            <w:pPr>
              <w:pStyle w:val="B0"/>
              <w:spacing w:line="240" w:lineRule="auto"/>
              <w:rPr>
                <w:rFonts w:ascii="Arial" w:hAnsi="Arial" w:cs="Arial"/>
                <w:sz w:val="19"/>
                <w:szCs w:val="19"/>
              </w:rPr>
            </w:pPr>
          </w:p>
        </w:tc>
      </w:tr>
      <w:tr w:rsidR="006D4766" w:rsidRPr="00C46A29" w:rsidTr="006D4766">
        <w:trPr>
          <w:cantSplit/>
        </w:trPr>
        <w:tc>
          <w:tcPr>
            <w:tcW w:w="3828" w:type="dxa"/>
          </w:tcPr>
          <w:p w:rsidR="006D4766" w:rsidRPr="00BB2A59" w:rsidRDefault="00172CC5" w:rsidP="003A1BD9">
            <w:pPr>
              <w:pStyle w:val="Tindent"/>
              <w:keepLines/>
              <w:rPr>
                <w:rFonts w:ascii="Arial" w:hAnsi="Arial" w:cs="Arial"/>
                <w:sz w:val="19"/>
                <w:szCs w:val="19"/>
              </w:rPr>
            </w:pPr>
            <w:r w:rsidRPr="00BB2A59">
              <w:rPr>
                <w:rFonts w:ascii="Arial" w:hAnsi="Arial" w:cs="Arial"/>
                <w:sz w:val="19"/>
                <w:szCs w:val="19"/>
              </w:rPr>
              <w:t>Amount owed by Northumberland County Council</w:t>
            </w: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A75F84" w:rsidRDefault="006D4766" w:rsidP="003A1BD9">
            <w:pPr>
              <w:pStyle w:val="Tdec"/>
              <w:rPr>
                <w:rFonts w:ascii="Arial" w:hAnsi="Arial" w:cs="Arial"/>
                <w:sz w:val="19"/>
                <w:szCs w:val="19"/>
              </w:rPr>
            </w:pPr>
          </w:p>
          <w:p w:rsidR="00BE32B5" w:rsidRPr="00A75F84" w:rsidRDefault="00A75F84" w:rsidP="003A1BD9">
            <w:pPr>
              <w:pStyle w:val="Tdec"/>
              <w:rPr>
                <w:rFonts w:ascii="Arial" w:hAnsi="Arial" w:cs="Arial"/>
                <w:sz w:val="19"/>
                <w:szCs w:val="19"/>
              </w:rPr>
            </w:pPr>
            <w:r w:rsidRPr="00A75F84">
              <w:rPr>
                <w:rFonts w:ascii="Arial" w:hAnsi="Arial" w:cs="Arial"/>
                <w:sz w:val="19"/>
                <w:szCs w:val="19"/>
              </w:rPr>
              <w:t>1,994</w:t>
            </w:r>
          </w:p>
        </w:tc>
        <w:tc>
          <w:tcPr>
            <w:tcW w:w="1134" w:type="dxa"/>
          </w:tcPr>
          <w:p w:rsidR="006D4766" w:rsidRPr="00BB2A59" w:rsidRDefault="006D4766" w:rsidP="003A1BD9">
            <w:pPr>
              <w:pStyle w:val="Tdec"/>
              <w:rPr>
                <w:rFonts w:ascii="Arial" w:hAnsi="Arial" w:cs="Arial"/>
                <w:sz w:val="19"/>
                <w:szCs w:val="19"/>
              </w:rPr>
            </w:pPr>
          </w:p>
          <w:p w:rsidR="00172CC5" w:rsidRPr="00BB2A59" w:rsidRDefault="00BB2A59" w:rsidP="003A1BD9">
            <w:pPr>
              <w:pStyle w:val="Tdec"/>
              <w:rPr>
                <w:rFonts w:ascii="Arial" w:hAnsi="Arial" w:cs="Arial"/>
                <w:sz w:val="19"/>
                <w:szCs w:val="19"/>
              </w:rPr>
            </w:pPr>
            <w:r w:rsidRPr="00BB2A59">
              <w:rPr>
                <w:rFonts w:ascii="Arial" w:hAnsi="Arial" w:cs="Arial"/>
                <w:sz w:val="19"/>
                <w:szCs w:val="19"/>
              </w:rPr>
              <w:t>2,586</w:t>
            </w:r>
          </w:p>
        </w:tc>
      </w:tr>
      <w:tr w:rsidR="00A5704C" w:rsidRPr="00C46A29" w:rsidTr="00A85643">
        <w:trPr>
          <w:cantSplit/>
        </w:trPr>
        <w:tc>
          <w:tcPr>
            <w:tcW w:w="3828" w:type="dxa"/>
          </w:tcPr>
          <w:p w:rsidR="00A5704C" w:rsidRPr="00BB2A59" w:rsidRDefault="00172CC5" w:rsidP="003A1BD9">
            <w:pPr>
              <w:pStyle w:val="Tindent"/>
              <w:keepLines/>
              <w:rPr>
                <w:rFonts w:ascii="Arial" w:hAnsi="Arial" w:cs="Arial"/>
                <w:sz w:val="19"/>
                <w:szCs w:val="19"/>
              </w:rPr>
            </w:pPr>
            <w:r w:rsidRPr="00BB2A59">
              <w:rPr>
                <w:rFonts w:ascii="Arial" w:hAnsi="Arial" w:cs="Arial"/>
                <w:sz w:val="19"/>
                <w:szCs w:val="19"/>
              </w:rPr>
              <w:t>Other debtors</w:t>
            </w:r>
          </w:p>
        </w:tc>
        <w:tc>
          <w:tcPr>
            <w:tcW w:w="1134" w:type="dxa"/>
          </w:tcPr>
          <w:p w:rsidR="00A5704C" w:rsidRPr="00C46A29" w:rsidRDefault="00A5704C" w:rsidP="003A1BD9">
            <w:pPr>
              <w:pStyle w:val="Tdec"/>
              <w:rPr>
                <w:rFonts w:ascii="Arial" w:hAnsi="Arial" w:cs="Arial"/>
                <w:sz w:val="19"/>
                <w:szCs w:val="19"/>
                <w:highlight w:val="yellow"/>
              </w:rPr>
            </w:pPr>
          </w:p>
        </w:tc>
        <w:tc>
          <w:tcPr>
            <w:tcW w:w="1134" w:type="dxa"/>
          </w:tcPr>
          <w:p w:rsidR="00A5704C" w:rsidRPr="00C46A29" w:rsidRDefault="00A5704C" w:rsidP="003A1BD9">
            <w:pPr>
              <w:pStyle w:val="Tdec"/>
              <w:rPr>
                <w:rFonts w:ascii="Arial" w:hAnsi="Arial" w:cs="Arial"/>
                <w:sz w:val="19"/>
                <w:szCs w:val="19"/>
                <w:highlight w:val="yellow"/>
              </w:rPr>
            </w:pPr>
          </w:p>
        </w:tc>
        <w:tc>
          <w:tcPr>
            <w:tcW w:w="1134" w:type="dxa"/>
          </w:tcPr>
          <w:p w:rsidR="00A5704C" w:rsidRPr="00C46A29" w:rsidRDefault="00A5704C" w:rsidP="003A1BD9">
            <w:pPr>
              <w:pStyle w:val="Tdec"/>
              <w:rPr>
                <w:rFonts w:ascii="Arial" w:hAnsi="Arial" w:cs="Arial"/>
                <w:sz w:val="19"/>
                <w:szCs w:val="19"/>
                <w:highlight w:val="yellow"/>
              </w:rPr>
            </w:pPr>
          </w:p>
        </w:tc>
        <w:tc>
          <w:tcPr>
            <w:tcW w:w="1134" w:type="dxa"/>
          </w:tcPr>
          <w:p w:rsidR="00A5704C" w:rsidRPr="00A75F84" w:rsidRDefault="00A75F84" w:rsidP="003A1BD9">
            <w:pPr>
              <w:pStyle w:val="Tdec"/>
              <w:rPr>
                <w:rFonts w:ascii="Arial" w:hAnsi="Arial" w:cs="Arial"/>
                <w:sz w:val="19"/>
                <w:szCs w:val="19"/>
              </w:rPr>
            </w:pPr>
            <w:r w:rsidRPr="00A75F84">
              <w:rPr>
                <w:rFonts w:ascii="Arial" w:hAnsi="Arial" w:cs="Arial"/>
                <w:sz w:val="19"/>
                <w:szCs w:val="19"/>
              </w:rPr>
              <w:t>217</w:t>
            </w:r>
          </w:p>
        </w:tc>
        <w:tc>
          <w:tcPr>
            <w:tcW w:w="1134" w:type="dxa"/>
          </w:tcPr>
          <w:p w:rsidR="00A5704C" w:rsidRPr="00BB2A59" w:rsidRDefault="00BB2A59" w:rsidP="003A1BD9">
            <w:pPr>
              <w:pStyle w:val="Tdec"/>
              <w:rPr>
                <w:rFonts w:ascii="Arial" w:hAnsi="Arial" w:cs="Arial"/>
                <w:sz w:val="19"/>
                <w:szCs w:val="19"/>
              </w:rPr>
            </w:pPr>
            <w:r w:rsidRPr="00BB2A59">
              <w:rPr>
                <w:rFonts w:ascii="Arial" w:hAnsi="Arial" w:cs="Arial"/>
                <w:sz w:val="19"/>
                <w:szCs w:val="19"/>
              </w:rPr>
              <w:t>173</w:t>
            </w:r>
          </w:p>
        </w:tc>
      </w:tr>
      <w:tr w:rsidR="006D4766" w:rsidRPr="00C46A29" w:rsidTr="006D4766">
        <w:trPr>
          <w:cantSplit/>
        </w:trPr>
        <w:tc>
          <w:tcPr>
            <w:tcW w:w="3828" w:type="dxa"/>
          </w:tcPr>
          <w:p w:rsidR="006D4766" w:rsidRPr="00C46A29" w:rsidRDefault="006D4766" w:rsidP="003A1BD9">
            <w:pPr>
              <w:pStyle w:val="Tindent"/>
              <w:keepLines/>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A75F84" w:rsidRDefault="006D4766" w:rsidP="003A1BD9">
            <w:pPr>
              <w:pStyle w:val="S9"/>
              <w:spacing w:line="240" w:lineRule="auto"/>
              <w:rPr>
                <w:rFonts w:ascii="Arial" w:hAnsi="Arial" w:cs="Arial"/>
                <w:sz w:val="19"/>
                <w:szCs w:val="19"/>
              </w:rPr>
            </w:pPr>
          </w:p>
        </w:tc>
        <w:tc>
          <w:tcPr>
            <w:tcW w:w="1134" w:type="dxa"/>
          </w:tcPr>
          <w:p w:rsidR="006D4766" w:rsidRPr="00BB2A59" w:rsidRDefault="006D4766" w:rsidP="003A1BD9">
            <w:pPr>
              <w:pStyle w:val="S9"/>
              <w:spacing w:line="240" w:lineRule="auto"/>
              <w:rPr>
                <w:rFonts w:ascii="Arial" w:hAnsi="Arial" w:cs="Arial"/>
                <w:sz w:val="19"/>
                <w:szCs w:val="19"/>
              </w:rPr>
            </w:pPr>
          </w:p>
        </w:tc>
      </w:tr>
      <w:tr w:rsidR="006D4766" w:rsidRPr="00070D17" w:rsidTr="006D4766">
        <w:trPr>
          <w:cantSplit/>
        </w:trPr>
        <w:tc>
          <w:tcPr>
            <w:tcW w:w="3828" w:type="dxa"/>
          </w:tcPr>
          <w:p w:rsidR="006D4766" w:rsidRPr="00C46A29" w:rsidRDefault="006D4766" w:rsidP="003A1BD9">
            <w:pPr>
              <w:pStyle w:val="Tindent"/>
              <w:keepLines/>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C46A29" w:rsidRDefault="006D4766" w:rsidP="003A1BD9">
            <w:pPr>
              <w:pStyle w:val="Tdec"/>
              <w:rPr>
                <w:rFonts w:ascii="Arial" w:hAnsi="Arial" w:cs="Arial"/>
                <w:sz w:val="19"/>
                <w:szCs w:val="19"/>
                <w:highlight w:val="yellow"/>
              </w:rPr>
            </w:pPr>
          </w:p>
        </w:tc>
        <w:tc>
          <w:tcPr>
            <w:tcW w:w="1134" w:type="dxa"/>
          </w:tcPr>
          <w:p w:rsidR="006D4766" w:rsidRPr="00A75F84" w:rsidRDefault="00BE32B5" w:rsidP="003A1BD9">
            <w:pPr>
              <w:pStyle w:val="Tdec"/>
              <w:rPr>
                <w:rFonts w:ascii="Arial" w:hAnsi="Arial" w:cs="Arial"/>
                <w:sz w:val="19"/>
                <w:szCs w:val="19"/>
              </w:rPr>
            </w:pPr>
            <w:r w:rsidRPr="00A75F84">
              <w:rPr>
                <w:rFonts w:ascii="Arial" w:hAnsi="Arial" w:cs="Arial"/>
                <w:sz w:val="19"/>
                <w:szCs w:val="19"/>
              </w:rPr>
              <w:t>2,</w:t>
            </w:r>
            <w:r w:rsidR="00A75F84" w:rsidRPr="00A75F84">
              <w:rPr>
                <w:rFonts w:ascii="Arial" w:hAnsi="Arial" w:cs="Arial"/>
                <w:sz w:val="19"/>
                <w:szCs w:val="19"/>
              </w:rPr>
              <w:t>211</w:t>
            </w:r>
          </w:p>
        </w:tc>
        <w:tc>
          <w:tcPr>
            <w:tcW w:w="1134" w:type="dxa"/>
          </w:tcPr>
          <w:p w:rsidR="006D4766" w:rsidRPr="00BB2A59" w:rsidRDefault="00BB2A59" w:rsidP="003A1BD9">
            <w:pPr>
              <w:pStyle w:val="Tdec"/>
              <w:rPr>
                <w:rFonts w:ascii="Arial" w:hAnsi="Arial" w:cs="Arial"/>
                <w:sz w:val="19"/>
                <w:szCs w:val="19"/>
              </w:rPr>
            </w:pPr>
            <w:r w:rsidRPr="00BB2A59">
              <w:rPr>
                <w:rFonts w:ascii="Arial" w:hAnsi="Arial" w:cs="Arial"/>
                <w:sz w:val="19"/>
                <w:szCs w:val="19"/>
              </w:rPr>
              <w:t>2,759</w:t>
            </w:r>
          </w:p>
        </w:tc>
      </w:tr>
      <w:tr w:rsidR="006D4766" w:rsidRPr="00070D17" w:rsidTr="006D4766">
        <w:trPr>
          <w:cantSplit/>
        </w:trPr>
        <w:tc>
          <w:tcPr>
            <w:tcW w:w="3828" w:type="dxa"/>
          </w:tcPr>
          <w:p w:rsidR="00701583" w:rsidRPr="00070D17" w:rsidRDefault="00701583" w:rsidP="003A1BD9">
            <w:pPr>
              <w:pStyle w:val="Tindent"/>
              <w:keepLines/>
              <w:ind w:left="0" w:firstLine="0"/>
              <w:rPr>
                <w:rFonts w:ascii="Arial" w:hAnsi="Arial" w:cs="Arial"/>
                <w:sz w:val="19"/>
                <w:szCs w:val="19"/>
              </w:rPr>
            </w:pPr>
          </w:p>
        </w:tc>
        <w:tc>
          <w:tcPr>
            <w:tcW w:w="1134" w:type="dxa"/>
          </w:tcPr>
          <w:p w:rsidR="006D4766" w:rsidRPr="00070D17" w:rsidRDefault="006D4766" w:rsidP="003A1BD9">
            <w:pPr>
              <w:pStyle w:val="Tdec"/>
              <w:rPr>
                <w:rFonts w:ascii="Arial" w:hAnsi="Arial" w:cs="Arial"/>
                <w:sz w:val="19"/>
                <w:szCs w:val="19"/>
              </w:rPr>
            </w:pPr>
          </w:p>
        </w:tc>
        <w:tc>
          <w:tcPr>
            <w:tcW w:w="1134" w:type="dxa"/>
          </w:tcPr>
          <w:p w:rsidR="006D4766" w:rsidRPr="00070D17" w:rsidRDefault="006D4766" w:rsidP="003A1BD9">
            <w:pPr>
              <w:pStyle w:val="Tdec"/>
              <w:rPr>
                <w:rFonts w:ascii="Arial" w:hAnsi="Arial" w:cs="Arial"/>
                <w:sz w:val="19"/>
                <w:szCs w:val="19"/>
              </w:rPr>
            </w:pPr>
          </w:p>
        </w:tc>
        <w:tc>
          <w:tcPr>
            <w:tcW w:w="1134" w:type="dxa"/>
          </w:tcPr>
          <w:p w:rsidR="006D4766" w:rsidRPr="00070D17" w:rsidRDefault="006D4766" w:rsidP="003A1BD9">
            <w:pPr>
              <w:pStyle w:val="Tdec"/>
              <w:rPr>
                <w:rFonts w:ascii="Arial" w:hAnsi="Arial" w:cs="Arial"/>
                <w:sz w:val="19"/>
                <w:szCs w:val="19"/>
              </w:rPr>
            </w:pPr>
          </w:p>
        </w:tc>
        <w:tc>
          <w:tcPr>
            <w:tcW w:w="1134" w:type="dxa"/>
          </w:tcPr>
          <w:p w:rsidR="006D4766" w:rsidRPr="00070D17" w:rsidRDefault="006D4766" w:rsidP="003A1BD9">
            <w:pPr>
              <w:pStyle w:val="D9"/>
              <w:spacing w:line="240" w:lineRule="auto"/>
              <w:rPr>
                <w:rFonts w:ascii="Arial" w:hAnsi="Arial" w:cs="Arial"/>
                <w:sz w:val="19"/>
                <w:szCs w:val="19"/>
              </w:rPr>
            </w:pPr>
          </w:p>
        </w:tc>
        <w:tc>
          <w:tcPr>
            <w:tcW w:w="1134" w:type="dxa"/>
          </w:tcPr>
          <w:p w:rsidR="006D4766" w:rsidRPr="00BB2A59" w:rsidRDefault="006D4766" w:rsidP="003A1BD9">
            <w:pPr>
              <w:pStyle w:val="D9"/>
              <w:spacing w:line="240" w:lineRule="auto"/>
              <w:rPr>
                <w:rFonts w:ascii="Arial" w:hAnsi="Arial" w:cs="Arial"/>
                <w:sz w:val="19"/>
                <w:szCs w:val="19"/>
              </w:rPr>
            </w:pPr>
          </w:p>
        </w:tc>
      </w:tr>
    </w:tbl>
    <w:p w:rsidR="003517C6" w:rsidRPr="00BB2A59" w:rsidRDefault="003517C6" w:rsidP="003517C6">
      <w:pPr>
        <w:pStyle w:val="Heading1"/>
        <w:numPr>
          <w:ilvl w:val="0"/>
          <w:numId w:val="0"/>
        </w:numPr>
        <w:rPr>
          <w:rFonts w:ascii="Arial" w:hAnsi="Arial" w:cs="Arial"/>
          <w:sz w:val="24"/>
          <w:szCs w:val="24"/>
        </w:rPr>
      </w:pPr>
      <w:r>
        <w:rPr>
          <w:rFonts w:ascii="Arial" w:hAnsi="Arial" w:cs="Arial"/>
          <w:caps w:val="0"/>
          <w:sz w:val="24"/>
          <w:szCs w:val="24"/>
        </w:rPr>
        <w:t>12</w:t>
      </w:r>
      <w:r>
        <w:rPr>
          <w:rFonts w:ascii="Arial" w:hAnsi="Arial" w:cs="Arial"/>
          <w:caps w:val="0"/>
          <w:sz w:val="24"/>
          <w:szCs w:val="24"/>
        </w:rPr>
        <w:tab/>
        <w:t>Cash</w:t>
      </w:r>
    </w:p>
    <w:tbl>
      <w:tblPr>
        <w:tblW w:w="9498" w:type="dxa"/>
        <w:tblLayout w:type="fixed"/>
        <w:tblCellMar>
          <w:left w:w="28" w:type="dxa"/>
          <w:right w:w="28" w:type="dxa"/>
        </w:tblCellMar>
        <w:tblLook w:val="0000" w:firstRow="0" w:lastRow="0" w:firstColumn="0" w:lastColumn="0" w:noHBand="0" w:noVBand="0"/>
      </w:tblPr>
      <w:tblGrid>
        <w:gridCol w:w="4962"/>
        <w:gridCol w:w="1162"/>
        <w:gridCol w:w="1106"/>
        <w:gridCol w:w="1134"/>
        <w:gridCol w:w="1134"/>
      </w:tblGrid>
      <w:tr w:rsidR="003517C6" w:rsidRPr="00BB2A59" w:rsidTr="00402E60">
        <w:trPr>
          <w:cantSplit/>
        </w:trPr>
        <w:tc>
          <w:tcPr>
            <w:tcW w:w="4962" w:type="dxa"/>
          </w:tcPr>
          <w:p w:rsidR="003517C6" w:rsidRPr="00A00A55" w:rsidRDefault="003517C6" w:rsidP="00402E60">
            <w:pPr>
              <w:pStyle w:val="Thead"/>
              <w:rPr>
                <w:rFonts w:ascii="Arial" w:hAnsi="Arial" w:cs="Arial"/>
                <w:sz w:val="19"/>
                <w:szCs w:val="19"/>
              </w:rPr>
            </w:pPr>
          </w:p>
        </w:tc>
        <w:tc>
          <w:tcPr>
            <w:tcW w:w="1162" w:type="dxa"/>
          </w:tcPr>
          <w:p w:rsidR="003517C6" w:rsidRPr="00A00A55" w:rsidRDefault="003517C6" w:rsidP="00402E60">
            <w:pPr>
              <w:pStyle w:val="Thead"/>
              <w:rPr>
                <w:rFonts w:ascii="Arial" w:hAnsi="Arial" w:cs="Arial"/>
                <w:sz w:val="19"/>
                <w:szCs w:val="19"/>
              </w:rPr>
            </w:pPr>
          </w:p>
        </w:tc>
        <w:tc>
          <w:tcPr>
            <w:tcW w:w="1106" w:type="dxa"/>
          </w:tcPr>
          <w:p w:rsidR="003517C6" w:rsidRPr="00A00A55" w:rsidRDefault="003517C6" w:rsidP="00402E60">
            <w:pPr>
              <w:pStyle w:val="Thead"/>
              <w:rPr>
                <w:rFonts w:ascii="Arial" w:hAnsi="Arial" w:cs="Arial"/>
                <w:sz w:val="19"/>
                <w:szCs w:val="19"/>
              </w:rPr>
            </w:pPr>
          </w:p>
        </w:tc>
        <w:tc>
          <w:tcPr>
            <w:tcW w:w="1134" w:type="dxa"/>
          </w:tcPr>
          <w:p w:rsidR="003517C6" w:rsidRPr="00A00A55" w:rsidRDefault="003517C6" w:rsidP="00402E60">
            <w:pPr>
              <w:pStyle w:val="Thead"/>
              <w:rPr>
                <w:rFonts w:ascii="Arial" w:hAnsi="Arial" w:cs="Arial"/>
                <w:sz w:val="19"/>
                <w:szCs w:val="19"/>
              </w:rPr>
            </w:pPr>
            <w:r w:rsidRPr="00A00A55">
              <w:rPr>
                <w:rFonts w:ascii="Arial" w:hAnsi="Arial" w:cs="Arial"/>
                <w:sz w:val="19"/>
                <w:szCs w:val="19"/>
              </w:rPr>
              <w:t>2015</w:t>
            </w:r>
          </w:p>
          <w:p w:rsidR="003517C6" w:rsidRPr="00A00A55" w:rsidRDefault="003517C6" w:rsidP="00402E60">
            <w:pPr>
              <w:pStyle w:val="Thead"/>
              <w:rPr>
                <w:rFonts w:ascii="Arial" w:hAnsi="Arial" w:cs="Arial"/>
                <w:sz w:val="19"/>
                <w:szCs w:val="19"/>
              </w:rPr>
            </w:pPr>
            <w:r w:rsidRPr="00A00A55">
              <w:rPr>
                <w:rFonts w:ascii="Arial" w:hAnsi="Arial" w:cs="Arial"/>
                <w:sz w:val="19"/>
                <w:szCs w:val="19"/>
              </w:rPr>
              <w:t>£</w:t>
            </w:r>
          </w:p>
        </w:tc>
        <w:tc>
          <w:tcPr>
            <w:tcW w:w="1134" w:type="dxa"/>
          </w:tcPr>
          <w:p w:rsidR="003517C6" w:rsidRPr="00BB2A59" w:rsidRDefault="003517C6" w:rsidP="00402E60">
            <w:pPr>
              <w:pStyle w:val="Thead"/>
              <w:rPr>
                <w:rFonts w:ascii="Arial" w:hAnsi="Arial" w:cs="Arial"/>
                <w:sz w:val="19"/>
                <w:szCs w:val="19"/>
              </w:rPr>
            </w:pPr>
            <w:r w:rsidRPr="00BB2A59">
              <w:rPr>
                <w:rFonts w:ascii="Arial" w:hAnsi="Arial" w:cs="Arial"/>
                <w:sz w:val="19"/>
                <w:szCs w:val="19"/>
              </w:rPr>
              <w:t>2014</w:t>
            </w:r>
          </w:p>
          <w:p w:rsidR="003517C6" w:rsidRPr="00BB2A59" w:rsidRDefault="003517C6" w:rsidP="00402E60">
            <w:pPr>
              <w:pStyle w:val="Thead"/>
              <w:rPr>
                <w:rFonts w:ascii="Arial" w:hAnsi="Arial" w:cs="Arial"/>
                <w:sz w:val="19"/>
                <w:szCs w:val="19"/>
              </w:rPr>
            </w:pPr>
            <w:r w:rsidRPr="00BB2A59">
              <w:rPr>
                <w:rFonts w:ascii="Arial" w:hAnsi="Arial" w:cs="Arial"/>
                <w:sz w:val="19"/>
                <w:szCs w:val="19"/>
              </w:rPr>
              <w:t>£</w:t>
            </w:r>
          </w:p>
        </w:tc>
      </w:tr>
      <w:tr w:rsidR="003517C6" w:rsidRPr="00BB2A59" w:rsidTr="00402E60">
        <w:trPr>
          <w:cantSplit/>
        </w:trPr>
        <w:tc>
          <w:tcPr>
            <w:tcW w:w="4962" w:type="dxa"/>
          </w:tcPr>
          <w:p w:rsidR="003517C6" w:rsidRPr="00A00A55" w:rsidRDefault="003517C6" w:rsidP="00402E60">
            <w:pPr>
              <w:pStyle w:val="B0"/>
              <w:spacing w:line="240" w:lineRule="auto"/>
              <w:rPr>
                <w:rFonts w:ascii="Arial" w:hAnsi="Arial" w:cs="Arial"/>
                <w:sz w:val="19"/>
                <w:szCs w:val="19"/>
              </w:rPr>
            </w:pPr>
          </w:p>
        </w:tc>
        <w:tc>
          <w:tcPr>
            <w:tcW w:w="1162" w:type="dxa"/>
          </w:tcPr>
          <w:p w:rsidR="003517C6" w:rsidRPr="00A00A55" w:rsidRDefault="003517C6" w:rsidP="00402E60">
            <w:pPr>
              <w:pStyle w:val="B0"/>
              <w:spacing w:line="240" w:lineRule="auto"/>
              <w:rPr>
                <w:rFonts w:ascii="Arial" w:hAnsi="Arial" w:cs="Arial"/>
                <w:sz w:val="19"/>
                <w:szCs w:val="19"/>
              </w:rPr>
            </w:pPr>
          </w:p>
        </w:tc>
        <w:tc>
          <w:tcPr>
            <w:tcW w:w="1106" w:type="dxa"/>
          </w:tcPr>
          <w:p w:rsidR="003517C6" w:rsidRPr="00A00A55" w:rsidRDefault="003517C6" w:rsidP="00402E60">
            <w:pPr>
              <w:pStyle w:val="B0"/>
              <w:spacing w:line="240" w:lineRule="auto"/>
              <w:rPr>
                <w:rFonts w:ascii="Arial" w:hAnsi="Arial" w:cs="Arial"/>
                <w:sz w:val="19"/>
                <w:szCs w:val="19"/>
              </w:rPr>
            </w:pPr>
          </w:p>
        </w:tc>
        <w:tc>
          <w:tcPr>
            <w:tcW w:w="1134" w:type="dxa"/>
          </w:tcPr>
          <w:p w:rsidR="003517C6" w:rsidRPr="00A00A55" w:rsidRDefault="003517C6" w:rsidP="00402E60">
            <w:pPr>
              <w:pStyle w:val="B0"/>
              <w:spacing w:line="240" w:lineRule="auto"/>
              <w:rPr>
                <w:rFonts w:ascii="Arial" w:hAnsi="Arial" w:cs="Arial"/>
                <w:sz w:val="19"/>
                <w:szCs w:val="19"/>
              </w:rPr>
            </w:pPr>
          </w:p>
        </w:tc>
        <w:tc>
          <w:tcPr>
            <w:tcW w:w="1134" w:type="dxa"/>
          </w:tcPr>
          <w:p w:rsidR="003517C6" w:rsidRPr="00BB2A59" w:rsidRDefault="003517C6" w:rsidP="00402E60">
            <w:pPr>
              <w:pStyle w:val="B0"/>
              <w:spacing w:line="240" w:lineRule="auto"/>
              <w:rPr>
                <w:rFonts w:ascii="Arial" w:hAnsi="Arial" w:cs="Arial"/>
                <w:sz w:val="19"/>
                <w:szCs w:val="19"/>
              </w:rPr>
            </w:pPr>
          </w:p>
        </w:tc>
      </w:tr>
      <w:tr w:rsidR="003517C6" w:rsidRPr="00BB2A59" w:rsidTr="00402E60">
        <w:trPr>
          <w:cantSplit/>
        </w:trPr>
        <w:tc>
          <w:tcPr>
            <w:tcW w:w="4962" w:type="dxa"/>
          </w:tcPr>
          <w:p w:rsidR="003517C6" w:rsidRPr="00A00A55" w:rsidRDefault="003517C6" w:rsidP="00402E60">
            <w:pPr>
              <w:pStyle w:val="Tindent"/>
              <w:rPr>
                <w:rFonts w:ascii="Arial" w:hAnsi="Arial" w:cs="Arial"/>
                <w:sz w:val="19"/>
                <w:szCs w:val="19"/>
              </w:rPr>
            </w:pPr>
            <w:r>
              <w:rPr>
                <w:rFonts w:ascii="Arial" w:hAnsi="Arial" w:cs="Arial"/>
                <w:sz w:val="19"/>
                <w:szCs w:val="19"/>
              </w:rPr>
              <w:t>Cash</w:t>
            </w:r>
          </w:p>
        </w:tc>
        <w:tc>
          <w:tcPr>
            <w:tcW w:w="1162" w:type="dxa"/>
          </w:tcPr>
          <w:p w:rsidR="003517C6" w:rsidRPr="00A00A55" w:rsidRDefault="003517C6" w:rsidP="00402E60">
            <w:pPr>
              <w:pStyle w:val="Tdec"/>
              <w:rPr>
                <w:rFonts w:ascii="Arial" w:hAnsi="Arial" w:cs="Arial"/>
                <w:sz w:val="19"/>
                <w:szCs w:val="19"/>
              </w:rPr>
            </w:pPr>
          </w:p>
        </w:tc>
        <w:tc>
          <w:tcPr>
            <w:tcW w:w="1106" w:type="dxa"/>
          </w:tcPr>
          <w:p w:rsidR="003517C6" w:rsidRPr="00A00A55" w:rsidRDefault="003517C6" w:rsidP="00402E60">
            <w:pPr>
              <w:pStyle w:val="Tdec"/>
              <w:rPr>
                <w:rFonts w:ascii="Arial" w:hAnsi="Arial" w:cs="Arial"/>
                <w:sz w:val="19"/>
                <w:szCs w:val="19"/>
              </w:rPr>
            </w:pPr>
          </w:p>
        </w:tc>
        <w:tc>
          <w:tcPr>
            <w:tcW w:w="1134" w:type="dxa"/>
          </w:tcPr>
          <w:p w:rsidR="003517C6" w:rsidRPr="00A00A55" w:rsidRDefault="003517C6" w:rsidP="00402E60">
            <w:pPr>
              <w:pStyle w:val="Tdec"/>
              <w:rPr>
                <w:rFonts w:ascii="Arial" w:hAnsi="Arial" w:cs="Arial"/>
                <w:sz w:val="19"/>
                <w:szCs w:val="19"/>
              </w:rPr>
            </w:pPr>
            <w:r>
              <w:rPr>
                <w:rFonts w:ascii="Arial" w:hAnsi="Arial" w:cs="Arial"/>
                <w:sz w:val="19"/>
                <w:szCs w:val="19"/>
              </w:rPr>
              <w:t>1,664</w:t>
            </w:r>
          </w:p>
        </w:tc>
        <w:tc>
          <w:tcPr>
            <w:tcW w:w="1134" w:type="dxa"/>
          </w:tcPr>
          <w:p w:rsidR="003517C6" w:rsidRPr="00BB2A59" w:rsidRDefault="003517C6" w:rsidP="00402E60">
            <w:pPr>
              <w:pStyle w:val="Tdec"/>
              <w:rPr>
                <w:rFonts w:ascii="Arial" w:hAnsi="Arial" w:cs="Arial"/>
                <w:sz w:val="19"/>
                <w:szCs w:val="19"/>
              </w:rPr>
            </w:pPr>
            <w:r>
              <w:rPr>
                <w:rFonts w:ascii="Arial" w:hAnsi="Arial" w:cs="Arial"/>
                <w:sz w:val="19"/>
                <w:szCs w:val="19"/>
              </w:rPr>
              <w:t>0</w:t>
            </w:r>
          </w:p>
        </w:tc>
      </w:tr>
      <w:tr w:rsidR="003517C6" w:rsidRPr="00C46A29" w:rsidTr="00402E60">
        <w:trPr>
          <w:cantSplit/>
        </w:trPr>
        <w:tc>
          <w:tcPr>
            <w:tcW w:w="4962" w:type="dxa"/>
          </w:tcPr>
          <w:p w:rsidR="003517C6" w:rsidRPr="00C46A29" w:rsidRDefault="003517C6" w:rsidP="00402E60">
            <w:pPr>
              <w:pStyle w:val="Tindent"/>
              <w:rPr>
                <w:rFonts w:ascii="Arial" w:hAnsi="Arial" w:cs="Arial"/>
                <w:sz w:val="19"/>
                <w:szCs w:val="19"/>
                <w:highlight w:val="yellow"/>
              </w:rPr>
            </w:pPr>
          </w:p>
        </w:tc>
        <w:tc>
          <w:tcPr>
            <w:tcW w:w="1162" w:type="dxa"/>
          </w:tcPr>
          <w:p w:rsidR="003517C6" w:rsidRPr="00C46A29" w:rsidRDefault="003517C6" w:rsidP="00402E60">
            <w:pPr>
              <w:pStyle w:val="Tdec"/>
              <w:rPr>
                <w:rFonts w:ascii="Arial" w:hAnsi="Arial" w:cs="Arial"/>
                <w:sz w:val="19"/>
                <w:szCs w:val="19"/>
                <w:highlight w:val="yellow"/>
              </w:rPr>
            </w:pPr>
          </w:p>
        </w:tc>
        <w:tc>
          <w:tcPr>
            <w:tcW w:w="1106" w:type="dxa"/>
          </w:tcPr>
          <w:p w:rsidR="003517C6" w:rsidRPr="00C46A29" w:rsidRDefault="003517C6" w:rsidP="00402E60">
            <w:pPr>
              <w:pStyle w:val="Tdec"/>
              <w:rPr>
                <w:rFonts w:ascii="Arial" w:hAnsi="Arial" w:cs="Arial"/>
                <w:sz w:val="19"/>
                <w:szCs w:val="19"/>
                <w:highlight w:val="yellow"/>
              </w:rPr>
            </w:pPr>
          </w:p>
        </w:tc>
        <w:tc>
          <w:tcPr>
            <w:tcW w:w="1134" w:type="dxa"/>
          </w:tcPr>
          <w:p w:rsidR="003517C6" w:rsidRPr="00C46A29" w:rsidRDefault="003517C6" w:rsidP="00402E60">
            <w:pPr>
              <w:pStyle w:val="D9"/>
              <w:spacing w:line="240" w:lineRule="auto"/>
              <w:rPr>
                <w:rFonts w:ascii="Arial" w:hAnsi="Arial" w:cs="Arial"/>
                <w:sz w:val="19"/>
                <w:szCs w:val="19"/>
                <w:highlight w:val="yellow"/>
              </w:rPr>
            </w:pPr>
          </w:p>
        </w:tc>
        <w:tc>
          <w:tcPr>
            <w:tcW w:w="1134" w:type="dxa"/>
          </w:tcPr>
          <w:p w:rsidR="003517C6" w:rsidRPr="00C46A29" w:rsidRDefault="003517C6" w:rsidP="00402E60">
            <w:pPr>
              <w:pStyle w:val="D9"/>
              <w:spacing w:line="240" w:lineRule="auto"/>
              <w:rPr>
                <w:rFonts w:ascii="Arial" w:hAnsi="Arial" w:cs="Arial"/>
                <w:sz w:val="19"/>
                <w:szCs w:val="19"/>
                <w:highlight w:val="yellow"/>
              </w:rPr>
            </w:pPr>
          </w:p>
        </w:tc>
      </w:tr>
    </w:tbl>
    <w:p w:rsidR="00172CC5" w:rsidRPr="00070D17" w:rsidRDefault="00172CC5" w:rsidP="003A1BD9">
      <w:pPr>
        <w:pStyle w:val="NormalIndent"/>
        <w:ind w:left="0"/>
        <w:rPr>
          <w:rFonts w:ascii="Arial" w:hAnsi="Arial" w:cs="Arial"/>
          <w:sz w:val="19"/>
          <w:szCs w:val="19"/>
          <w:lang w:val="en-US"/>
        </w:rPr>
      </w:pPr>
    </w:p>
    <w:p w:rsidR="00DC7B35" w:rsidRPr="00BB2A59" w:rsidRDefault="003517C6" w:rsidP="003517C6">
      <w:pPr>
        <w:pStyle w:val="Heading1"/>
        <w:numPr>
          <w:ilvl w:val="0"/>
          <w:numId w:val="0"/>
        </w:numPr>
        <w:spacing w:before="240" w:after="240"/>
        <w:rPr>
          <w:rFonts w:ascii="Arial" w:hAnsi="Arial" w:cs="Arial"/>
          <w:caps w:val="0"/>
          <w:sz w:val="24"/>
          <w:szCs w:val="24"/>
        </w:rPr>
      </w:pPr>
      <w:bookmarkStart w:id="20" w:name="_Toc390775326"/>
      <w:r>
        <w:rPr>
          <w:rFonts w:ascii="Arial" w:hAnsi="Arial" w:cs="Arial"/>
          <w:caps w:val="0"/>
          <w:sz w:val="24"/>
          <w:szCs w:val="24"/>
        </w:rPr>
        <w:t>13</w:t>
      </w:r>
      <w:r>
        <w:rPr>
          <w:rFonts w:ascii="Arial" w:hAnsi="Arial" w:cs="Arial"/>
          <w:caps w:val="0"/>
          <w:sz w:val="24"/>
          <w:szCs w:val="24"/>
        </w:rPr>
        <w:tab/>
      </w:r>
      <w:r w:rsidR="003B2453" w:rsidRPr="00BB2A59">
        <w:rPr>
          <w:rFonts w:ascii="Arial" w:hAnsi="Arial" w:cs="Arial"/>
          <w:caps w:val="0"/>
          <w:sz w:val="24"/>
          <w:szCs w:val="24"/>
        </w:rPr>
        <w:t>Creditors: Amounts Falling Due Within One Year</w:t>
      </w:r>
      <w:bookmarkEnd w:id="20"/>
    </w:p>
    <w:p w:rsidR="00CE7964" w:rsidRPr="00C46A29" w:rsidRDefault="00CE7964" w:rsidP="00CE7964">
      <w:pPr>
        <w:pStyle w:val="NormalIndent"/>
        <w:ind w:left="8505"/>
        <w:rPr>
          <w:rFonts w:ascii="Arial" w:hAnsi="Arial" w:cs="Arial"/>
          <w:i/>
          <w:sz w:val="19"/>
          <w:szCs w:val="19"/>
          <w:highlight w:val="yellow"/>
        </w:rPr>
      </w:pPr>
    </w:p>
    <w:tbl>
      <w:tblPr>
        <w:tblW w:w="9498" w:type="dxa"/>
        <w:tblLayout w:type="fixed"/>
        <w:tblCellMar>
          <w:left w:w="28" w:type="dxa"/>
          <w:right w:w="28" w:type="dxa"/>
        </w:tblCellMar>
        <w:tblLook w:val="0000" w:firstRow="0" w:lastRow="0" w:firstColumn="0" w:lastColumn="0" w:noHBand="0" w:noVBand="0"/>
      </w:tblPr>
      <w:tblGrid>
        <w:gridCol w:w="3828"/>
        <w:gridCol w:w="28"/>
        <w:gridCol w:w="1106"/>
        <w:gridCol w:w="1134"/>
        <w:gridCol w:w="1134"/>
        <w:gridCol w:w="1134"/>
        <w:gridCol w:w="1134"/>
      </w:tblGrid>
      <w:tr w:rsidR="00080F69" w:rsidRPr="00C46A29" w:rsidTr="0090162E">
        <w:trPr>
          <w:cantSplit/>
        </w:trPr>
        <w:tc>
          <w:tcPr>
            <w:tcW w:w="3828" w:type="dxa"/>
          </w:tcPr>
          <w:p w:rsidR="00080F69" w:rsidRPr="009419EB" w:rsidRDefault="00080F69" w:rsidP="003A1BD9">
            <w:pPr>
              <w:pStyle w:val="Tindent"/>
              <w:keepLines/>
              <w:rPr>
                <w:rFonts w:ascii="Arial" w:hAnsi="Arial" w:cs="Arial"/>
                <w:b/>
                <w:sz w:val="19"/>
                <w:szCs w:val="19"/>
              </w:rPr>
            </w:pPr>
          </w:p>
        </w:tc>
        <w:tc>
          <w:tcPr>
            <w:tcW w:w="1134" w:type="dxa"/>
            <w:gridSpan w:val="2"/>
          </w:tcPr>
          <w:p w:rsidR="00080F69" w:rsidRPr="009419EB" w:rsidRDefault="00080F69" w:rsidP="003A1BD9">
            <w:pPr>
              <w:pStyle w:val="Thead"/>
              <w:rPr>
                <w:rFonts w:ascii="Arial" w:hAnsi="Arial" w:cs="Arial"/>
                <w:sz w:val="19"/>
                <w:szCs w:val="19"/>
              </w:rPr>
            </w:pPr>
          </w:p>
        </w:tc>
        <w:tc>
          <w:tcPr>
            <w:tcW w:w="1134" w:type="dxa"/>
          </w:tcPr>
          <w:p w:rsidR="00080F69" w:rsidRPr="009419EB" w:rsidRDefault="00080F69" w:rsidP="003A1BD9">
            <w:pPr>
              <w:pStyle w:val="Thead"/>
              <w:rPr>
                <w:rFonts w:ascii="Arial" w:hAnsi="Arial" w:cs="Arial"/>
                <w:sz w:val="19"/>
                <w:szCs w:val="19"/>
              </w:rPr>
            </w:pPr>
          </w:p>
        </w:tc>
        <w:tc>
          <w:tcPr>
            <w:tcW w:w="1134" w:type="dxa"/>
          </w:tcPr>
          <w:p w:rsidR="00080F69" w:rsidRPr="009419EB" w:rsidRDefault="00080F69" w:rsidP="003A1BD9">
            <w:pPr>
              <w:pStyle w:val="Thead"/>
              <w:rPr>
                <w:rFonts w:ascii="Arial" w:hAnsi="Arial" w:cs="Arial"/>
                <w:sz w:val="19"/>
                <w:szCs w:val="19"/>
              </w:rPr>
            </w:pPr>
          </w:p>
        </w:tc>
        <w:tc>
          <w:tcPr>
            <w:tcW w:w="1134" w:type="dxa"/>
          </w:tcPr>
          <w:p w:rsidR="00080F69" w:rsidRPr="009419EB" w:rsidRDefault="00BB2A59" w:rsidP="003A1BD9">
            <w:pPr>
              <w:pStyle w:val="Thead"/>
              <w:rPr>
                <w:rFonts w:ascii="Arial" w:hAnsi="Arial" w:cs="Arial"/>
                <w:sz w:val="19"/>
                <w:szCs w:val="19"/>
              </w:rPr>
            </w:pPr>
            <w:r w:rsidRPr="009419EB">
              <w:rPr>
                <w:rFonts w:ascii="Arial" w:hAnsi="Arial" w:cs="Arial"/>
                <w:sz w:val="19"/>
                <w:szCs w:val="19"/>
              </w:rPr>
              <w:t>2015</w:t>
            </w:r>
          </w:p>
          <w:p w:rsidR="00080F69" w:rsidRPr="009419EB" w:rsidRDefault="00080F69" w:rsidP="003A1BD9">
            <w:pPr>
              <w:pStyle w:val="Thead"/>
              <w:rPr>
                <w:rFonts w:ascii="Arial" w:hAnsi="Arial" w:cs="Arial"/>
                <w:sz w:val="19"/>
                <w:szCs w:val="19"/>
              </w:rPr>
            </w:pPr>
            <w:r w:rsidRPr="009419EB">
              <w:rPr>
                <w:rFonts w:ascii="Arial" w:hAnsi="Arial" w:cs="Arial"/>
                <w:sz w:val="19"/>
                <w:szCs w:val="19"/>
              </w:rPr>
              <w:t>£000</w:t>
            </w:r>
          </w:p>
        </w:tc>
        <w:tc>
          <w:tcPr>
            <w:tcW w:w="1134" w:type="dxa"/>
          </w:tcPr>
          <w:p w:rsidR="00080F69" w:rsidRPr="00BB2A59" w:rsidRDefault="00BB2A59" w:rsidP="003A1BD9">
            <w:pPr>
              <w:pStyle w:val="Thead"/>
              <w:rPr>
                <w:rFonts w:ascii="Arial" w:hAnsi="Arial" w:cs="Arial"/>
                <w:sz w:val="19"/>
                <w:szCs w:val="19"/>
              </w:rPr>
            </w:pPr>
            <w:r w:rsidRPr="00BB2A59">
              <w:rPr>
                <w:rFonts w:ascii="Arial" w:hAnsi="Arial" w:cs="Arial"/>
                <w:sz w:val="19"/>
                <w:szCs w:val="19"/>
              </w:rPr>
              <w:t>2014</w:t>
            </w:r>
          </w:p>
          <w:p w:rsidR="00080F69" w:rsidRPr="00BB2A59" w:rsidRDefault="00080F69" w:rsidP="003A1BD9">
            <w:pPr>
              <w:pStyle w:val="Thead"/>
              <w:rPr>
                <w:rFonts w:ascii="Arial" w:hAnsi="Arial" w:cs="Arial"/>
                <w:sz w:val="19"/>
                <w:szCs w:val="19"/>
              </w:rPr>
            </w:pPr>
            <w:r w:rsidRPr="00BB2A59">
              <w:rPr>
                <w:rFonts w:ascii="Arial" w:hAnsi="Arial" w:cs="Arial"/>
                <w:sz w:val="19"/>
                <w:szCs w:val="19"/>
              </w:rPr>
              <w:t>£000</w:t>
            </w:r>
          </w:p>
        </w:tc>
      </w:tr>
      <w:tr w:rsidR="0090162E" w:rsidRPr="00C46A29" w:rsidTr="0090162E">
        <w:trPr>
          <w:cantSplit/>
        </w:trPr>
        <w:tc>
          <w:tcPr>
            <w:tcW w:w="3828" w:type="dxa"/>
          </w:tcPr>
          <w:p w:rsidR="0090162E" w:rsidRPr="009419EB" w:rsidRDefault="0090162E" w:rsidP="003A1BD9">
            <w:pPr>
              <w:pStyle w:val="B0"/>
              <w:spacing w:line="240" w:lineRule="auto"/>
              <w:rPr>
                <w:rFonts w:ascii="Arial" w:hAnsi="Arial" w:cs="Arial"/>
                <w:sz w:val="19"/>
                <w:szCs w:val="19"/>
              </w:rPr>
            </w:pPr>
          </w:p>
        </w:tc>
        <w:tc>
          <w:tcPr>
            <w:tcW w:w="1134" w:type="dxa"/>
            <w:gridSpan w:val="2"/>
          </w:tcPr>
          <w:p w:rsidR="0090162E" w:rsidRPr="009419EB" w:rsidRDefault="0090162E" w:rsidP="003A1BD9">
            <w:pPr>
              <w:pStyle w:val="B0"/>
              <w:spacing w:line="240" w:lineRule="auto"/>
              <w:rPr>
                <w:rFonts w:ascii="Arial" w:hAnsi="Arial" w:cs="Arial"/>
                <w:sz w:val="19"/>
                <w:szCs w:val="19"/>
              </w:rPr>
            </w:pPr>
          </w:p>
        </w:tc>
        <w:tc>
          <w:tcPr>
            <w:tcW w:w="1134" w:type="dxa"/>
          </w:tcPr>
          <w:p w:rsidR="0090162E" w:rsidRPr="009419EB" w:rsidRDefault="0090162E" w:rsidP="003A1BD9">
            <w:pPr>
              <w:pStyle w:val="B0"/>
              <w:spacing w:line="240" w:lineRule="auto"/>
              <w:rPr>
                <w:rFonts w:ascii="Arial" w:hAnsi="Arial" w:cs="Arial"/>
                <w:sz w:val="19"/>
                <w:szCs w:val="19"/>
              </w:rPr>
            </w:pPr>
          </w:p>
        </w:tc>
        <w:tc>
          <w:tcPr>
            <w:tcW w:w="1134" w:type="dxa"/>
          </w:tcPr>
          <w:p w:rsidR="0090162E" w:rsidRPr="009419EB" w:rsidRDefault="0090162E" w:rsidP="003A1BD9">
            <w:pPr>
              <w:pStyle w:val="B0"/>
              <w:spacing w:line="240" w:lineRule="auto"/>
              <w:rPr>
                <w:rFonts w:ascii="Arial" w:hAnsi="Arial" w:cs="Arial"/>
                <w:sz w:val="19"/>
                <w:szCs w:val="19"/>
              </w:rPr>
            </w:pPr>
          </w:p>
        </w:tc>
        <w:tc>
          <w:tcPr>
            <w:tcW w:w="1134" w:type="dxa"/>
          </w:tcPr>
          <w:p w:rsidR="0090162E" w:rsidRPr="009419EB" w:rsidRDefault="0090162E" w:rsidP="003A1BD9">
            <w:pPr>
              <w:pStyle w:val="B0"/>
              <w:spacing w:line="240" w:lineRule="auto"/>
              <w:rPr>
                <w:rFonts w:ascii="Arial" w:hAnsi="Arial" w:cs="Arial"/>
                <w:sz w:val="19"/>
                <w:szCs w:val="19"/>
              </w:rPr>
            </w:pPr>
          </w:p>
        </w:tc>
        <w:tc>
          <w:tcPr>
            <w:tcW w:w="1134" w:type="dxa"/>
          </w:tcPr>
          <w:p w:rsidR="0090162E" w:rsidRPr="00BB2A59" w:rsidRDefault="0090162E" w:rsidP="003A1BD9">
            <w:pPr>
              <w:pStyle w:val="B0"/>
              <w:spacing w:line="240" w:lineRule="auto"/>
              <w:rPr>
                <w:rFonts w:ascii="Arial" w:hAnsi="Arial" w:cs="Arial"/>
                <w:sz w:val="19"/>
                <w:szCs w:val="19"/>
              </w:rPr>
            </w:pPr>
          </w:p>
        </w:tc>
      </w:tr>
      <w:tr w:rsidR="0090162E" w:rsidRPr="00C46A29" w:rsidTr="0090162E">
        <w:trPr>
          <w:cantSplit/>
        </w:trPr>
        <w:tc>
          <w:tcPr>
            <w:tcW w:w="3856" w:type="dxa"/>
            <w:gridSpan w:val="2"/>
          </w:tcPr>
          <w:p w:rsidR="0090162E" w:rsidRPr="009419EB" w:rsidRDefault="00080F69" w:rsidP="003A1BD9">
            <w:pPr>
              <w:pStyle w:val="Tindent"/>
              <w:rPr>
                <w:rFonts w:ascii="Arial" w:hAnsi="Arial" w:cs="Arial"/>
                <w:sz w:val="19"/>
                <w:szCs w:val="19"/>
              </w:rPr>
            </w:pPr>
            <w:r w:rsidRPr="009419EB">
              <w:rPr>
                <w:rFonts w:ascii="Arial" w:hAnsi="Arial" w:cs="Arial"/>
                <w:sz w:val="19"/>
                <w:szCs w:val="19"/>
              </w:rPr>
              <w:t>Amount owed to Northumberland County Council</w:t>
            </w:r>
          </w:p>
          <w:p w:rsidR="009419EB" w:rsidRPr="009419EB" w:rsidRDefault="009419EB" w:rsidP="003A1BD9">
            <w:pPr>
              <w:pStyle w:val="Tindent"/>
              <w:rPr>
                <w:rFonts w:ascii="Arial" w:hAnsi="Arial" w:cs="Arial"/>
                <w:sz w:val="19"/>
                <w:szCs w:val="19"/>
              </w:rPr>
            </w:pPr>
            <w:r w:rsidRPr="009419EB">
              <w:rPr>
                <w:rFonts w:ascii="Arial" w:hAnsi="Arial" w:cs="Arial"/>
                <w:sz w:val="19"/>
                <w:szCs w:val="19"/>
              </w:rPr>
              <w:t>Amounts owed to Building for Northumberland</w:t>
            </w:r>
          </w:p>
        </w:tc>
        <w:tc>
          <w:tcPr>
            <w:tcW w:w="1106" w:type="dxa"/>
          </w:tcPr>
          <w:p w:rsidR="0090162E" w:rsidRPr="009419EB" w:rsidRDefault="0090162E" w:rsidP="003A1BD9">
            <w:pPr>
              <w:pStyle w:val="Tdec"/>
              <w:rPr>
                <w:rFonts w:ascii="Arial" w:hAnsi="Arial" w:cs="Arial"/>
                <w:sz w:val="19"/>
                <w:szCs w:val="19"/>
              </w:rPr>
            </w:pPr>
          </w:p>
        </w:tc>
        <w:tc>
          <w:tcPr>
            <w:tcW w:w="1134" w:type="dxa"/>
          </w:tcPr>
          <w:p w:rsidR="0090162E" w:rsidRPr="009419EB" w:rsidRDefault="0090162E" w:rsidP="003A1BD9">
            <w:pPr>
              <w:pStyle w:val="Tdec"/>
              <w:rPr>
                <w:rFonts w:ascii="Arial" w:hAnsi="Arial" w:cs="Arial"/>
                <w:sz w:val="19"/>
                <w:szCs w:val="19"/>
              </w:rPr>
            </w:pPr>
          </w:p>
        </w:tc>
        <w:tc>
          <w:tcPr>
            <w:tcW w:w="1134" w:type="dxa"/>
          </w:tcPr>
          <w:p w:rsidR="0090162E" w:rsidRPr="009419EB" w:rsidRDefault="0090162E" w:rsidP="003A1BD9">
            <w:pPr>
              <w:pStyle w:val="Tdec"/>
              <w:rPr>
                <w:rFonts w:ascii="Arial" w:hAnsi="Arial" w:cs="Arial"/>
                <w:sz w:val="19"/>
                <w:szCs w:val="19"/>
              </w:rPr>
            </w:pPr>
          </w:p>
        </w:tc>
        <w:tc>
          <w:tcPr>
            <w:tcW w:w="1134" w:type="dxa"/>
          </w:tcPr>
          <w:p w:rsidR="0090162E" w:rsidRPr="009419EB" w:rsidRDefault="0090162E" w:rsidP="003A1BD9">
            <w:pPr>
              <w:pStyle w:val="Tdec"/>
              <w:rPr>
                <w:rFonts w:ascii="Arial" w:hAnsi="Arial" w:cs="Arial"/>
                <w:sz w:val="19"/>
                <w:szCs w:val="19"/>
              </w:rPr>
            </w:pPr>
          </w:p>
          <w:p w:rsidR="009419EB" w:rsidRPr="009419EB" w:rsidRDefault="009419EB" w:rsidP="003A1BD9">
            <w:pPr>
              <w:pStyle w:val="Tdec"/>
              <w:rPr>
                <w:rFonts w:ascii="Arial" w:hAnsi="Arial" w:cs="Arial"/>
                <w:sz w:val="19"/>
                <w:szCs w:val="19"/>
              </w:rPr>
            </w:pPr>
            <w:r w:rsidRPr="009419EB">
              <w:rPr>
                <w:rFonts w:ascii="Arial" w:hAnsi="Arial" w:cs="Arial"/>
                <w:sz w:val="19"/>
                <w:szCs w:val="19"/>
              </w:rPr>
              <w:t>1,114</w:t>
            </w:r>
          </w:p>
          <w:p w:rsidR="009419EB" w:rsidRPr="009419EB" w:rsidRDefault="009419EB" w:rsidP="003A1BD9">
            <w:pPr>
              <w:pStyle w:val="Tdec"/>
              <w:rPr>
                <w:rFonts w:ascii="Arial" w:hAnsi="Arial" w:cs="Arial"/>
                <w:sz w:val="19"/>
                <w:szCs w:val="19"/>
              </w:rPr>
            </w:pPr>
          </w:p>
          <w:p w:rsidR="009419EB" w:rsidRPr="009419EB" w:rsidRDefault="009419EB" w:rsidP="003A1BD9">
            <w:pPr>
              <w:pStyle w:val="Tdec"/>
              <w:rPr>
                <w:rFonts w:ascii="Arial" w:hAnsi="Arial" w:cs="Arial"/>
                <w:sz w:val="19"/>
                <w:szCs w:val="19"/>
              </w:rPr>
            </w:pPr>
            <w:r w:rsidRPr="009419EB">
              <w:rPr>
                <w:rFonts w:ascii="Arial" w:hAnsi="Arial" w:cs="Arial"/>
                <w:sz w:val="19"/>
                <w:szCs w:val="19"/>
              </w:rPr>
              <w:t>62</w:t>
            </w:r>
          </w:p>
        </w:tc>
        <w:tc>
          <w:tcPr>
            <w:tcW w:w="1134" w:type="dxa"/>
          </w:tcPr>
          <w:p w:rsidR="0090162E" w:rsidRPr="00BB2A59" w:rsidRDefault="0090162E" w:rsidP="003A1BD9">
            <w:pPr>
              <w:pStyle w:val="Tdec"/>
              <w:rPr>
                <w:rFonts w:ascii="Arial" w:hAnsi="Arial" w:cs="Arial"/>
                <w:sz w:val="19"/>
                <w:szCs w:val="19"/>
              </w:rPr>
            </w:pPr>
          </w:p>
          <w:p w:rsidR="00080F69" w:rsidRDefault="00BB2A59" w:rsidP="003A1BD9">
            <w:pPr>
              <w:pStyle w:val="Tdec"/>
              <w:rPr>
                <w:rFonts w:ascii="Arial" w:hAnsi="Arial" w:cs="Arial"/>
                <w:sz w:val="19"/>
                <w:szCs w:val="19"/>
              </w:rPr>
            </w:pPr>
            <w:r w:rsidRPr="00BB2A59">
              <w:rPr>
                <w:rFonts w:ascii="Arial" w:hAnsi="Arial" w:cs="Arial"/>
                <w:sz w:val="19"/>
                <w:szCs w:val="19"/>
              </w:rPr>
              <w:t>1,983</w:t>
            </w:r>
          </w:p>
          <w:p w:rsidR="009419EB" w:rsidRDefault="009419EB" w:rsidP="003A1BD9">
            <w:pPr>
              <w:pStyle w:val="Tdec"/>
              <w:rPr>
                <w:rFonts w:ascii="Arial" w:hAnsi="Arial" w:cs="Arial"/>
                <w:sz w:val="19"/>
                <w:szCs w:val="19"/>
              </w:rPr>
            </w:pPr>
          </w:p>
          <w:p w:rsidR="009419EB" w:rsidRPr="00BB2A59" w:rsidRDefault="009419EB" w:rsidP="003A1BD9">
            <w:pPr>
              <w:pStyle w:val="Tdec"/>
              <w:rPr>
                <w:rFonts w:ascii="Arial" w:hAnsi="Arial" w:cs="Arial"/>
                <w:sz w:val="19"/>
                <w:szCs w:val="19"/>
              </w:rPr>
            </w:pPr>
            <w:r>
              <w:rPr>
                <w:rFonts w:ascii="Arial" w:hAnsi="Arial" w:cs="Arial"/>
                <w:sz w:val="19"/>
                <w:szCs w:val="19"/>
              </w:rPr>
              <w:t>0</w:t>
            </w:r>
          </w:p>
        </w:tc>
      </w:tr>
      <w:tr w:rsidR="0090162E" w:rsidRPr="00C46A29" w:rsidTr="002156D1">
        <w:trPr>
          <w:cantSplit/>
          <w:trHeight w:val="227"/>
        </w:trPr>
        <w:tc>
          <w:tcPr>
            <w:tcW w:w="3856" w:type="dxa"/>
            <w:gridSpan w:val="2"/>
          </w:tcPr>
          <w:p w:rsidR="0090162E" w:rsidRPr="009419EB" w:rsidRDefault="00080F69" w:rsidP="003A1BD9">
            <w:pPr>
              <w:pStyle w:val="Tindent"/>
              <w:rPr>
                <w:rFonts w:ascii="Arial" w:hAnsi="Arial" w:cs="Arial"/>
                <w:sz w:val="19"/>
                <w:szCs w:val="19"/>
              </w:rPr>
            </w:pPr>
            <w:r w:rsidRPr="009419EB">
              <w:rPr>
                <w:rFonts w:ascii="Arial" w:hAnsi="Arial" w:cs="Arial"/>
                <w:sz w:val="19"/>
                <w:szCs w:val="19"/>
              </w:rPr>
              <w:t>Deferred income</w:t>
            </w:r>
          </w:p>
        </w:tc>
        <w:tc>
          <w:tcPr>
            <w:tcW w:w="1106" w:type="dxa"/>
          </w:tcPr>
          <w:p w:rsidR="0090162E" w:rsidRPr="009419EB" w:rsidRDefault="0090162E" w:rsidP="003A1BD9">
            <w:pPr>
              <w:pStyle w:val="Tdec"/>
              <w:rPr>
                <w:rFonts w:ascii="Arial" w:hAnsi="Arial" w:cs="Arial"/>
                <w:sz w:val="19"/>
                <w:szCs w:val="19"/>
              </w:rPr>
            </w:pPr>
          </w:p>
        </w:tc>
        <w:tc>
          <w:tcPr>
            <w:tcW w:w="1134" w:type="dxa"/>
          </w:tcPr>
          <w:p w:rsidR="0090162E" w:rsidRPr="009419EB" w:rsidRDefault="0090162E" w:rsidP="003A1BD9">
            <w:pPr>
              <w:pStyle w:val="Tdec"/>
              <w:rPr>
                <w:rFonts w:ascii="Arial" w:hAnsi="Arial" w:cs="Arial"/>
                <w:sz w:val="19"/>
                <w:szCs w:val="19"/>
              </w:rPr>
            </w:pPr>
          </w:p>
        </w:tc>
        <w:tc>
          <w:tcPr>
            <w:tcW w:w="1134" w:type="dxa"/>
          </w:tcPr>
          <w:p w:rsidR="0090162E" w:rsidRPr="009419EB" w:rsidRDefault="0090162E" w:rsidP="003A1BD9">
            <w:pPr>
              <w:pStyle w:val="Tdec"/>
              <w:rPr>
                <w:rFonts w:ascii="Arial" w:hAnsi="Arial" w:cs="Arial"/>
                <w:sz w:val="19"/>
                <w:szCs w:val="19"/>
              </w:rPr>
            </w:pPr>
          </w:p>
        </w:tc>
        <w:tc>
          <w:tcPr>
            <w:tcW w:w="1134" w:type="dxa"/>
          </w:tcPr>
          <w:p w:rsidR="0090162E" w:rsidRPr="009419EB" w:rsidRDefault="00CE7964" w:rsidP="00CE7964">
            <w:pPr>
              <w:pStyle w:val="Tdec"/>
              <w:rPr>
                <w:rFonts w:ascii="Arial" w:hAnsi="Arial" w:cs="Arial"/>
                <w:sz w:val="19"/>
                <w:szCs w:val="19"/>
              </w:rPr>
            </w:pPr>
            <w:r w:rsidRPr="009419EB">
              <w:rPr>
                <w:rFonts w:ascii="Arial" w:hAnsi="Arial" w:cs="Arial"/>
                <w:sz w:val="19"/>
                <w:szCs w:val="19"/>
              </w:rPr>
              <w:t>21</w:t>
            </w:r>
          </w:p>
        </w:tc>
        <w:tc>
          <w:tcPr>
            <w:tcW w:w="1134" w:type="dxa"/>
          </w:tcPr>
          <w:p w:rsidR="0090162E" w:rsidRPr="00BB2A59" w:rsidRDefault="00CE7964" w:rsidP="003A1BD9">
            <w:pPr>
              <w:pStyle w:val="Tdec"/>
              <w:rPr>
                <w:rFonts w:ascii="Arial" w:hAnsi="Arial" w:cs="Arial"/>
                <w:sz w:val="19"/>
                <w:szCs w:val="19"/>
              </w:rPr>
            </w:pPr>
            <w:r w:rsidRPr="00BB2A59">
              <w:rPr>
                <w:rFonts w:ascii="Arial" w:hAnsi="Arial" w:cs="Arial"/>
                <w:sz w:val="19"/>
                <w:szCs w:val="19"/>
              </w:rPr>
              <w:t>21</w:t>
            </w:r>
          </w:p>
        </w:tc>
      </w:tr>
      <w:tr w:rsidR="00A5704C" w:rsidRPr="00C46A29" w:rsidTr="002156D1">
        <w:trPr>
          <w:cantSplit/>
          <w:trHeight w:val="227"/>
        </w:trPr>
        <w:tc>
          <w:tcPr>
            <w:tcW w:w="3856" w:type="dxa"/>
            <w:gridSpan w:val="2"/>
          </w:tcPr>
          <w:p w:rsidR="00A5704C" w:rsidRPr="009419EB" w:rsidRDefault="00080F69" w:rsidP="003A1BD9">
            <w:pPr>
              <w:pStyle w:val="Tindent"/>
              <w:rPr>
                <w:rFonts w:ascii="Arial" w:hAnsi="Arial" w:cs="Arial"/>
                <w:sz w:val="19"/>
                <w:szCs w:val="19"/>
              </w:rPr>
            </w:pPr>
            <w:r w:rsidRPr="009419EB">
              <w:rPr>
                <w:rFonts w:ascii="Arial" w:hAnsi="Arial" w:cs="Arial"/>
                <w:sz w:val="19"/>
                <w:szCs w:val="19"/>
              </w:rPr>
              <w:t>Taxation and social security</w:t>
            </w:r>
          </w:p>
        </w:tc>
        <w:tc>
          <w:tcPr>
            <w:tcW w:w="1106" w:type="dxa"/>
          </w:tcPr>
          <w:p w:rsidR="00A5704C" w:rsidRPr="009419EB" w:rsidRDefault="00A5704C" w:rsidP="003A1BD9">
            <w:pPr>
              <w:pStyle w:val="Tdec"/>
              <w:rPr>
                <w:rFonts w:ascii="Arial" w:hAnsi="Arial" w:cs="Arial"/>
                <w:sz w:val="19"/>
                <w:szCs w:val="19"/>
              </w:rPr>
            </w:pPr>
          </w:p>
        </w:tc>
        <w:tc>
          <w:tcPr>
            <w:tcW w:w="1134" w:type="dxa"/>
          </w:tcPr>
          <w:p w:rsidR="00A5704C" w:rsidRPr="009419EB" w:rsidRDefault="00A5704C" w:rsidP="003A1BD9">
            <w:pPr>
              <w:pStyle w:val="Tdec"/>
              <w:rPr>
                <w:rFonts w:ascii="Arial" w:hAnsi="Arial" w:cs="Arial"/>
                <w:sz w:val="19"/>
                <w:szCs w:val="19"/>
              </w:rPr>
            </w:pPr>
          </w:p>
        </w:tc>
        <w:tc>
          <w:tcPr>
            <w:tcW w:w="1134" w:type="dxa"/>
          </w:tcPr>
          <w:p w:rsidR="00A5704C" w:rsidRPr="009419EB" w:rsidRDefault="00A5704C" w:rsidP="003A1BD9">
            <w:pPr>
              <w:pStyle w:val="Tdec"/>
              <w:rPr>
                <w:rFonts w:ascii="Arial" w:hAnsi="Arial" w:cs="Arial"/>
                <w:sz w:val="19"/>
                <w:szCs w:val="19"/>
              </w:rPr>
            </w:pPr>
          </w:p>
        </w:tc>
        <w:tc>
          <w:tcPr>
            <w:tcW w:w="1134" w:type="dxa"/>
          </w:tcPr>
          <w:p w:rsidR="00A5704C" w:rsidRPr="009419EB" w:rsidRDefault="009419EB" w:rsidP="003A1BD9">
            <w:pPr>
              <w:pStyle w:val="Tdec"/>
              <w:rPr>
                <w:rFonts w:ascii="Arial" w:hAnsi="Arial" w:cs="Arial"/>
                <w:sz w:val="19"/>
                <w:szCs w:val="19"/>
              </w:rPr>
            </w:pPr>
            <w:r w:rsidRPr="009419EB">
              <w:rPr>
                <w:rFonts w:ascii="Arial" w:hAnsi="Arial" w:cs="Arial"/>
                <w:sz w:val="19"/>
                <w:szCs w:val="19"/>
              </w:rPr>
              <w:t>497</w:t>
            </w:r>
          </w:p>
        </w:tc>
        <w:tc>
          <w:tcPr>
            <w:tcW w:w="1134" w:type="dxa"/>
          </w:tcPr>
          <w:p w:rsidR="00A5704C" w:rsidRPr="00BB2A59" w:rsidRDefault="00BB2A59" w:rsidP="003A1BD9">
            <w:pPr>
              <w:pStyle w:val="Tdec"/>
              <w:rPr>
                <w:rFonts w:ascii="Arial" w:hAnsi="Arial" w:cs="Arial"/>
                <w:sz w:val="19"/>
                <w:szCs w:val="19"/>
              </w:rPr>
            </w:pPr>
            <w:r w:rsidRPr="00BB2A59">
              <w:rPr>
                <w:rFonts w:ascii="Arial" w:hAnsi="Arial" w:cs="Arial"/>
                <w:sz w:val="19"/>
                <w:szCs w:val="19"/>
              </w:rPr>
              <w:t>90</w:t>
            </w:r>
          </w:p>
        </w:tc>
      </w:tr>
      <w:tr w:rsidR="00A5704C" w:rsidRPr="00C46A29" w:rsidTr="002156D1">
        <w:trPr>
          <w:cantSplit/>
          <w:trHeight w:val="227"/>
        </w:trPr>
        <w:tc>
          <w:tcPr>
            <w:tcW w:w="3856" w:type="dxa"/>
            <w:gridSpan w:val="2"/>
          </w:tcPr>
          <w:p w:rsidR="00A5704C" w:rsidRPr="009419EB" w:rsidRDefault="00080F69" w:rsidP="003A1BD9">
            <w:pPr>
              <w:pStyle w:val="Tindent"/>
              <w:rPr>
                <w:rFonts w:ascii="Arial" w:hAnsi="Arial" w:cs="Arial"/>
                <w:sz w:val="19"/>
                <w:szCs w:val="19"/>
              </w:rPr>
            </w:pPr>
            <w:r w:rsidRPr="009419EB">
              <w:rPr>
                <w:rFonts w:ascii="Arial" w:hAnsi="Arial" w:cs="Arial"/>
                <w:sz w:val="19"/>
                <w:szCs w:val="19"/>
              </w:rPr>
              <w:t>Other creditors</w:t>
            </w:r>
          </w:p>
        </w:tc>
        <w:tc>
          <w:tcPr>
            <w:tcW w:w="1106" w:type="dxa"/>
          </w:tcPr>
          <w:p w:rsidR="00A5704C" w:rsidRPr="009419EB" w:rsidRDefault="00A5704C" w:rsidP="003A1BD9">
            <w:pPr>
              <w:pStyle w:val="Tdec"/>
              <w:rPr>
                <w:rFonts w:ascii="Arial" w:hAnsi="Arial" w:cs="Arial"/>
                <w:sz w:val="19"/>
                <w:szCs w:val="19"/>
              </w:rPr>
            </w:pPr>
          </w:p>
        </w:tc>
        <w:tc>
          <w:tcPr>
            <w:tcW w:w="1134" w:type="dxa"/>
          </w:tcPr>
          <w:p w:rsidR="00A5704C" w:rsidRPr="009419EB" w:rsidRDefault="00A5704C" w:rsidP="003A1BD9">
            <w:pPr>
              <w:pStyle w:val="Tdec"/>
              <w:rPr>
                <w:rFonts w:ascii="Arial" w:hAnsi="Arial" w:cs="Arial"/>
                <w:sz w:val="19"/>
                <w:szCs w:val="19"/>
              </w:rPr>
            </w:pPr>
          </w:p>
        </w:tc>
        <w:tc>
          <w:tcPr>
            <w:tcW w:w="1134" w:type="dxa"/>
          </w:tcPr>
          <w:p w:rsidR="00A5704C" w:rsidRPr="009419EB" w:rsidRDefault="00A5704C" w:rsidP="003A1BD9">
            <w:pPr>
              <w:pStyle w:val="Tdec"/>
              <w:rPr>
                <w:rFonts w:ascii="Arial" w:hAnsi="Arial" w:cs="Arial"/>
                <w:sz w:val="19"/>
                <w:szCs w:val="19"/>
              </w:rPr>
            </w:pPr>
          </w:p>
        </w:tc>
        <w:tc>
          <w:tcPr>
            <w:tcW w:w="1134" w:type="dxa"/>
          </w:tcPr>
          <w:p w:rsidR="00A5704C" w:rsidRPr="009419EB" w:rsidRDefault="009419EB" w:rsidP="003A1BD9">
            <w:pPr>
              <w:pStyle w:val="Tdec"/>
              <w:rPr>
                <w:rFonts w:ascii="Arial" w:hAnsi="Arial" w:cs="Arial"/>
                <w:sz w:val="19"/>
                <w:szCs w:val="19"/>
              </w:rPr>
            </w:pPr>
            <w:r w:rsidRPr="009419EB">
              <w:rPr>
                <w:rFonts w:ascii="Arial" w:hAnsi="Arial" w:cs="Arial"/>
                <w:sz w:val="19"/>
                <w:szCs w:val="19"/>
              </w:rPr>
              <w:t>1,</w:t>
            </w:r>
            <w:r w:rsidR="00ED1840">
              <w:rPr>
                <w:rFonts w:ascii="Arial" w:hAnsi="Arial" w:cs="Arial"/>
                <w:sz w:val="19"/>
                <w:szCs w:val="19"/>
              </w:rPr>
              <w:t>072</w:t>
            </w:r>
          </w:p>
        </w:tc>
        <w:tc>
          <w:tcPr>
            <w:tcW w:w="1134" w:type="dxa"/>
          </w:tcPr>
          <w:p w:rsidR="00A5704C" w:rsidRPr="00BB2A59" w:rsidRDefault="00BB2A59" w:rsidP="003A1BD9">
            <w:pPr>
              <w:pStyle w:val="Tdec"/>
              <w:rPr>
                <w:rFonts w:ascii="Arial" w:hAnsi="Arial" w:cs="Arial"/>
                <w:sz w:val="19"/>
                <w:szCs w:val="19"/>
              </w:rPr>
            </w:pPr>
            <w:r w:rsidRPr="00BB2A59">
              <w:rPr>
                <w:rFonts w:ascii="Arial" w:hAnsi="Arial" w:cs="Arial"/>
                <w:sz w:val="19"/>
                <w:szCs w:val="19"/>
              </w:rPr>
              <w:t>666</w:t>
            </w:r>
          </w:p>
        </w:tc>
      </w:tr>
      <w:tr w:rsidR="0090162E" w:rsidRPr="00C46A29" w:rsidTr="002156D1">
        <w:trPr>
          <w:cantSplit/>
          <w:trHeight w:val="340"/>
        </w:trPr>
        <w:tc>
          <w:tcPr>
            <w:tcW w:w="3856" w:type="dxa"/>
            <w:gridSpan w:val="2"/>
          </w:tcPr>
          <w:p w:rsidR="0090162E" w:rsidRPr="009419EB" w:rsidRDefault="0090162E" w:rsidP="003A1BD9">
            <w:pPr>
              <w:pStyle w:val="Tindent"/>
              <w:rPr>
                <w:rFonts w:ascii="Arial" w:hAnsi="Arial" w:cs="Arial"/>
                <w:sz w:val="19"/>
                <w:szCs w:val="19"/>
              </w:rPr>
            </w:pPr>
          </w:p>
        </w:tc>
        <w:tc>
          <w:tcPr>
            <w:tcW w:w="1106" w:type="dxa"/>
          </w:tcPr>
          <w:p w:rsidR="0090162E" w:rsidRPr="009419EB" w:rsidRDefault="0090162E" w:rsidP="003A1BD9">
            <w:pPr>
              <w:pStyle w:val="Tdec"/>
              <w:rPr>
                <w:rFonts w:ascii="Arial" w:hAnsi="Arial" w:cs="Arial"/>
                <w:sz w:val="19"/>
                <w:szCs w:val="19"/>
              </w:rPr>
            </w:pPr>
          </w:p>
        </w:tc>
        <w:tc>
          <w:tcPr>
            <w:tcW w:w="1134" w:type="dxa"/>
          </w:tcPr>
          <w:p w:rsidR="0090162E" w:rsidRPr="009419EB" w:rsidRDefault="0090162E" w:rsidP="003A1BD9">
            <w:pPr>
              <w:pStyle w:val="Tdec"/>
              <w:rPr>
                <w:rFonts w:ascii="Arial" w:hAnsi="Arial" w:cs="Arial"/>
                <w:sz w:val="19"/>
                <w:szCs w:val="19"/>
              </w:rPr>
            </w:pPr>
          </w:p>
        </w:tc>
        <w:tc>
          <w:tcPr>
            <w:tcW w:w="1134" w:type="dxa"/>
          </w:tcPr>
          <w:p w:rsidR="0090162E" w:rsidRPr="009419EB" w:rsidRDefault="0090162E" w:rsidP="003A1BD9">
            <w:pPr>
              <w:pStyle w:val="Tdec"/>
              <w:rPr>
                <w:rFonts w:ascii="Arial" w:hAnsi="Arial" w:cs="Arial"/>
                <w:sz w:val="19"/>
                <w:szCs w:val="19"/>
              </w:rPr>
            </w:pPr>
          </w:p>
        </w:tc>
        <w:tc>
          <w:tcPr>
            <w:tcW w:w="1134" w:type="dxa"/>
          </w:tcPr>
          <w:p w:rsidR="0090162E" w:rsidRPr="009419EB" w:rsidRDefault="0090162E" w:rsidP="003A1BD9">
            <w:pPr>
              <w:pStyle w:val="S9"/>
              <w:spacing w:line="240" w:lineRule="auto"/>
              <w:rPr>
                <w:rFonts w:ascii="Arial" w:hAnsi="Arial" w:cs="Arial"/>
                <w:sz w:val="19"/>
                <w:szCs w:val="19"/>
              </w:rPr>
            </w:pPr>
          </w:p>
        </w:tc>
        <w:tc>
          <w:tcPr>
            <w:tcW w:w="1134" w:type="dxa"/>
          </w:tcPr>
          <w:p w:rsidR="0090162E" w:rsidRPr="00BB2A59" w:rsidRDefault="0090162E" w:rsidP="003A1BD9">
            <w:pPr>
              <w:pStyle w:val="S9"/>
              <w:spacing w:line="240" w:lineRule="auto"/>
              <w:rPr>
                <w:rFonts w:ascii="Arial" w:hAnsi="Arial" w:cs="Arial"/>
                <w:sz w:val="19"/>
                <w:szCs w:val="19"/>
              </w:rPr>
            </w:pPr>
          </w:p>
        </w:tc>
      </w:tr>
      <w:tr w:rsidR="0090162E" w:rsidRPr="00C46A29" w:rsidTr="0090162E">
        <w:trPr>
          <w:cantSplit/>
        </w:trPr>
        <w:tc>
          <w:tcPr>
            <w:tcW w:w="3856" w:type="dxa"/>
            <w:gridSpan w:val="2"/>
          </w:tcPr>
          <w:p w:rsidR="0090162E" w:rsidRPr="009419EB" w:rsidRDefault="0090162E" w:rsidP="003A1BD9">
            <w:pPr>
              <w:pStyle w:val="Tindent"/>
              <w:rPr>
                <w:rFonts w:ascii="Arial" w:hAnsi="Arial" w:cs="Arial"/>
                <w:sz w:val="19"/>
                <w:szCs w:val="19"/>
              </w:rPr>
            </w:pPr>
          </w:p>
        </w:tc>
        <w:tc>
          <w:tcPr>
            <w:tcW w:w="1106" w:type="dxa"/>
          </w:tcPr>
          <w:p w:rsidR="0090162E" w:rsidRPr="009419EB" w:rsidRDefault="0090162E" w:rsidP="003A1BD9">
            <w:pPr>
              <w:pStyle w:val="Tdec"/>
              <w:rPr>
                <w:rFonts w:ascii="Arial" w:hAnsi="Arial" w:cs="Arial"/>
                <w:sz w:val="19"/>
                <w:szCs w:val="19"/>
              </w:rPr>
            </w:pPr>
          </w:p>
        </w:tc>
        <w:tc>
          <w:tcPr>
            <w:tcW w:w="1134" w:type="dxa"/>
          </w:tcPr>
          <w:p w:rsidR="0090162E" w:rsidRPr="009419EB" w:rsidRDefault="0090162E" w:rsidP="003A1BD9">
            <w:pPr>
              <w:pStyle w:val="Tdec"/>
              <w:rPr>
                <w:rFonts w:ascii="Arial" w:hAnsi="Arial" w:cs="Arial"/>
                <w:sz w:val="19"/>
                <w:szCs w:val="19"/>
              </w:rPr>
            </w:pPr>
          </w:p>
        </w:tc>
        <w:tc>
          <w:tcPr>
            <w:tcW w:w="1134" w:type="dxa"/>
          </w:tcPr>
          <w:p w:rsidR="0090162E" w:rsidRPr="009419EB" w:rsidRDefault="0090162E" w:rsidP="003A1BD9">
            <w:pPr>
              <w:pStyle w:val="Tdec"/>
              <w:rPr>
                <w:rFonts w:ascii="Arial" w:hAnsi="Arial" w:cs="Arial"/>
                <w:sz w:val="19"/>
                <w:szCs w:val="19"/>
              </w:rPr>
            </w:pPr>
          </w:p>
        </w:tc>
        <w:tc>
          <w:tcPr>
            <w:tcW w:w="1134" w:type="dxa"/>
          </w:tcPr>
          <w:p w:rsidR="0090162E" w:rsidRPr="009419EB" w:rsidRDefault="009419EB" w:rsidP="00CE7964">
            <w:pPr>
              <w:pStyle w:val="Tdec"/>
              <w:rPr>
                <w:rFonts w:ascii="Arial" w:hAnsi="Arial" w:cs="Arial"/>
                <w:sz w:val="19"/>
                <w:szCs w:val="19"/>
              </w:rPr>
            </w:pPr>
            <w:r w:rsidRPr="009419EB">
              <w:rPr>
                <w:rFonts w:ascii="Arial" w:hAnsi="Arial" w:cs="Arial"/>
                <w:sz w:val="19"/>
                <w:szCs w:val="19"/>
              </w:rPr>
              <w:t>2,</w:t>
            </w:r>
            <w:r w:rsidR="00ED1840">
              <w:rPr>
                <w:rFonts w:ascii="Arial" w:hAnsi="Arial" w:cs="Arial"/>
                <w:sz w:val="19"/>
                <w:szCs w:val="19"/>
              </w:rPr>
              <w:t>766</w:t>
            </w:r>
          </w:p>
        </w:tc>
        <w:tc>
          <w:tcPr>
            <w:tcW w:w="1134" w:type="dxa"/>
          </w:tcPr>
          <w:p w:rsidR="0090162E" w:rsidRPr="00BB2A59" w:rsidRDefault="00BB2A59" w:rsidP="00CE7964">
            <w:pPr>
              <w:pStyle w:val="Tdec"/>
              <w:rPr>
                <w:rFonts w:ascii="Arial" w:hAnsi="Arial" w:cs="Arial"/>
                <w:sz w:val="19"/>
                <w:szCs w:val="19"/>
              </w:rPr>
            </w:pPr>
            <w:r w:rsidRPr="00BB2A59">
              <w:rPr>
                <w:rFonts w:ascii="Arial" w:hAnsi="Arial" w:cs="Arial"/>
                <w:sz w:val="19"/>
                <w:szCs w:val="19"/>
              </w:rPr>
              <w:t>2,760</w:t>
            </w:r>
          </w:p>
        </w:tc>
      </w:tr>
      <w:tr w:rsidR="002156D1" w:rsidRPr="00C46A29" w:rsidTr="0090162E">
        <w:trPr>
          <w:cantSplit/>
        </w:trPr>
        <w:tc>
          <w:tcPr>
            <w:tcW w:w="3856" w:type="dxa"/>
            <w:gridSpan w:val="2"/>
          </w:tcPr>
          <w:p w:rsidR="002156D1" w:rsidRPr="009419EB" w:rsidRDefault="002156D1" w:rsidP="003A1BD9">
            <w:pPr>
              <w:pStyle w:val="Tindent"/>
              <w:rPr>
                <w:rFonts w:ascii="Arial" w:hAnsi="Arial" w:cs="Arial"/>
                <w:sz w:val="19"/>
                <w:szCs w:val="19"/>
              </w:rPr>
            </w:pPr>
          </w:p>
        </w:tc>
        <w:tc>
          <w:tcPr>
            <w:tcW w:w="1106" w:type="dxa"/>
          </w:tcPr>
          <w:p w:rsidR="002156D1" w:rsidRPr="009419EB" w:rsidRDefault="002156D1" w:rsidP="003A1BD9">
            <w:pPr>
              <w:pStyle w:val="Tdec"/>
              <w:rPr>
                <w:rFonts w:ascii="Arial" w:hAnsi="Arial" w:cs="Arial"/>
                <w:sz w:val="19"/>
                <w:szCs w:val="19"/>
              </w:rPr>
            </w:pPr>
          </w:p>
        </w:tc>
        <w:tc>
          <w:tcPr>
            <w:tcW w:w="1134" w:type="dxa"/>
          </w:tcPr>
          <w:p w:rsidR="002156D1" w:rsidRPr="009419EB" w:rsidRDefault="002156D1" w:rsidP="003A1BD9">
            <w:pPr>
              <w:pStyle w:val="Tdec"/>
              <w:rPr>
                <w:rFonts w:ascii="Arial" w:hAnsi="Arial" w:cs="Arial"/>
                <w:sz w:val="19"/>
                <w:szCs w:val="19"/>
              </w:rPr>
            </w:pPr>
          </w:p>
        </w:tc>
        <w:tc>
          <w:tcPr>
            <w:tcW w:w="1134" w:type="dxa"/>
          </w:tcPr>
          <w:p w:rsidR="002156D1" w:rsidRPr="009419EB" w:rsidRDefault="002156D1" w:rsidP="003A1BD9">
            <w:pPr>
              <w:pStyle w:val="Tdec"/>
              <w:rPr>
                <w:rFonts w:ascii="Arial" w:hAnsi="Arial" w:cs="Arial"/>
                <w:sz w:val="19"/>
                <w:szCs w:val="19"/>
              </w:rPr>
            </w:pPr>
          </w:p>
        </w:tc>
        <w:tc>
          <w:tcPr>
            <w:tcW w:w="1134" w:type="dxa"/>
          </w:tcPr>
          <w:p w:rsidR="002156D1" w:rsidRPr="009419EB" w:rsidRDefault="002156D1" w:rsidP="00CE7964">
            <w:pPr>
              <w:pStyle w:val="Tdec"/>
              <w:rPr>
                <w:rFonts w:ascii="Arial" w:hAnsi="Arial" w:cs="Arial"/>
                <w:sz w:val="19"/>
                <w:szCs w:val="19"/>
                <w:u w:val="double"/>
              </w:rPr>
            </w:pPr>
            <w:r w:rsidRPr="009419EB">
              <w:rPr>
                <w:rFonts w:ascii="Arial" w:hAnsi="Arial" w:cs="Arial"/>
                <w:sz w:val="19"/>
                <w:szCs w:val="19"/>
                <w:u w:val="double"/>
              </w:rPr>
              <w:t>________</w:t>
            </w:r>
          </w:p>
        </w:tc>
        <w:tc>
          <w:tcPr>
            <w:tcW w:w="1134" w:type="dxa"/>
          </w:tcPr>
          <w:p w:rsidR="002156D1" w:rsidRPr="00BB2A59" w:rsidRDefault="002156D1" w:rsidP="00CE7964">
            <w:pPr>
              <w:pStyle w:val="Tdec"/>
              <w:rPr>
                <w:rFonts w:ascii="Arial" w:hAnsi="Arial" w:cs="Arial"/>
                <w:sz w:val="19"/>
                <w:szCs w:val="19"/>
                <w:u w:val="double"/>
              </w:rPr>
            </w:pPr>
            <w:r w:rsidRPr="00BB2A59">
              <w:rPr>
                <w:rFonts w:ascii="Arial" w:hAnsi="Arial" w:cs="Arial"/>
                <w:sz w:val="19"/>
                <w:szCs w:val="19"/>
                <w:u w:val="double"/>
              </w:rPr>
              <w:t>________</w:t>
            </w:r>
          </w:p>
        </w:tc>
      </w:tr>
      <w:tr w:rsidR="002156D1" w:rsidRPr="00C46A29" w:rsidTr="002156D1">
        <w:trPr>
          <w:cantSplit/>
        </w:trPr>
        <w:tc>
          <w:tcPr>
            <w:tcW w:w="9498" w:type="dxa"/>
            <w:gridSpan w:val="7"/>
          </w:tcPr>
          <w:p w:rsidR="002156D1" w:rsidRPr="00C46A29" w:rsidRDefault="002156D1" w:rsidP="00E445E1">
            <w:pPr>
              <w:autoSpaceDE w:val="0"/>
              <w:autoSpaceDN w:val="0"/>
              <w:adjustRightInd w:val="0"/>
              <w:jc w:val="left"/>
              <w:rPr>
                <w:rFonts w:ascii="Arial" w:hAnsi="Arial" w:cs="Arial"/>
                <w:bCs/>
                <w:sz w:val="19"/>
                <w:szCs w:val="19"/>
                <w:highlight w:val="yellow"/>
                <w:lang w:val="en-US"/>
              </w:rPr>
            </w:pPr>
          </w:p>
        </w:tc>
      </w:tr>
    </w:tbl>
    <w:p w:rsidR="0074625B" w:rsidRPr="00BB2A59" w:rsidRDefault="003517C6" w:rsidP="003517C6">
      <w:pPr>
        <w:pStyle w:val="Heading1"/>
        <w:numPr>
          <w:ilvl w:val="0"/>
          <w:numId w:val="0"/>
        </w:numPr>
        <w:spacing w:before="240" w:after="240"/>
        <w:rPr>
          <w:rFonts w:ascii="Arial" w:hAnsi="Arial" w:cs="Arial"/>
          <w:caps w:val="0"/>
          <w:sz w:val="24"/>
          <w:szCs w:val="19"/>
        </w:rPr>
      </w:pPr>
      <w:bookmarkStart w:id="21" w:name="_Toc390775327"/>
      <w:r>
        <w:rPr>
          <w:rFonts w:ascii="Arial" w:hAnsi="Arial" w:cs="Arial"/>
          <w:caps w:val="0"/>
          <w:sz w:val="24"/>
          <w:szCs w:val="19"/>
        </w:rPr>
        <w:t>14</w:t>
      </w:r>
      <w:r>
        <w:rPr>
          <w:rFonts w:ascii="Arial" w:hAnsi="Arial" w:cs="Arial"/>
          <w:caps w:val="0"/>
          <w:sz w:val="24"/>
          <w:szCs w:val="19"/>
        </w:rPr>
        <w:tab/>
      </w:r>
      <w:r w:rsidR="003B2453" w:rsidRPr="00BB2A59">
        <w:rPr>
          <w:rFonts w:ascii="Arial" w:hAnsi="Arial" w:cs="Arial"/>
          <w:caps w:val="0"/>
          <w:sz w:val="24"/>
          <w:szCs w:val="19"/>
        </w:rPr>
        <w:t>Creditors: Amounts Falling Due After More Than One Year</w:t>
      </w:r>
      <w:bookmarkEnd w:id="21"/>
    </w:p>
    <w:p w:rsidR="00CE7964" w:rsidRPr="00C46A29" w:rsidRDefault="00CE7964" w:rsidP="00CE7964">
      <w:pPr>
        <w:pStyle w:val="NormalIndent"/>
        <w:ind w:left="8298" w:firstLine="207"/>
        <w:rPr>
          <w:rFonts w:ascii="Arial" w:hAnsi="Arial" w:cs="Arial"/>
          <w:i/>
          <w:sz w:val="19"/>
          <w:szCs w:val="19"/>
          <w:highlight w:val="yellow"/>
        </w:rPr>
      </w:pPr>
    </w:p>
    <w:tbl>
      <w:tblPr>
        <w:tblW w:w="9498" w:type="dxa"/>
        <w:tblLayout w:type="fixed"/>
        <w:tblCellMar>
          <w:left w:w="28" w:type="dxa"/>
          <w:right w:w="28" w:type="dxa"/>
        </w:tblCellMar>
        <w:tblLook w:val="0000" w:firstRow="0" w:lastRow="0" w:firstColumn="0" w:lastColumn="0" w:noHBand="0" w:noVBand="0"/>
      </w:tblPr>
      <w:tblGrid>
        <w:gridCol w:w="3828"/>
        <w:gridCol w:w="28"/>
        <w:gridCol w:w="1106"/>
        <w:gridCol w:w="1134"/>
        <w:gridCol w:w="1134"/>
        <w:gridCol w:w="1134"/>
        <w:gridCol w:w="1134"/>
      </w:tblGrid>
      <w:tr w:rsidR="00080F69" w:rsidRPr="00C46A29" w:rsidTr="00A85643">
        <w:trPr>
          <w:cantSplit/>
        </w:trPr>
        <w:tc>
          <w:tcPr>
            <w:tcW w:w="3828" w:type="dxa"/>
          </w:tcPr>
          <w:p w:rsidR="00080F69" w:rsidRPr="00C46A29" w:rsidRDefault="00080F69" w:rsidP="003A1BD9">
            <w:pPr>
              <w:pStyle w:val="Tindent"/>
              <w:keepLines/>
              <w:rPr>
                <w:rFonts w:ascii="Arial" w:hAnsi="Arial" w:cs="Arial"/>
                <w:b/>
                <w:sz w:val="19"/>
                <w:szCs w:val="19"/>
                <w:highlight w:val="yellow"/>
              </w:rPr>
            </w:pPr>
          </w:p>
        </w:tc>
        <w:tc>
          <w:tcPr>
            <w:tcW w:w="1134" w:type="dxa"/>
            <w:gridSpan w:val="2"/>
          </w:tcPr>
          <w:p w:rsidR="00080F69" w:rsidRPr="00C46A29" w:rsidRDefault="00080F69" w:rsidP="003A1BD9">
            <w:pPr>
              <w:pStyle w:val="Thead"/>
              <w:rPr>
                <w:rFonts w:ascii="Arial" w:hAnsi="Arial" w:cs="Arial"/>
                <w:sz w:val="19"/>
                <w:szCs w:val="19"/>
                <w:highlight w:val="yellow"/>
              </w:rPr>
            </w:pPr>
          </w:p>
        </w:tc>
        <w:tc>
          <w:tcPr>
            <w:tcW w:w="1134" w:type="dxa"/>
          </w:tcPr>
          <w:p w:rsidR="00080F69" w:rsidRPr="00C46A29" w:rsidRDefault="00080F69" w:rsidP="003A1BD9">
            <w:pPr>
              <w:pStyle w:val="Thead"/>
              <w:rPr>
                <w:rFonts w:ascii="Arial" w:hAnsi="Arial" w:cs="Arial"/>
                <w:sz w:val="19"/>
                <w:szCs w:val="19"/>
                <w:highlight w:val="yellow"/>
              </w:rPr>
            </w:pPr>
          </w:p>
        </w:tc>
        <w:tc>
          <w:tcPr>
            <w:tcW w:w="1134" w:type="dxa"/>
          </w:tcPr>
          <w:p w:rsidR="00080F69" w:rsidRPr="00C46A29" w:rsidRDefault="00080F69" w:rsidP="003A1BD9">
            <w:pPr>
              <w:pStyle w:val="Thead"/>
              <w:rPr>
                <w:rFonts w:ascii="Arial" w:hAnsi="Arial" w:cs="Arial"/>
                <w:sz w:val="19"/>
                <w:szCs w:val="19"/>
                <w:highlight w:val="yellow"/>
              </w:rPr>
            </w:pPr>
          </w:p>
        </w:tc>
        <w:tc>
          <w:tcPr>
            <w:tcW w:w="1134" w:type="dxa"/>
          </w:tcPr>
          <w:p w:rsidR="00080F69" w:rsidRPr="00BE1366" w:rsidRDefault="00BB2A59" w:rsidP="0083100A">
            <w:pPr>
              <w:pStyle w:val="Thead"/>
              <w:rPr>
                <w:rFonts w:ascii="Arial" w:hAnsi="Arial" w:cs="Arial"/>
                <w:sz w:val="19"/>
                <w:szCs w:val="19"/>
              </w:rPr>
            </w:pPr>
            <w:r w:rsidRPr="00BE1366">
              <w:rPr>
                <w:rFonts w:ascii="Arial" w:hAnsi="Arial" w:cs="Arial"/>
                <w:sz w:val="19"/>
                <w:szCs w:val="19"/>
              </w:rPr>
              <w:t>2015</w:t>
            </w:r>
          </w:p>
          <w:p w:rsidR="00080F69" w:rsidRPr="00BE1366" w:rsidRDefault="00080F69" w:rsidP="0083100A">
            <w:pPr>
              <w:pStyle w:val="Thead"/>
              <w:rPr>
                <w:rFonts w:ascii="Arial" w:hAnsi="Arial" w:cs="Arial"/>
                <w:sz w:val="19"/>
                <w:szCs w:val="19"/>
              </w:rPr>
            </w:pPr>
            <w:r w:rsidRPr="00BE1366">
              <w:rPr>
                <w:rFonts w:ascii="Arial" w:hAnsi="Arial" w:cs="Arial"/>
                <w:sz w:val="19"/>
                <w:szCs w:val="19"/>
              </w:rPr>
              <w:t>£000</w:t>
            </w:r>
          </w:p>
        </w:tc>
        <w:tc>
          <w:tcPr>
            <w:tcW w:w="1134" w:type="dxa"/>
          </w:tcPr>
          <w:p w:rsidR="00080F69" w:rsidRPr="00BB2A59" w:rsidRDefault="00BB2A59" w:rsidP="0083100A">
            <w:pPr>
              <w:pStyle w:val="Thead"/>
              <w:rPr>
                <w:rFonts w:ascii="Arial" w:hAnsi="Arial" w:cs="Arial"/>
                <w:sz w:val="19"/>
                <w:szCs w:val="19"/>
              </w:rPr>
            </w:pPr>
            <w:r w:rsidRPr="00BB2A59">
              <w:rPr>
                <w:rFonts w:ascii="Arial" w:hAnsi="Arial" w:cs="Arial"/>
                <w:sz w:val="19"/>
                <w:szCs w:val="19"/>
              </w:rPr>
              <w:t>2014</w:t>
            </w:r>
          </w:p>
          <w:p w:rsidR="00080F69" w:rsidRPr="00BB2A59" w:rsidRDefault="00080F69" w:rsidP="0083100A">
            <w:pPr>
              <w:pStyle w:val="Thead"/>
              <w:rPr>
                <w:rFonts w:ascii="Arial" w:hAnsi="Arial" w:cs="Arial"/>
                <w:sz w:val="19"/>
                <w:szCs w:val="19"/>
              </w:rPr>
            </w:pPr>
            <w:r w:rsidRPr="00BB2A59">
              <w:rPr>
                <w:rFonts w:ascii="Arial" w:hAnsi="Arial" w:cs="Arial"/>
                <w:sz w:val="19"/>
                <w:szCs w:val="19"/>
              </w:rPr>
              <w:t>£000</w:t>
            </w:r>
          </w:p>
        </w:tc>
      </w:tr>
      <w:tr w:rsidR="0074625B" w:rsidRPr="00C46A29" w:rsidTr="00A85643">
        <w:trPr>
          <w:cantSplit/>
        </w:trPr>
        <w:tc>
          <w:tcPr>
            <w:tcW w:w="3828" w:type="dxa"/>
          </w:tcPr>
          <w:p w:rsidR="0074625B" w:rsidRPr="00C46A29" w:rsidRDefault="0074625B" w:rsidP="003A1BD9">
            <w:pPr>
              <w:pStyle w:val="B0"/>
              <w:spacing w:line="240" w:lineRule="auto"/>
              <w:rPr>
                <w:rFonts w:ascii="Arial" w:hAnsi="Arial" w:cs="Arial"/>
                <w:sz w:val="19"/>
                <w:szCs w:val="19"/>
                <w:highlight w:val="yellow"/>
              </w:rPr>
            </w:pPr>
          </w:p>
        </w:tc>
        <w:tc>
          <w:tcPr>
            <w:tcW w:w="1134" w:type="dxa"/>
            <w:gridSpan w:val="2"/>
          </w:tcPr>
          <w:p w:rsidR="0074625B" w:rsidRPr="00C46A29" w:rsidRDefault="0074625B" w:rsidP="003A1BD9">
            <w:pPr>
              <w:pStyle w:val="B0"/>
              <w:spacing w:line="240" w:lineRule="auto"/>
              <w:rPr>
                <w:rFonts w:ascii="Arial" w:hAnsi="Arial" w:cs="Arial"/>
                <w:sz w:val="19"/>
                <w:szCs w:val="19"/>
                <w:highlight w:val="yellow"/>
              </w:rPr>
            </w:pPr>
          </w:p>
        </w:tc>
        <w:tc>
          <w:tcPr>
            <w:tcW w:w="1134" w:type="dxa"/>
          </w:tcPr>
          <w:p w:rsidR="0074625B" w:rsidRPr="00C46A29" w:rsidRDefault="0074625B" w:rsidP="003A1BD9">
            <w:pPr>
              <w:pStyle w:val="B0"/>
              <w:spacing w:line="240" w:lineRule="auto"/>
              <w:rPr>
                <w:rFonts w:ascii="Arial" w:hAnsi="Arial" w:cs="Arial"/>
                <w:sz w:val="19"/>
                <w:szCs w:val="19"/>
                <w:highlight w:val="yellow"/>
              </w:rPr>
            </w:pPr>
          </w:p>
        </w:tc>
        <w:tc>
          <w:tcPr>
            <w:tcW w:w="1134" w:type="dxa"/>
          </w:tcPr>
          <w:p w:rsidR="0074625B" w:rsidRPr="00C46A29" w:rsidRDefault="0074625B" w:rsidP="003A1BD9">
            <w:pPr>
              <w:pStyle w:val="B0"/>
              <w:spacing w:line="240" w:lineRule="auto"/>
              <w:rPr>
                <w:rFonts w:ascii="Arial" w:hAnsi="Arial" w:cs="Arial"/>
                <w:sz w:val="19"/>
                <w:szCs w:val="19"/>
                <w:highlight w:val="yellow"/>
              </w:rPr>
            </w:pPr>
          </w:p>
        </w:tc>
        <w:tc>
          <w:tcPr>
            <w:tcW w:w="1134" w:type="dxa"/>
          </w:tcPr>
          <w:p w:rsidR="0074625B" w:rsidRPr="00BE1366" w:rsidRDefault="0074625B" w:rsidP="0083100A">
            <w:pPr>
              <w:pStyle w:val="B0"/>
              <w:spacing w:line="240" w:lineRule="auto"/>
              <w:jc w:val="right"/>
              <w:rPr>
                <w:rFonts w:ascii="Arial" w:hAnsi="Arial" w:cs="Arial"/>
                <w:sz w:val="19"/>
                <w:szCs w:val="19"/>
              </w:rPr>
            </w:pPr>
          </w:p>
        </w:tc>
        <w:tc>
          <w:tcPr>
            <w:tcW w:w="1134" w:type="dxa"/>
          </w:tcPr>
          <w:p w:rsidR="0074625B" w:rsidRPr="00BB2A59" w:rsidRDefault="0074625B" w:rsidP="0083100A">
            <w:pPr>
              <w:pStyle w:val="B0"/>
              <w:spacing w:line="240" w:lineRule="auto"/>
              <w:jc w:val="right"/>
              <w:rPr>
                <w:rFonts w:ascii="Arial" w:hAnsi="Arial" w:cs="Arial"/>
                <w:sz w:val="19"/>
                <w:szCs w:val="19"/>
              </w:rPr>
            </w:pPr>
          </w:p>
        </w:tc>
      </w:tr>
      <w:tr w:rsidR="00A85643" w:rsidRPr="00C46A29" w:rsidTr="00A85643">
        <w:trPr>
          <w:cantSplit/>
        </w:trPr>
        <w:tc>
          <w:tcPr>
            <w:tcW w:w="3856" w:type="dxa"/>
            <w:gridSpan w:val="2"/>
          </w:tcPr>
          <w:p w:rsidR="00CE7964" w:rsidRPr="00BB2A59" w:rsidRDefault="00080F69" w:rsidP="00CE7964">
            <w:pPr>
              <w:pStyle w:val="Tindent"/>
              <w:rPr>
                <w:rFonts w:ascii="Arial" w:hAnsi="Arial" w:cs="Arial"/>
                <w:sz w:val="19"/>
                <w:szCs w:val="19"/>
              </w:rPr>
            </w:pPr>
            <w:r w:rsidRPr="00BB2A59">
              <w:rPr>
                <w:rFonts w:ascii="Arial" w:hAnsi="Arial" w:cs="Arial"/>
                <w:sz w:val="19"/>
                <w:szCs w:val="19"/>
              </w:rPr>
              <w:t>Amount owed to Northumberland County Council</w:t>
            </w:r>
          </w:p>
        </w:tc>
        <w:tc>
          <w:tcPr>
            <w:tcW w:w="1106" w:type="dxa"/>
          </w:tcPr>
          <w:p w:rsidR="00A85643" w:rsidRPr="00C46A29" w:rsidRDefault="00A85643" w:rsidP="003A1BD9">
            <w:pPr>
              <w:pStyle w:val="Tdec"/>
              <w:rPr>
                <w:rFonts w:ascii="Arial" w:hAnsi="Arial" w:cs="Arial"/>
                <w:sz w:val="19"/>
                <w:szCs w:val="19"/>
                <w:highlight w:val="yellow"/>
              </w:rPr>
            </w:pPr>
          </w:p>
        </w:tc>
        <w:tc>
          <w:tcPr>
            <w:tcW w:w="1134" w:type="dxa"/>
          </w:tcPr>
          <w:p w:rsidR="00A85643" w:rsidRPr="00C46A29" w:rsidRDefault="00A85643" w:rsidP="003A1BD9">
            <w:pPr>
              <w:pStyle w:val="Tdec"/>
              <w:rPr>
                <w:rFonts w:ascii="Arial" w:hAnsi="Arial" w:cs="Arial"/>
                <w:sz w:val="19"/>
                <w:szCs w:val="19"/>
                <w:highlight w:val="yellow"/>
              </w:rPr>
            </w:pPr>
          </w:p>
        </w:tc>
        <w:tc>
          <w:tcPr>
            <w:tcW w:w="1134" w:type="dxa"/>
          </w:tcPr>
          <w:p w:rsidR="00A85643" w:rsidRPr="00C46A29" w:rsidRDefault="00A85643" w:rsidP="003A1BD9">
            <w:pPr>
              <w:pStyle w:val="Tdec"/>
              <w:rPr>
                <w:rFonts w:ascii="Arial" w:hAnsi="Arial" w:cs="Arial"/>
                <w:sz w:val="19"/>
                <w:szCs w:val="19"/>
                <w:highlight w:val="yellow"/>
              </w:rPr>
            </w:pPr>
          </w:p>
        </w:tc>
        <w:tc>
          <w:tcPr>
            <w:tcW w:w="1134" w:type="dxa"/>
          </w:tcPr>
          <w:p w:rsidR="009110F0" w:rsidRPr="00BE1366" w:rsidRDefault="009110F0" w:rsidP="0083100A">
            <w:pPr>
              <w:pStyle w:val="Tdec"/>
              <w:rPr>
                <w:rFonts w:ascii="Arial" w:hAnsi="Arial" w:cs="Arial"/>
                <w:sz w:val="19"/>
                <w:szCs w:val="19"/>
              </w:rPr>
            </w:pPr>
          </w:p>
          <w:p w:rsidR="0007582E" w:rsidRPr="00BE1366" w:rsidRDefault="0007582E" w:rsidP="0083100A">
            <w:pPr>
              <w:pStyle w:val="Tdec"/>
              <w:rPr>
                <w:rFonts w:ascii="Arial" w:hAnsi="Arial" w:cs="Arial"/>
                <w:sz w:val="19"/>
                <w:szCs w:val="19"/>
              </w:rPr>
            </w:pPr>
            <w:r w:rsidRPr="00BE1366">
              <w:rPr>
                <w:rFonts w:ascii="Arial" w:hAnsi="Arial" w:cs="Arial"/>
                <w:sz w:val="19"/>
                <w:szCs w:val="19"/>
              </w:rPr>
              <w:t>1,</w:t>
            </w:r>
            <w:r w:rsidR="00BE1366" w:rsidRPr="00BE1366">
              <w:rPr>
                <w:rFonts w:ascii="Arial" w:hAnsi="Arial" w:cs="Arial"/>
                <w:sz w:val="19"/>
                <w:szCs w:val="19"/>
              </w:rPr>
              <w:t>339</w:t>
            </w:r>
          </w:p>
        </w:tc>
        <w:tc>
          <w:tcPr>
            <w:tcW w:w="1134" w:type="dxa"/>
          </w:tcPr>
          <w:p w:rsidR="00A85643" w:rsidRPr="00BB2A59" w:rsidRDefault="00A85643" w:rsidP="0083100A">
            <w:pPr>
              <w:pStyle w:val="Tdec"/>
              <w:rPr>
                <w:rFonts w:ascii="Arial" w:hAnsi="Arial" w:cs="Arial"/>
                <w:sz w:val="19"/>
                <w:szCs w:val="19"/>
              </w:rPr>
            </w:pPr>
          </w:p>
          <w:p w:rsidR="00CE7964" w:rsidRPr="00BB2A59" w:rsidRDefault="00BB2A59" w:rsidP="0083100A">
            <w:pPr>
              <w:pStyle w:val="Tdec"/>
              <w:rPr>
                <w:rFonts w:ascii="Arial" w:hAnsi="Arial" w:cs="Arial"/>
                <w:sz w:val="19"/>
                <w:szCs w:val="19"/>
              </w:rPr>
            </w:pPr>
            <w:r w:rsidRPr="00BB2A59">
              <w:rPr>
                <w:rFonts w:ascii="Arial" w:hAnsi="Arial" w:cs="Arial"/>
                <w:sz w:val="19"/>
                <w:szCs w:val="19"/>
              </w:rPr>
              <w:t>1,817</w:t>
            </w:r>
          </w:p>
        </w:tc>
      </w:tr>
      <w:tr w:rsidR="002156D1" w:rsidRPr="00C46A29" w:rsidTr="002156D1">
        <w:trPr>
          <w:cantSplit/>
          <w:trHeight w:val="227"/>
        </w:trPr>
        <w:tc>
          <w:tcPr>
            <w:tcW w:w="3856" w:type="dxa"/>
            <w:gridSpan w:val="2"/>
          </w:tcPr>
          <w:p w:rsidR="002156D1" w:rsidRPr="00BB2A59" w:rsidRDefault="002156D1" w:rsidP="00CE7964">
            <w:pPr>
              <w:pStyle w:val="Tindent"/>
              <w:rPr>
                <w:rFonts w:ascii="Arial" w:hAnsi="Arial" w:cs="Arial"/>
                <w:sz w:val="19"/>
                <w:szCs w:val="19"/>
              </w:rPr>
            </w:pPr>
            <w:r w:rsidRPr="00BB2A59">
              <w:rPr>
                <w:rFonts w:ascii="Arial" w:hAnsi="Arial" w:cs="Arial"/>
                <w:sz w:val="19"/>
                <w:szCs w:val="19"/>
              </w:rPr>
              <w:t>Deferred income</w:t>
            </w:r>
          </w:p>
        </w:tc>
        <w:tc>
          <w:tcPr>
            <w:tcW w:w="1106" w:type="dxa"/>
          </w:tcPr>
          <w:p w:rsidR="002156D1" w:rsidRPr="00C46A29" w:rsidRDefault="002156D1" w:rsidP="003A1BD9">
            <w:pPr>
              <w:pStyle w:val="Tdec"/>
              <w:rPr>
                <w:rFonts w:ascii="Arial" w:hAnsi="Arial" w:cs="Arial"/>
                <w:sz w:val="19"/>
                <w:szCs w:val="19"/>
                <w:highlight w:val="yellow"/>
              </w:rPr>
            </w:pPr>
          </w:p>
        </w:tc>
        <w:tc>
          <w:tcPr>
            <w:tcW w:w="1134" w:type="dxa"/>
          </w:tcPr>
          <w:p w:rsidR="002156D1" w:rsidRPr="00C46A29" w:rsidRDefault="002156D1" w:rsidP="003A1BD9">
            <w:pPr>
              <w:pStyle w:val="Tdec"/>
              <w:rPr>
                <w:rFonts w:ascii="Arial" w:hAnsi="Arial" w:cs="Arial"/>
                <w:sz w:val="19"/>
                <w:szCs w:val="19"/>
                <w:highlight w:val="yellow"/>
              </w:rPr>
            </w:pPr>
          </w:p>
        </w:tc>
        <w:tc>
          <w:tcPr>
            <w:tcW w:w="1134" w:type="dxa"/>
          </w:tcPr>
          <w:p w:rsidR="002156D1" w:rsidRPr="00C46A29" w:rsidRDefault="002156D1" w:rsidP="003A1BD9">
            <w:pPr>
              <w:pStyle w:val="Tdec"/>
              <w:rPr>
                <w:rFonts w:ascii="Arial" w:hAnsi="Arial" w:cs="Arial"/>
                <w:sz w:val="19"/>
                <w:szCs w:val="19"/>
                <w:highlight w:val="yellow"/>
              </w:rPr>
            </w:pPr>
          </w:p>
        </w:tc>
        <w:tc>
          <w:tcPr>
            <w:tcW w:w="1134" w:type="dxa"/>
          </w:tcPr>
          <w:p w:rsidR="002156D1" w:rsidRPr="00BE1366" w:rsidRDefault="00BE1366" w:rsidP="00C717C4">
            <w:pPr>
              <w:pStyle w:val="Tdec"/>
              <w:rPr>
                <w:rFonts w:ascii="Arial" w:hAnsi="Arial" w:cs="Arial"/>
                <w:sz w:val="19"/>
                <w:szCs w:val="19"/>
              </w:rPr>
            </w:pPr>
            <w:r w:rsidRPr="00BE1366">
              <w:rPr>
                <w:rFonts w:ascii="Arial" w:hAnsi="Arial" w:cs="Arial"/>
                <w:sz w:val="19"/>
                <w:szCs w:val="19"/>
              </w:rPr>
              <w:t>1,24</w:t>
            </w:r>
            <w:r w:rsidR="00C717C4">
              <w:rPr>
                <w:rFonts w:ascii="Arial" w:hAnsi="Arial" w:cs="Arial"/>
                <w:sz w:val="19"/>
                <w:szCs w:val="19"/>
              </w:rPr>
              <w:t>1</w:t>
            </w:r>
          </w:p>
        </w:tc>
        <w:tc>
          <w:tcPr>
            <w:tcW w:w="1134" w:type="dxa"/>
          </w:tcPr>
          <w:p w:rsidR="002156D1" w:rsidRPr="00BB2A59" w:rsidRDefault="002156D1" w:rsidP="0083100A">
            <w:pPr>
              <w:pStyle w:val="Tdec"/>
              <w:rPr>
                <w:rFonts w:ascii="Arial" w:hAnsi="Arial" w:cs="Arial"/>
                <w:sz w:val="19"/>
                <w:szCs w:val="19"/>
              </w:rPr>
            </w:pPr>
            <w:r w:rsidRPr="00BB2A59">
              <w:rPr>
                <w:rFonts w:ascii="Arial" w:hAnsi="Arial" w:cs="Arial"/>
                <w:sz w:val="19"/>
                <w:szCs w:val="19"/>
              </w:rPr>
              <w:t>1,</w:t>
            </w:r>
            <w:r w:rsidR="00BB2A59" w:rsidRPr="00BB2A59">
              <w:rPr>
                <w:rFonts w:ascii="Arial" w:hAnsi="Arial" w:cs="Arial"/>
                <w:sz w:val="19"/>
                <w:szCs w:val="19"/>
              </w:rPr>
              <w:t>260</w:t>
            </w:r>
          </w:p>
        </w:tc>
      </w:tr>
      <w:tr w:rsidR="002156D1" w:rsidRPr="00C46A29" w:rsidTr="002156D1">
        <w:trPr>
          <w:cantSplit/>
          <w:trHeight w:hRule="exact" w:val="340"/>
        </w:trPr>
        <w:tc>
          <w:tcPr>
            <w:tcW w:w="3856" w:type="dxa"/>
            <w:gridSpan w:val="2"/>
          </w:tcPr>
          <w:p w:rsidR="002156D1" w:rsidRPr="00C46A29" w:rsidRDefault="002156D1" w:rsidP="00CE7964">
            <w:pPr>
              <w:pStyle w:val="Tindent"/>
              <w:rPr>
                <w:rFonts w:ascii="Arial" w:hAnsi="Arial" w:cs="Arial"/>
                <w:sz w:val="19"/>
                <w:szCs w:val="19"/>
                <w:highlight w:val="yellow"/>
              </w:rPr>
            </w:pPr>
          </w:p>
          <w:p w:rsidR="002156D1" w:rsidRPr="00C46A29" w:rsidRDefault="002156D1" w:rsidP="00CE7964">
            <w:pPr>
              <w:pStyle w:val="Tindent"/>
              <w:rPr>
                <w:rFonts w:ascii="Arial" w:hAnsi="Arial" w:cs="Arial"/>
                <w:sz w:val="19"/>
                <w:szCs w:val="19"/>
                <w:highlight w:val="yellow"/>
              </w:rPr>
            </w:pPr>
          </w:p>
        </w:tc>
        <w:tc>
          <w:tcPr>
            <w:tcW w:w="1106" w:type="dxa"/>
          </w:tcPr>
          <w:p w:rsidR="002156D1" w:rsidRPr="00C46A29" w:rsidRDefault="002156D1" w:rsidP="003A1BD9">
            <w:pPr>
              <w:pStyle w:val="Tdec"/>
              <w:rPr>
                <w:rFonts w:ascii="Arial" w:hAnsi="Arial" w:cs="Arial"/>
                <w:sz w:val="19"/>
                <w:szCs w:val="19"/>
                <w:highlight w:val="yellow"/>
              </w:rPr>
            </w:pPr>
          </w:p>
        </w:tc>
        <w:tc>
          <w:tcPr>
            <w:tcW w:w="1134" w:type="dxa"/>
          </w:tcPr>
          <w:p w:rsidR="002156D1" w:rsidRPr="00C46A29" w:rsidRDefault="002156D1" w:rsidP="003A1BD9">
            <w:pPr>
              <w:pStyle w:val="Tdec"/>
              <w:rPr>
                <w:rFonts w:ascii="Arial" w:hAnsi="Arial" w:cs="Arial"/>
                <w:sz w:val="19"/>
                <w:szCs w:val="19"/>
                <w:highlight w:val="yellow"/>
              </w:rPr>
            </w:pPr>
          </w:p>
        </w:tc>
        <w:tc>
          <w:tcPr>
            <w:tcW w:w="1134" w:type="dxa"/>
          </w:tcPr>
          <w:p w:rsidR="002156D1" w:rsidRPr="00C46A29" w:rsidRDefault="002156D1" w:rsidP="003A1BD9">
            <w:pPr>
              <w:pStyle w:val="Tdec"/>
              <w:rPr>
                <w:rFonts w:ascii="Arial" w:hAnsi="Arial" w:cs="Arial"/>
                <w:sz w:val="19"/>
                <w:szCs w:val="19"/>
                <w:highlight w:val="yellow"/>
              </w:rPr>
            </w:pPr>
          </w:p>
        </w:tc>
        <w:tc>
          <w:tcPr>
            <w:tcW w:w="1134" w:type="dxa"/>
          </w:tcPr>
          <w:p w:rsidR="002156D1" w:rsidRPr="00BE1366" w:rsidRDefault="002156D1" w:rsidP="0083100A">
            <w:pPr>
              <w:pStyle w:val="Tdec"/>
              <w:rPr>
                <w:rFonts w:ascii="Arial" w:hAnsi="Arial" w:cs="Arial"/>
                <w:sz w:val="19"/>
                <w:szCs w:val="19"/>
              </w:rPr>
            </w:pPr>
            <w:r w:rsidRPr="00BE1366">
              <w:rPr>
                <w:rFonts w:ascii="Arial" w:hAnsi="Arial" w:cs="Arial"/>
                <w:sz w:val="19"/>
                <w:szCs w:val="19"/>
              </w:rPr>
              <w:t>________</w:t>
            </w:r>
          </w:p>
        </w:tc>
        <w:tc>
          <w:tcPr>
            <w:tcW w:w="1134" w:type="dxa"/>
          </w:tcPr>
          <w:p w:rsidR="002156D1" w:rsidRPr="00BB2A59" w:rsidRDefault="002156D1" w:rsidP="0083100A">
            <w:pPr>
              <w:pStyle w:val="Tdec"/>
              <w:rPr>
                <w:rFonts w:ascii="Arial" w:hAnsi="Arial" w:cs="Arial"/>
                <w:sz w:val="19"/>
                <w:szCs w:val="19"/>
              </w:rPr>
            </w:pPr>
            <w:r w:rsidRPr="00BB2A59">
              <w:rPr>
                <w:rFonts w:ascii="Arial" w:hAnsi="Arial" w:cs="Arial"/>
                <w:sz w:val="19"/>
                <w:szCs w:val="19"/>
              </w:rPr>
              <w:t>________</w:t>
            </w:r>
          </w:p>
        </w:tc>
      </w:tr>
      <w:tr w:rsidR="002156D1" w:rsidRPr="00C46A29" w:rsidTr="0083100A">
        <w:trPr>
          <w:cantSplit/>
          <w:trHeight w:hRule="exact" w:val="227"/>
        </w:trPr>
        <w:tc>
          <w:tcPr>
            <w:tcW w:w="3856" w:type="dxa"/>
            <w:gridSpan w:val="2"/>
          </w:tcPr>
          <w:p w:rsidR="002156D1" w:rsidRPr="00C46A29" w:rsidRDefault="002156D1" w:rsidP="00CE7964">
            <w:pPr>
              <w:pStyle w:val="Tindent"/>
              <w:rPr>
                <w:rFonts w:ascii="Arial" w:hAnsi="Arial" w:cs="Arial"/>
                <w:sz w:val="19"/>
                <w:szCs w:val="19"/>
                <w:highlight w:val="yellow"/>
              </w:rPr>
            </w:pPr>
          </w:p>
        </w:tc>
        <w:tc>
          <w:tcPr>
            <w:tcW w:w="1106" w:type="dxa"/>
          </w:tcPr>
          <w:p w:rsidR="002156D1" w:rsidRPr="00C46A29" w:rsidRDefault="002156D1" w:rsidP="003A1BD9">
            <w:pPr>
              <w:pStyle w:val="Tdec"/>
              <w:rPr>
                <w:rFonts w:ascii="Arial" w:hAnsi="Arial" w:cs="Arial"/>
                <w:sz w:val="19"/>
                <w:szCs w:val="19"/>
                <w:highlight w:val="yellow"/>
              </w:rPr>
            </w:pPr>
          </w:p>
        </w:tc>
        <w:tc>
          <w:tcPr>
            <w:tcW w:w="1134" w:type="dxa"/>
          </w:tcPr>
          <w:p w:rsidR="002156D1" w:rsidRPr="00C46A29" w:rsidRDefault="002156D1" w:rsidP="003A1BD9">
            <w:pPr>
              <w:pStyle w:val="Tdec"/>
              <w:rPr>
                <w:rFonts w:ascii="Arial" w:hAnsi="Arial" w:cs="Arial"/>
                <w:sz w:val="19"/>
                <w:szCs w:val="19"/>
                <w:highlight w:val="yellow"/>
              </w:rPr>
            </w:pPr>
          </w:p>
        </w:tc>
        <w:tc>
          <w:tcPr>
            <w:tcW w:w="1134" w:type="dxa"/>
          </w:tcPr>
          <w:p w:rsidR="002156D1" w:rsidRPr="00C46A29" w:rsidRDefault="002156D1" w:rsidP="003A1BD9">
            <w:pPr>
              <w:pStyle w:val="Tdec"/>
              <w:rPr>
                <w:rFonts w:ascii="Arial" w:hAnsi="Arial" w:cs="Arial"/>
                <w:sz w:val="19"/>
                <w:szCs w:val="19"/>
                <w:highlight w:val="yellow"/>
              </w:rPr>
            </w:pPr>
          </w:p>
        </w:tc>
        <w:tc>
          <w:tcPr>
            <w:tcW w:w="1134" w:type="dxa"/>
          </w:tcPr>
          <w:p w:rsidR="002156D1" w:rsidRPr="00BE1366" w:rsidRDefault="00BE1366" w:rsidP="0083100A">
            <w:pPr>
              <w:pStyle w:val="Tdec"/>
              <w:rPr>
                <w:rFonts w:ascii="Arial" w:hAnsi="Arial" w:cs="Arial"/>
                <w:sz w:val="19"/>
                <w:szCs w:val="19"/>
              </w:rPr>
            </w:pPr>
            <w:r w:rsidRPr="00BE1366">
              <w:rPr>
                <w:rFonts w:ascii="Arial" w:hAnsi="Arial" w:cs="Arial"/>
                <w:sz w:val="19"/>
                <w:szCs w:val="19"/>
              </w:rPr>
              <w:t>2,580</w:t>
            </w:r>
          </w:p>
        </w:tc>
        <w:tc>
          <w:tcPr>
            <w:tcW w:w="1134" w:type="dxa"/>
          </w:tcPr>
          <w:p w:rsidR="002156D1" w:rsidRPr="00BB2A59" w:rsidRDefault="002156D1" w:rsidP="0083100A">
            <w:pPr>
              <w:pStyle w:val="Tdec"/>
              <w:rPr>
                <w:rFonts w:ascii="Arial" w:hAnsi="Arial" w:cs="Arial"/>
                <w:sz w:val="19"/>
                <w:szCs w:val="19"/>
              </w:rPr>
            </w:pPr>
            <w:r w:rsidRPr="00BB2A59">
              <w:rPr>
                <w:rFonts w:ascii="Arial" w:hAnsi="Arial" w:cs="Arial"/>
                <w:sz w:val="19"/>
                <w:szCs w:val="19"/>
              </w:rPr>
              <w:t>3,</w:t>
            </w:r>
            <w:r w:rsidR="00BB2A59" w:rsidRPr="00BB2A59">
              <w:rPr>
                <w:rFonts w:ascii="Arial" w:hAnsi="Arial" w:cs="Arial"/>
                <w:sz w:val="19"/>
                <w:szCs w:val="19"/>
              </w:rPr>
              <w:t>077</w:t>
            </w:r>
          </w:p>
        </w:tc>
      </w:tr>
      <w:tr w:rsidR="002156D1" w:rsidRPr="00C46A29" w:rsidTr="0083100A">
        <w:trPr>
          <w:cantSplit/>
          <w:trHeight w:hRule="exact" w:val="340"/>
        </w:trPr>
        <w:tc>
          <w:tcPr>
            <w:tcW w:w="3856" w:type="dxa"/>
            <w:gridSpan w:val="2"/>
          </w:tcPr>
          <w:p w:rsidR="002156D1" w:rsidRPr="00C46A29" w:rsidRDefault="002156D1" w:rsidP="00CE7964">
            <w:pPr>
              <w:pStyle w:val="Tindent"/>
              <w:rPr>
                <w:rFonts w:ascii="Arial" w:hAnsi="Arial" w:cs="Arial"/>
                <w:sz w:val="19"/>
                <w:szCs w:val="19"/>
                <w:highlight w:val="yellow"/>
              </w:rPr>
            </w:pPr>
          </w:p>
        </w:tc>
        <w:tc>
          <w:tcPr>
            <w:tcW w:w="1106" w:type="dxa"/>
          </w:tcPr>
          <w:p w:rsidR="002156D1" w:rsidRPr="00C46A29" w:rsidRDefault="002156D1" w:rsidP="003A1BD9">
            <w:pPr>
              <w:pStyle w:val="Tdec"/>
              <w:rPr>
                <w:rFonts w:ascii="Arial" w:hAnsi="Arial" w:cs="Arial"/>
                <w:sz w:val="19"/>
                <w:szCs w:val="19"/>
                <w:highlight w:val="yellow"/>
              </w:rPr>
            </w:pPr>
          </w:p>
        </w:tc>
        <w:tc>
          <w:tcPr>
            <w:tcW w:w="1134" w:type="dxa"/>
          </w:tcPr>
          <w:p w:rsidR="002156D1" w:rsidRPr="00C46A29" w:rsidRDefault="002156D1" w:rsidP="003A1BD9">
            <w:pPr>
              <w:pStyle w:val="Tdec"/>
              <w:rPr>
                <w:rFonts w:ascii="Arial" w:hAnsi="Arial" w:cs="Arial"/>
                <w:sz w:val="19"/>
                <w:szCs w:val="19"/>
                <w:highlight w:val="yellow"/>
              </w:rPr>
            </w:pPr>
          </w:p>
        </w:tc>
        <w:tc>
          <w:tcPr>
            <w:tcW w:w="1134" w:type="dxa"/>
          </w:tcPr>
          <w:p w:rsidR="002156D1" w:rsidRPr="00C46A29" w:rsidRDefault="002156D1" w:rsidP="003A1BD9">
            <w:pPr>
              <w:pStyle w:val="Tdec"/>
              <w:rPr>
                <w:rFonts w:ascii="Arial" w:hAnsi="Arial" w:cs="Arial"/>
                <w:sz w:val="19"/>
                <w:szCs w:val="19"/>
                <w:highlight w:val="yellow"/>
              </w:rPr>
            </w:pPr>
          </w:p>
        </w:tc>
        <w:tc>
          <w:tcPr>
            <w:tcW w:w="1134" w:type="dxa"/>
          </w:tcPr>
          <w:p w:rsidR="002156D1" w:rsidRPr="00BE1366" w:rsidRDefault="0083100A" w:rsidP="0083100A">
            <w:pPr>
              <w:pStyle w:val="Tdec"/>
              <w:rPr>
                <w:rFonts w:ascii="Arial" w:hAnsi="Arial" w:cs="Arial"/>
                <w:sz w:val="19"/>
                <w:szCs w:val="19"/>
                <w:u w:val="double"/>
              </w:rPr>
            </w:pPr>
            <w:r w:rsidRPr="00BE1366">
              <w:rPr>
                <w:rFonts w:ascii="Arial" w:hAnsi="Arial" w:cs="Arial"/>
                <w:sz w:val="19"/>
                <w:szCs w:val="19"/>
                <w:u w:val="double"/>
              </w:rPr>
              <w:t>________</w:t>
            </w:r>
          </w:p>
        </w:tc>
        <w:tc>
          <w:tcPr>
            <w:tcW w:w="1134" w:type="dxa"/>
          </w:tcPr>
          <w:p w:rsidR="002156D1" w:rsidRPr="00BB2A59" w:rsidRDefault="0083100A" w:rsidP="0083100A">
            <w:pPr>
              <w:pStyle w:val="Tdec"/>
              <w:rPr>
                <w:rFonts w:ascii="Arial" w:hAnsi="Arial" w:cs="Arial"/>
                <w:sz w:val="19"/>
                <w:szCs w:val="19"/>
              </w:rPr>
            </w:pPr>
            <w:r w:rsidRPr="00BB2A59">
              <w:rPr>
                <w:rFonts w:ascii="Arial" w:hAnsi="Arial" w:cs="Arial"/>
                <w:sz w:val="19"/>
                <w:szCs w:val="19"/>
                <w:u w:val="double"/>
              </w:rPr>
              <w:t>________</w:t>
            </w:r>
          </w:p>
        </w:tc>
      </w:tr>
    </w:tbl>
    <w:p w:rsidR="00080F69" w:rsidRPr="00BE1366" w:rsidRDefault="00080F69" w:rsidP="003B2453">
      <w:pPr>
        <w:autoSpaceDE w:val="0"/>
        <w:autoSpaceDN w:val="0"/>
        <w:adjustRightInd w:val="0"/>
        <w:jc w:val="left"/>
        <w:rPr>
          <w:rFonts w:ascii="Arial" w:hAnsi="Arial" w:cs="Arial"/>
          <w:bCs/>
          <w:sz w:val="19"/>
          <w:szCs w:val="19"/>
          <w:lang w:val="en-US"/>
        </w:rPr>
      </w:pPr>
      <w:r w:rsidRPr="00BE1366">
        <w:rPr>
          <w:rFonts w:ascii="Arial" w:hAnsi="Arial" w:cs="Arial"/>
          <w:bCs/>
          <w:sz w:val="19"/>
          <w:szCs w:val="19"/>
          <w:lang w:val="en-US"/>
        </w:rPr>
        <w:t>Amounts owed to Northumberland County Council include £</w:t>
      </w:r>
      <w:r w:rsidR="00BE1366" w:rsidRPr="00BE1366">
        <w:rPr>
          <w:rFonts w:ascii="Arial" w:hAnsi="Arial" w:cs="Arial"/>
          <w:bCs/>
          <w:sz w:val="19"/>
          <w:szCs w:val="19"/>
          <w:lang w:val="en-US"/>
        </w:rPr>
        <w:t>15,727</w:t>
      </w:r>
      <w:r w:rsidR="00BB2A59" w:rsidRPr="00BE1366">
        <w:rPr>
          <w:rFonts w:ascii="Arial" w:hAnsi="Arial" w:cs="Arial"/>
          <w:bCs/>
          <w:sz w:val="19"/>
          <w:szCs w:val="19"/>
          <w:lang w:val="en-US"/>
        </w:rPr>
        <w:t xml:space="preserve"> (2014</w:t>
      </w:r>
      <w:r w:rsidRPr="00BE1366">
        <w:rPr>
          <w:rFonts w:ascii="Arial" w:hAnsi="Arial" w:cs="Arial"/>
          <w:bCs/>
          <w:sz w:val="19"/>
          <w:szCs w:val="19"/>
          <w:lang w:val="en-US"/>
        </w:rPr>
        <w:t>:</w:t>
      </w:r>
      <w:r w:rsidR="00BB2A59" w:rsidRPr="00BE1366">
        <w:rPr>
          <w:rFonts w:ascii="Arial" w:hAnsi="Arial" w:cs="Arial"/>
          <w:bCs/>
          <w:sz w:val="19"/>
          <w:szCs w:val="19"/>
          <w:lang w:val="en-US"/>
        </w:rPr>
        <w:t xml:space="preserve"> £15,051</w:t>
      </w:r>
      <w:r w:rsidRPr="00BE1366">
        <w:rPr>
          <w:rFonts w:ascii="Arial" w:hAnsi="Arial" w:cs="Arial"/>
          <w:bCs/>
          <w:sz w:val="19"/>
          <w:szCs w:val="19"/>
          <w:lang w:val="en-US"/>
        </w:rPr>
        <w:t>) due within one year and £</w:t>
      </w:r>
      <w:r w:rsidR="00BE1366" w:rsidRPr="00BE1366">
        <w:rPr>
          <w:rFonts w:ascii="Arial" w:hAnsi="Arial" w:cs="Arial"/>
          <w:bCs/>
          <w:sz w:val="19"/>
          <w:szCs w:val="19"/>
          <w:lang w:val="en-US"/>
        </w:rPr>
        <w:t>1,339,454</w:t>
      </w:r>
      <w:r w:rsidR="0007582E" w:rsidRPr="00BE1366">
        <w:rPr>
          <w:rFonts w:ascii="Arial" w:hAnsi="Arial" w:cs="Arial"/>
          <w:bCs/>
          <w:sz w:val="19"/>
          <w:szCs w:val="19"/>
          <w:lang w:val="en-US"/>
        </w:rPr>
        <w:t xml:space="preserve"> </w:t>
      </w:r>
      <w:r w:rsidR="00BB2A59" w:rsidRPr="00BE1366">
        <w:rPr>
          <w:rFonts w:ascii="Arial" w:hAnsi="Arial" w:cs="Arial"/>
          <w:bCs/>
          <w:sz w:val="19"/>
          <w:szCs w:val="19"/>
          <w:lang w:val="en-US"/>
        </w:rPr>
        <w:t>(2014: £1,355,182</w:t>
      </w:r>
      <w:r w:rsidRPr="00BE1366">
        <w:rPr>
          <w:rFonts w:ascii="Arial" w:hAnsi="Arial" w:cs="Arial"/>
          <w:bCs/>
          <w:sz w:val="19"/>
          <w:szCs w:val="19"/>
          <w:lang w:val="en-US"/>
        </w:rPr>
        <w:t>) due after one year , subject to interest at 4.5% p.a, repayable over 40 years to 2051.</w:t>
      </w:r>
    </w:p>
    <w:p w:rsidR="00723DFA" w:rsidRPr="00723DFA" w:rsidRDefault="00723DFA" w:rsidP="003B2453">
      <w:pPr>
        <w:autoSpaceDE w:val="0"/>
        <w:autoSpaceDN w:val="0"/>
        <w:adjustRightInd w:val="0"/>
        <w:jc w:val="left"/>
        <w:rPr>
          <w:rFonts w:ascii="Arial" w:hAnsi="Arial" w:cs="Arial"/>
          <w:b/>
          <w:bCs/>
          <w:sz w:val="19"/>
          <w:szCs w:val="19"/>
          <w:lang w:val="en-US"/>
        </w:rPr>
      </w:pPr>
      <w:r>
        <w:rPr>
          <w:rFonts w:ascii="Arial" w:hAnsi="Arial" w:cs="Arial"/>
          <w:b/>
          <w:bCs/>
          <w:sz w:val="19"/>
          <w:szCs w:val="19"/>
          <w:lang w:val="en-US"/>
        </w:rPr>
        <w:lastRenderedPageBreak/>
        <w:t>14 Creditors Amounts Falling Due After More Than One Year (continued)</w:t>
      </w:r>
    </w:p>
    <w:p w:rsidR="00080F69" w:rsidRPr="00BE1366" w:rsidRDefault="0007582E" w:rsidP="003B2453">
      <w:pPr>
        <w:autoSpaceDE w:val="0"/>
        <w:autoSpaceDN w:val="0"/>
        <w:adjustRightInd w:val="0"/>
        <w:jc w:val="left"/>
        <w:rPr>
          <w:rFonts w:ascii="Arial" w:hAnsi="Arial" w:cs="Arial"/>
          <w:bCs/>
          <w:sz w:val="19"/>
          <w:szCs w:val="19"/>
          <w:lang w:val="en-US"/>
        </w:rPr>
      </w:pPr>
      <w:r w:rsidRPr="00BE1366">
        <w:rPr>
          <w:rFonts w:ascii="Arial" w:hAnsi="Arial" w:cs="Arial"/>
          <w:bCs/>
          <w:sz w:val="19"/>
          <w:szCs w:val="19"/>
          <w:lang w:val="en-US"/>
        </w:rPr>
        <w:t>In addition</w:t>
      </w:r>
      <w:r w:rsidR="00FC5269" w:rsidRPr="00BE1366">
        <w:rPr>
          <w:rFonts w:ascii="Arial" w:hAnsi="Arial" w:cs="Arial"/>
          <w:bCs/>
          <w:sz w:val="19"/>
          <w:szCs w:val="19"/>
          <w:lang w:val="en-US"/>
        </w:rPr>
        <w:t>,</w:t>
      </w:r>
      <w:r w:rsidRPr="00BE1366">
        <w:rPr>
          <w:rFonts w:ascii="Arial" w:hAnsi="Arial" w:cs="Arial"/>
          <w:bCs/>
          <w:sz w:val="19"/>
          <w:szCs w:val="19"/>
          <w:lang w:val="en-US"/>
        </w:rPr>
        <w:t xml:space="preserve"> balances include </w:t>
      </w:r>
      <w:r w:rsidR="00723DFA">
        <w:rPr>
          <w:rFonts w:ascii="Arial" w:hAnsi="Arial" w:cs="Arial"/>
          <w:bCs/>
          <w:sz w:val="19"/>
          <w:szCs w:val="19"/>
          <w:lang w:val="en-US"/>
        </w:rPr>
        <w:t>a £1,386,417 loan to cover r</w:t>
      </w:r>
      <w:r w:rsidRPr="00BE1366">
        <w:rPr>
          <w:rFonts w:ascii="Arial" w:hAnsi="Arial" w:cs="Arial"/>
          <w:bCs/>
          <w:sz w:val="19"/>
          <w:szCs w:val="19"/>
          <w:lang w:val="en-US"/>
        </w:rPr>
        <w:t>edundancy costs</w:t>
      </w:r>
      <w:r w:rsidR="00723DFA">
        <w:rPr>
          <w:rFonts w:ascii="Arial" w:hAnsi="Arial" w:cs="Arial"/>
          <w:bCs/>
          <w:sz w:val="19"/>
          <w:szCs w:val="19"/>
          <w:lang w:val="en-US"/>
        </w:rPr>
        <w:t xml:space="preserve"> advanced in 2012/13 by</w:t>
      </w:r>
      <w:r w:rsidR="00080F69" w:rsidRPr="00BE1366">
        <w:rPr>
          <w:rFonts w:ascii="Arial" w:hAnsi="Arial" w:cs="Arial"/>
          <w:bCs/>
          <w:sz w:val="19"/>
          <w:szCs w:val="19"/>
          <w:lang w:val="en-US"/>
        </w:rPr>
        <w:t xml:space="preserve"> Northumberland County Council. This was agreed on an interest free basis over 3 years. Due within one year £</w:t>
      </w:r>
      <w:r w:rsidRPr="00BE1366">
        <w:rPr>
          <w:rFonts w:ascii="Arial" w:hAnsi="Arial" w:cs="Arial"/>
          <w:bCs/>
          <w:sz w:val="19"/>
          <w:szCs w:val="19"/>
          <w:lang w:val="en-US"/>
        </w:rPr>
        <w:t xml:space="preserve">462,139 </w:t>
      </w:r>
      <w:r w:rsidR="00BB2A59" w:rsidRPr="00BE1366">
        <w:rPr>
          <w:rFonts w:ascii="Arial" w:hAnsi="Arial" w:cs="Arial"/>
          <w:bCs/>
          <w:sz w:val="19"/>
          <w:szCs w:val="19"/>
          <w:lang w:val="en-US"/>
        </w:rPr>
        <w:t>(2014:</w:t>
      </w:r>
      <w:r w:rsidR="00C5267F" w:rsidRPr="00BE1366">
        <w:rPr>
          <w:rFonts w:ascii="Arial" w:hAnsi="Arial" w:cs="Arial"/>
          <w:bCs/>
          <w:sz w:val="19"/>
          <w:szCs w:val="19"/>
          <w:lang w:val="en-US"/>
        </w:rPr>
        <w:t xml:space="preserve"> £</w:t>
      </w:r>
      <w:r w:rsidR="00080F69" w:rsidRPr="00BE1366">
        <w:rPr>
          <w:rFonts w:ascii="Arial" w:hAnsi="Arial" w:cs="Arial"/>
          <w:bCs/>
          <w:sz w:val="19"/>
          <w:szCs w:val="19"/>
          <w:lang w:val="en-US"/>
        </w:rPr>
        <w:t xml:space="preserve"> 462,139</w:t>
      </w:r>
      <w:r w:rsidR="00C5267F" w:rsidRPr="00BE1366">
        <w:rPr>
          <w:rFonts w:ascii="Arial" w:hAnsi="Arial" w:cs="Arial"/>
          <w:bCs/>
          <w:sz w:val="19"/>
          <w:szCs w:val="19"/>
          <w:lang w:val="en-US"/>
        </w:rPr>
        <w:t>) and</w:t>
      </w:r>
      <w:r w:rsidR="00BE1366" w:rsidRPr="00BE1366">
        <w:rPr>
          <w:rFonts w:ascii="Arial" w:hAnsi="Arial" w:cs="Arial"/>
          <w:bCs/>
          <w:sz w:val="19"/>
          <w:szCs w:val="19"/>
          <w:lang w:val="en-US"/>
        </w:rPr>
        <w:t xml:space="preserve"> zero</w:t>
      </w:r>
      <w:r w:rsidR="00C5267F" w:rsidRPr="00BE1366">
        <w:rPr>
          <w:rFonts w:ascii="Arial" w:hAnsi="Arial" w:cs="Arial"/>
          <w:bCs/>
          <w:sz w:val="19"/>
          <w:szCs w:val="19"/>
          <w:lang w:val="en-US"/>
        </w:rPr>
        <w:t xml:space="preserve"> (</w:t>
      </w:r>
      <w:r w:rsidR="00BB2A59" w:rsidRPr="00BE1366">
        <w:rPr>
          <w:rFonts w:ascii="Arial" w:hAnsi="Arial" w:cs="Arial"/>
          <w:bCs/>
          <w:sz w:val="19"/>
          <w:szCs w:val="19"/>
          <w:lang w:val="en-US"/>
        </w:rPr>
        <w:t>2014: £462,139</w:t>
      </w:r>
      <w:r w:rsidR="00080F69" w:rsidRPr="00BE1366">
        <w:rPr>
          <w:rFonts w:ascii="Arial" w:hAnsi="Arial" w:cs="Arial"/>
          <w:bCs/>
          <w:sz w:val="19"/>
          <w:szCs w:val="19"/>
          <w:lang w:val="en-US"/>
        </w:rPr>
        <w:t>) due after one year.</w:t>
      </w:r>
    </w:p>
    <w:p w:rsidR="00080F69" w:rsidRPr="00BE1366" w:rsidRDefault="00080F69" w:rsidP="003B2453">
      <w:pPr>
        <w:autoSpaceDE w:val="0"/>
        <w:autoSpaceDN w:val="0"/>
        <w:adjustRightInd w:val="0"/>
        <w:jc w:val="left"/>
        <w:rPr>
          <w:rFonts w:ascii="Arial" w:hAnsi="Arial" w:cs="Arial"/>
          <w:bCs/>
          <w:sz w:val="19"/>
          <w:szCs w:val="19"/>
          <w:lang w:val="en-US"/>
        </w:rPr>
      </w:pPr>
      <w:r w:rsidRPr="00BE1366">
        <w:rPr>
          <w:rFonts w:ascii="Arial" w:hAnsi="Arial" w:cs="Arial"/>
          <w:bCs/>
          <w:sz w:val="19"/>
          <w:szCs w:val="19"/>
          <w:lang w:val="en-US"/>
        </w:rPr>
        <w:t>The loans fall due as follows</w:t>
      </w:r>
      <w:r w:rsidR="00A812FF" w:rsidRPr="00BE1366">
        <w:rPr>
          <w:rFonts w:ascii="Arial" w:hAnsi="Arial" w:cs="Arial"/>
          <w:bCs/>
          <w:sz w:val="19"/>
          <w:szCs w:val="19"/>
          <w:lang w:val="en-US"/>
        </w:rPr>
        <w:t>:</w:t>
      </w:r>
    </w:p>
    <w:tbl>
      <w:tblPr>
        <w:tblW w:w="9498" w:type="dxa"/>
        <w:tblLayout w:type="fixed"/>
        <w:tblCellMar>
          <w:left w:w="28" w:type="dxa"/>
          <w:right w:w="28" w:type="dxa"/>
        </w:tblCellMar>
        <w:tblLook w:val="0000" w:firstRow="0" w:lastRow="0" w:firstColumn="0" w:lastColumn="0" w:noHBand="0" w:noVBand="0"/>
      </w:tblPr>
      <w:tblGrid>
        <w:gridCol w:w="3828"/>
        <w:gridCol w:w="28"/>
        <w:gridCol w:w="1106"/>
        <w:gridCol w:w="1134"/>
        <w:gridCol w:w="1134"/>
        <w:gridCol w:w="1134"/>
        <w:gridCol w:w="1134"/>
      </w:tblGrid>
      <w:tr w:rsidR="00080F69" w:rsidRPr="00C46A29" w:rsidTr="00080F69">
        <w:trPr>
          <w:cantSplit/>
        </w:trPr>
        <w:tc>
          <w:tcPr>
            <w:tcW w:w="3828" w:type="dxa"/>
          </w:tcPr>
          <w:p w:rsidR="00080F69" w:rsidRPr="00C46A29" w:rsidRDefault="00080F69" w:rsidP="003A1BD9">
            <w:pPr>
              <w:pStyle w:val="Tindent"/>
              <w:keepLines/>
              <w:rPr>
                <w:rFonts w:ascii="Arial" w:hAnsi="Arial" w:cs="Arial"/>
                <w:b/>
                <w:sz w:val="19"/>
                <w:szCs w:val="19"/>
                <w:highlight w:val="yellow"/>
              </w:rPr>
            </w:pPr>
          </w:p>
        </w:tc>
        <w:tc>
          <w:tcPr>
            <w:tcW w:w="1134" w:type="dxa"/>
            <w:gridSpan w:val="2"/>
          </w:tcPr>
          <w:p w:rsidR="00080F69" w:rsidRPr="00C46A29" w:rsidRDefault="00080F69" w:rsidP="003A1BD9">
            <w:pPr>
              <w:pStyle w:val="Thead"/>
              <w:rPr>
                <w:rFonts w:ascii="Arial" w:hAnsi="Arial" w:cs="Arial"/>
                <w:sz w:val="19"/>
                <w:szCs w:val="19"/>
                <w:highlight w:val="yellow"/>
              </w:rPr>
            </w:pPr>
          </w:p>
        </w:tc>
        <w:tc>
          <w:tcPr>
            <w:tcW w:w="1134" w:type="dxa"/>
          </w:tcPr>
          <w:p w:rsidR="00080F69" w:rsidRPr="00C46A29" w:rsidRDefault="00080F69" w:rsidP="003A1BD9">
            <w:pPr>
              <w:pStyle w:val="Thead"/>
              <w:rPr>
                <w:rFonts w:ascii="Arial" w:hAnsi="Arial" w:cs="Arial"/>
                <w:sz w:val="19"/>
                <w:szCs w:val="19"/>
                <w:highlight w:val="yellow"/>
              </w:rPr>
            </w:pPr>
          </w:p>
        </w:tc>
        <w:tc>
          <w:tcPr>
            <w:tcW w:w="1134" w:type="dxa"/>
          </w:tcPr>
          <w:p w:rsidR="00080F69" w:rsidRPr="00C46A29" w:rsidRDefault="00080F69" w:rsidP="003A1BD9">
            <w:pPr>
              <w:pStyle w:val="Thead"/>
              <w:rPr>
                <w:rFonts w:ascii="Arial" w:hAnsi="Arial" w:cs="Arial"/>
                <w:sz w:val="19"/>
                <w:szCs w:val="19"/>
                <w:highlight w:val="yellow"/>
              </w:rPr>
            </w:pPr>
          </w:p>
        </w:tc>
        <w:tc>
          <w:tcPr>
            <w:tcW w:w="1134" w:type="dxa"/>
          </w:tcPr>
          <w:p w:rsidR="00080F69" w:rsidRPr="00BE1366" w:rsidRDefault="00BB2A59" w:rsidP="003A1BD9">
            <w:pPr>
              <w:pStyle w:val="Thead"/>
              <w:rPr>
                <w:rFonts w:ascii="Arial" w:hAnsi="Arial" w:cs="Arial"/>
                <w:sz w:val="19"/>
                <w:szCs w:val="19"/>
              </w:rPr>
            </w:pPr>
            <w:r w:rsidRPr="00BE1366">
              <w:rPr>
                <w:rFonts w:ascii="Arial" w:hAnsi="Arial" w:cs="Arial"/>
                <w:sz w:val="19"/>
                <w:szCs w:val="19"/>
              </w:rPr>
              <w:t>2015</w:t>
            </w:r>
          </w:p>
          <w:p w:rsidR="00080F69" w:rsidRPr="00BE1366" w:rsidRDefault="00080F69" w:rsidP="003A1BD9">
            <w:pPr>
              <w:pStyle w:val="Thead"/>
              <w:rPr>
                <w:rFonts w:ascii="Arial" w:hAnsi="Arial" w:cs="Arial"/>
                <w:sz w:val="19"/>
                <w:szCs w:val="19"/>
              </w:rPr>
            </w:pPr>
            <w:r w:rsidRPr="00BE1366">
              <w:rPr>
                <w:rFonts w:ascii="Arial" w:hAnsi="Arial" w:cs="Arial"/>
                <w:sz w:val="19"/>
                <w:szCs w:val="19"/>
              </w:rPr>
              <w:t>£000</w:t>
            </w:r>
          </w:p>
        </w:tc>
        <w:tc>
          <w:tcPr>
            <w:tcW w:w="1134" w:type="dxa"/>
          </w:tcPr>
          <w:p w:rsidR="00080F69" w:rsidRPr="00BB2A59" w:rsidRDefault="00BB2A59" w:rsidP="003A1BD9">
            <w:pPr>
              <w:pStyle w:val="Thead"/>
              <w:rPr>
                <w:rFonts w:ascii="Arial" w:hAnsi="Arial" w:cs="Arial"/>
                <w:sz w:val="19"/>
                <w:szCs w:val="19"/>
              </w:rPr>
            </w:pPr>
            <w:r w:rsidRPr="00BB2A59">
              <w:rPr>
                <w:rFonts w:ascii="Arial" w:hAnsi="Arial" w:cs="Arial"/>
                <w:sz w:val="19"/>
                <w:szCs w:val="19"/>
              </w:rPr>
              <w:t>2014</w:t>
            </w:r>
          </w:p>
          <w:p w:rsidR="00080F69" w:rsidRPr="00BB2A59" w:rsidRDefault="00080F69" w:rsidP="003A1BD9">
            <w:pPr>
              <w:pStyle w:val="Thead"/>
              <w:rPr>
                <w:rFonts w:ascii="Arial" w:hAnsi="Arial" w:cs="Arial"/>
                <w:sz w:val="19"/>
                <w:szCs w:val="19"/>
              </w:rPr>
            </w:pPr>
            <w:r w:rsidRPr="00BB2A59">
              <w:rPr>
                <w:rFonts w:ascii="Arial" w:hAnsi="Arial" w:cs="Arial"/>
                <w:sz w:val="19"/>
                <w:szCs w:val="19"/>
              </w:rPr>
              <w:t>£000</w:t>
            </w:r>
          </w:p>
        </w:tc>
      </w:tr>
      <w:tr w:rsidR="00080F69" w:rsidRPr="00C46A29" w:rsidTr="00080F69">
        <w:trPr>
          <w:cantSplit/>
        </w:trPr>
        <w:tc>
          <w:tcPr>
            <w:tcW w:w="3856" w:type="dxa"/>
            <w:gridSpan w:val="2"/>
          </w:tcPr>
          <w:p w:rsidR="00080F69" w:rsidRPr="00BB2A59" w:rsidRDefault="00080F69" w:rsidP="003A1BD9">
            <w:pPr>
              <w:pStyle w:val="Tindent"/>
              <w:rPr>
                <w:rFonts w:ascii="Arial" w:hAnsi="Arial" w:cs="Arial"/>
                <w:sz w:val="19"/>
                <w:szCs w:val="19"/>
              </w:rPr>
            </w:pPr>
            <w:r w:rsidRPr="00BB2A59">
              <w:rPr>
                <w:rFonts w:ascii="Arial" w:hAnsi="Arial" w:cs="Arial"/>
                <w:sz w:val="19"/>
                <w:szCs w:val="19"/>
              </w:rPr>
              <w:t>Amounts falling due:</w:t>
            </w:r>
          </w:p>
        </w:tc>
        <w:tc>
          <w:tcPr>
            <w:tcW w:w="1106"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BE1366" w:rsidRDefault="00080F69" w:rsidP="003A1BD9">
            <w:pPr>
              <w:pStyle w:val="Tdec"/>
              <w:rPr>
                <w:rFonts w:ascii="Arial" w:hAnsi="Arial" w:cs="Arial"/>
                <w:sz w:val="19"/>
                <w:szCs w:val="19"/>
              </w:rPr>
            </w:pPr>
          </w:p>
        </w:tc>
        <w:tc>
          <w:tcPr>
            <w:tcW w:w="1134" w:type="dxa"/>
          </w:tcPr>
          <w:p w:rsidR="00080F69" w:rsidRPr="00BB2A59" w:rsidRDefault="00080F69" w:rsidP="003A1BD9">
            <w:pPr>
              <w:pStyle w:val="Tdec"/>
              <w:rPr>
                <w:rFonts w:ascii="Arial" w:hAnsi="Arial" w:cs="Arial"/>
                <w:sz w:val="19"/>
                <w:szCs w:val="19"/>
              </w:rPr>
            </w:pPr>
          </w:p>
        </w:tc>
      </w:tr>
      <w:tr w:rsidR="00080F69" w:rsidRPr="00C46A29" w:rsidTr="00080F69">
        <w:trPr>
          <w:cantSplit/>
        </w:trPr>
        <w:tc>
          <w:tcPr>
            <w:tcW w:w="3856" w:type="dxa"/>
            <w:gridSpan w:val="2"/>
          </w:tcPr>
          <w:p w:rsidR="00080F69" w:rsidRPr="00BB2A59" w:rsidRDefault="00080F69" w:rsidP="003A1BD9">
            <w:pPr>
              <w:pStyle w:val="Tindent"/>
              <w:rPr>
                <w:rFonts w:ascii="Arial" w:hAnsi="Arial" w:cs="Arial"/>
                <w:sz w:val="19"/>
                <w:szCs w:val="19"/>
              </w:rPr>
            </w:pPr>
            <w:r w:rsidRPr="00BB2A59">
              <w:rPr>
                <w:rFonts w:ascii="Arial" w:hAnsi="Arial" w:cs="Arial"/>
                <w:sz w:val="19"/>
                <w:szCs w:val="19"/>
              </w:rPr>
              <w:t>Within one year</w:t>
            </w:r>
          </w:p>
        </w:tc>
        <w:tc>
          <w:tcPr>
            <w:tcW w:w="1106"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BE1366" w:rsidRDefault="0007582E" w:rsidP="003A1BD9">
            <w:pPr>
              <w:pStyle w:val="Tdec"/>
              <w:rPr>
                <w:rFonts w:ascii="Arial" w:hAnsi="Arial" w:cs="Arial"/>
                <w:sz w:val="19"/>
                <w:szCs w:val="19"/>
              </w:rPr>
            </w:pPr>
            <w:r w:rsidRPr="00BE1366">
              <w:rPr>
                <w:rFonts w:ascii="Arial" w:hAnsi="Arial" w:cs="Arial"/>
                <w:sz w:val="19"/>
                <w:szCs w:val="19"/>
              </w:rPr>
              <w:t>47</w:t>
            </w:r>
            <w:r w:rsidR="00BE1366" w:rsidRPr="00BE1366">
              <w:rPr>
                <w:rFonts w:ascii="Arial" w:hAnsi="Arial" w:cs="Arial"/>
                <w:sz w:val="19"/>
                <w:szCs w:val="19"/>
              </w:rPr>
              <w:t>8</w:t>
            </w:r>
          </w:p>
        </w:tc>
        <w:tc>
          <w:tcPr>
            <w:tcW w:w="1134" w:type="dxa"/>
          </w:tcPr>
          <w:p w:rsidR="00080F69" w:rsidRPr="00BB2A59" w:rsidRDefault="00080F69" w:rsidP="003A1BD9">
            <w:pPr>
              <w:pStyle w:val="Tdec"/>
              <w:rPr>
                <w:rFonts w:ascii="Arial" w:hAnsi="Arial" w:cs="Arial"/>
                <w:sz w:val="19"/>
                <w:szCs w:val="19"/>
              </w:rPr>
            </w:pPr>
            <w:r w:rsidRPr="00BB2A59">
              <w:rPr>
                <w:rFonts w:ascii="Arial" w:hAnsi="Arial" w:cs="Arial"/>
                <w:sz w:val="19"/>
                <w:szCs w:val="19"/>
              </w:rPr>
              <w:t>477</w:t>
            </w:r>
          </w:p>
        </w:tc>
      </w:tr>
      <w:tr w:rsidR="00080F69" w:rsidRPr="00C46A29" w:rsidTr="00080F69">
        <w:trPr>
          <w:cantSplit/>
        </w:trPr>
        <w:tc>
          <w:tcPr>
            <w:tcW w:w="3856" w:type="dxa"/>
            <w:gridSpan w:val="2"/>
          </w:tcPr>
          <w:p w:rsidR="00080F69" w:rsidRPr="00BB2A59" w:rsidRDefault="00080F69" w:rsidP="003A1BD9">
            <w:pPr>
              <w:pStyle w:val="Tindent"/>
              <w:rPr>
                <w:rFonts w:ascii="Arial" w:hAnsi="Arial" w:cs="Arial"/>
                <w:sz w:val="19"/>
                <w:szCs w:val="19"/>
              </w:rPr>
            </w:pPr>
            <w:r w:rsidRPr="00BB2A59">
              <w:rPr>
                <w:rFonts w:ascii="Arial" w:hAnsi="Arial" w:cs="Arial"/>
                <w:sz w:val="19"/>
                <w:szCs w:val="19"/>
              </w:rPr>
              <w:t>One to two years</w:t>
            </w:r>
          </w:p>
        </w:tc>
        <w:tc>
          <w:tcPr>
            <w:tcW w:w="1106"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BE1366" w:rsidRDefault="00BE1366" w:rsidP="003A1BD9">
            <w:pPr>
              <w:pStyle w:val="Tdec"/>
              <w:rPr>
                <w:rFonts w:ascii="Arial" w:hAnsi="Arial" w:cs="Arial"/>
                <w:sz w:val="19"/>
                <w:szCs w:val="19"/>
              </w:rPr>
            </w:pPr>
            <w:r w:rsidRPr="00BE1366">
              <w:rPr>
                <w:rFonts w:ascii="Arial" w:hAnsi="Arial" w:cs="Arial"/>
                <w:sz w:val="19"/>
                <w:szCs w:val="19"/>
              </w:rPr>
              <w:t>16</w:t>
            </w:r>
          </w:p>
        </w:tc>
        <w:tc>
          <w:tcPr>
            <w:tcW w:w="1134" w:type="dxa"/>
          </w:tcPr>
          <w:p w:rsidR="00080F69" w:rsidRPr="00BB2A59" w:rsidRDefault="00080F69" w:rsidP="003A1BD9">
            <w:pPr>
              <w:pStyle w:val="Tdec"/>
              <w:rPr>
                <w:rFonts w:ascii="Arial" w:hAnsi="Arial" w:cs="Arial"/>
                <w:sz w:val="19"/>
                <w:szCs w:val="19"/>
              </w:rPr>
            </w:pPr>
            <w:r w:rsidRPr="00BB2A59">
              <w:rPr>
                <w:rFonts w:ascii="Arial" w:hAnsi="Arial" w:cs="Arial"/>
                <w:sz w:val="19"/>
                <w:szCs w:val="19"/>
              </w:rPr>
              <w:t>47</w:t>
            </w:r>
            <w:r w:rsidR="00BB2A59" w:rsidRPr="00BB2A59">
              <w:rPr>
                <w:rFonts w:ascii="Arial" w:hAnsi="Arial" w:cs="Arial"/>
                <w:sz w:val="19"/>
                <w:szCs w:val="19"/>
              </w:rPr>
              <w:t>8</w:t>
            </w:r>
          </w:p>
        </w:tc>
      </w:tr>
      <w:tr w:rsidR="00080F69" w:rsidRPr="00C46A29" w:rsidTr="00080F69">
        <w:trPr>
          <w:cantSplit/>
        </w:trPr>
        <w:tc>
          <w:tcPr>
            <w:tcW w:w="3856" w:type="dxa"/>
            <w:gridSpan w:val="2"/>
          </w:tcPr>
          <w:p w:rsidR="00080F69" w:rsidRPr="00BB2A59" w:rsidRDefault="00080F69" w:rsidP="003A1BD9">
            <w:pPr>
              <w:pStyle w:val="Tindent"/>
              <w:rPr>
                <w:rFonts w:ascii="Arial" w:hAnsi="Arial" w:cs="Arial"/>
                <w:sz w:val="19"/>
                <w:szCs w:val="19"/>
              </w:rPr>
            </w:pPr>
            <w:r w:rsidRPr="00BB2A59">
              <w:rPr>
                <w:rFonts w:ascii="Arial" w:hAnsi="Arial" w:cs="Arial"/>
                <w:sz w:val="19"/>
                <w:szCs w:val="19"/>
              </w:rPr>
              <w:t>Two to five years</w:t>
            </w:r>
          </w:p>
        </w:tc>
        <w:tc>
          <w:tcPr>
            <w:tcW w:w="1106"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BE1366" w:rsidRDefault="00B175D2" w:rsidP="003A1BD9">
            <w:pPr>
              <w:pStyle w:val="Tdec"/>
              <w:rPr>
                <w:rFonts w:ascii="Arial" w:hAnsi="Arial" w:cs="Arial"/>
                <w:sz w:val="19"/>
                <w:szCs w:val="19"/>
              </w:rPr>
            </w:pPr>
            <w:r w:rsidRPr="00BE1366">
              <w:rPr>
                <w:rFonts w:ascii="Arial" w:hAnsi="Arial" w:cs="Arial"/>
                <w:sz w:val="19"/>
                <w:szCs w:val="19"/>
              </w:rPr>
              <w:t>5</w:t>
            </w:r>
            <w:r w:rsidR="00BE1366" w:rsidRPr="00BE1366">
              <w:rPr>
                <w:rFonts w:ascii="Arial" w:hAnsi="Arial" w:cs="Arial"/>
                <w:sz w:val="19"/>
                <w:szCs w:val="19"/>
              </w:rPr>
              <w:t>4</w:t>
            </w:r>
          </w:p>
        </w:tc>
        <w:tc>
          <w:tcPr>
            <w:tcW w:w="1134" w:type="dxa"/>
          </w:tcPr>
          <w:p w:rsidR="00080F69" w:rsidRPr="00BB2A59" w:rsidRDefault="00080F69" w:rsidP="003A1BD9">
            <w:pPr>
              <w:pStyle w:val="Tdec"/>
              <w:rPr>
                <w:rFonts w:ascii="Arial" w:hAnsi="Arial" w:cs="Arial"/>
                <w:sz w:val="19"/>
                <w:szCs w:val="19"/>
              </w:rPr>
            </w:pPr>
            <w:r w:rsidRPr="00BB2A59">
              <w:rPr>
                <w:rFonts w:ascii="Arial" w:hAnsi="Arial" w:cs="Arial"/>
                <w:sz w:val="19"/>
                <w:szCs w:val="19"/>
              </w:rPr>
              <w:t>5</w:t>
            </w:r>
            <w:r w:rsidR="00BB2A59" w:rsidRPr="00BB2A59">
              <w:rPr>
                <w:rFonts w:ascii="Arial" w:hAnsi="Arial" w:cs="Arial"/>
                <w:sz w:val="19"/>
                <w:szCs w:val="19"/>
              </w:rPr>
              <w:t>2</w:t>
            </w:r>
          </w:p>
        </w:tc>
      </w:tr>
      <w:tr w:rsidR="00080F69" w:rsidRPr="00C46A29" w:rsidTr="00080F69">
        <w:trPr>
          <w:cantSplit/>
        </w:trPr>
        <w:tc>
          <w:tcPr>
            <w:tcW w:w="3856" w:type="dxa"/>
            <w:gridSpan w:val="2"/>
          </w:tcPr>
          <w:p w:rsidR="00080F69" w:rsidRPr="00BB2A59" w:rsidRDefault="00080F69" w:rsidP="003A1BD9">
            <w:pPr>
              <w:pStyle w:val="Tindent"/>
              <w:rPr>
                <w:rFonts w:ascii="Arial" w:hAnsi="Arial" w:cs="Arial"/>
                <w:sz w:val="19"/>
                <w:szCs w:val="19"/>
              </w:rPr>
            </w:pPr>
            <w:r w:rsidRPr="00BB2A59">
              <w:rPr>
                <w:rFonts w:ascii="Arial" w:hAnsi="Arial" w:cs="Arial"/>
                <w:sz w:val="19"/>
                <w:szCs w:val="19"/>
              </w:rPr>
              <w:t>Beyond 5 years</w:t>
            </w:r>
          </w:p>
        </w:tc>
        <w:tc>
          <w:tcPr>
            <w:tcW w:w="1106"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BE1366" w:rsidRDefault="00B175D2" w:rsidP="003A1BD9">
            <w:pPr>
              <w:pStyle w:val="Tdec"/>
              <w:rPr>
                <w:rFonts w:ascii="Arial" w:hAnsi="Arial" w:cs="Arial"/>
                <w:sz w:val="19"/>
                <w:szCs w:val="19"/>
              </w:rPr>
            </w:pPr>
            <w:r w:rsidRPr="00BE1366">
              <w:rPr>
                <w:rFonts w:ascii="Arial" w:hAnsi="Arial" w:cs="Arial"/>
                <w:sz w:val="19"/>
                <w:szCs w:val="19"/>
              </w:rPr>
              <w:t>1,2</w:t>
            </w:r>
            <w:r w:rsidR="00BE1366" w:rsidRPr="00BE1366">
              <w:rPr>
                <w:rFonts w:ascii="Arial" w:hAnsi="Arial" w:cs="Arial"/>
                <w:sz w:val="19"/>
                <w:szCs w:val="19"/>
              </w:rPr>
              <w:t>69</w:t>
            </w:r>
          </w:p>
        </w:tc>
        <w:tc>
          <w:tcPr>
            <w:tcW w:w="1134" w:type="dxa"/>
          </w:tcPr>
          <w:p w:rsidR="00080F69" w:rsidRPr="00BB2A59" w:rsidRDefault="00080F69" w:rsidP="003A1BD9">
            <w:pPr>
              <w:pStyle w:val="Tdec"/>
              <w:rPr>
                <w:rFonts w:ascii="Arial" w:hAnsi="Arial" w:cs="Arial"/>
                <w:sz w:val="19"/>
                <w:szCs w:val="19"/>
              </w:rPr>
            </w:pPr>
            <w:r w:rsidRPr="00BB2A59">
              <w:rPr>
                <w:rFonts w:ascii="Arial" w:hAnsi="Arial" w:cs="Arial"/>
                <w:sz w:val="19"/>
                <w:szCs w:val="19"/>
              </w:rPr>
              <w:t>1,</w:t>
            </w:r>
            <w:r w:rsidR="00BB2A59" w:rsidRPr="00BB2A59">
              <w:rPr>
                <w:rFonts w:ascii="Arial" w:hAnsi="Arial" w:cs="Arial"/>
                <w:sz w:val="19"/>
                <w:szCs w:val="19"/>
              </w:rPr>
              <w:t>288</w:t>
            </w:r>
          </w:p>
        </w:tc>
      </w:tr>
      <w:tr w:rsidR="00FA2584" w:rsidRPr="00C46A29" w:rsidTr="00080F69">
        <w:trPr>
          <w:cantSplit/>
        </w:trPr>
        <w:tc>
          <w:tcPr>
            <w:tcW w:w="3856" w:type="dxa"/>
            <w:gridSpan w:val="2"/>
          </w:tcPr>
          <w:p w:rsidR="00FA2584" w:rsidRPr="00C46A29" w:rsidRDefault="00FA2584" w:rsidP="003A1BD9">
            <w:pPr>
              <w:pStyle w:val="Tindent"/>
              <w:rPr>
                <w:rFonts w:ascii="Arial" w:hAnsi="Arial" w:cs="Arial"/>
                <w:sz w:val="19"/>
                <w:szCs w:val="19"/>
                <w:highlight w:val="yellow"/>
              </w:rPr>
            </w:pPr>
          </w:p>
        </w:tc>
        <w:tc>
          <w:tcPr>
            <w:tcW w:w="1106" w:type="dxa"/>
          </w:tcPr>
          <w:p w:rsidR="00FA2584" w:rsidRPr="00C46A29" w:rsidRDefault="00FA2584" w:rsidP="003A1BD9">
            <w:pPr>
              <w:pStyle w:val="Tdec"/>
              <w:rPr>
                <w:rFonts w:ascii="Arial" w:hAnsi="Arial" w:cs="Arial"/>
                <w:sz w:val="19"/>
                <w:szCs w:val="19"/>
                <w:highlight w:val="yellow"/>
              </w:rPr>
            </w:pPr>
          </w:p>
        </w:tc>
        <w:tc>
          <w:tcPr>
            <w:tcW w:w="1134" w:type="dxa"/>
          </w:tcPr>
          <w:p w:rsidR="00FA2584" w:rsidRPr="00C46A29" w:rsidRDefault="00FA2584" w:rsidP="003A1BD9">
            <w:pPr>
              <w:pStyle w:val="Tdec"/>
              <w:rPr>
                <w:rFonts w:ascii="Arial" w:hAnsi="Arial" w:cs="Arial"/>
                <w:sz w:val="19"/>
                <w:szCs w:val="19"/>
                <w:highlight w:val="yellow"/>
              </w:rPr>
            </w:pPr>
          </w:p>
        </w:tc>
        <w:tc>
          <w:tcPr>
            <w:tcW w:w="1134" w:type="dxa"/>
          </w:tcPr>
          <w:p w:rsidR="00FA2584" w:rsidRPr="00C46A29" w:rsidRDefault="00FA2584" w:rsidP="003A1BD9">
            <w:pPr>
              <w:pStyle w:val="Tdec"/>
              <w:rPr>
                <w:rFonts w:ascii="Arial" w:hAnsi="Arial" w:cs="Arial"/>
                <w:sz w:val="19"/>
                <w:szCs w:val="19"/>
                <w:highlight w:val="yellow"/>
              </w:rPr>
            </w:pPr>
          </w:p>
        </w:tc>
        <w:tc>
          <w:tcPr>
            <w:tcW w:w="1134" w:type="dxa"/>
          </w:tcPr>
          <w:p w:rsidR="00FA2584" w:rsidRPr="00BE1366" w:rsidRDefault="00FA2584" w:rsidP="009A51B6">
            <w:pPr>
              <w:pStyle w:val="S9"/>
            </w:pPr>
          </w:p>
        </w:tc>
        <w:tc>
          <w:tcPr>
            <w:tcW w:w="1134" w:type="dxa"/>
          </w:tcPr>
          <w:p w:rsidR="00FA2584" w:rsidRPr="00BB2A59" w:rsidRDefault="00FA2584" w:rsidP="009A51B6">
            <w:pPr>
              <w:pStyle w:val="S9"/>
            </w:pPr>
          </w:p>
        </w:tc>
      </w:tr>
      <w:tr w:rsidR="00A812FF" w:rsidRPr="00C46A29" w:rsidTr="00080F69">
        <w:trPr>
          <w:cantSplit/>
        </w:trPr>
        <w:tc>
          <w:tcPr>
            <w:tcW w:w="3856" w:type="dxa"/>
            <w:gridSpan w:val="2"/>
          </w:tcPr>
          <w:p w:rsidR="00A812FF" w:rsidRPr="00C46A29" w:rsidRDefault="00A812FF" w:rsidP="003A1BD9">
            <w:pPr>
              <w:pStyle w:val="Tindent"/>
              <w:rPr>
                <w:rFonts w:ascii="Arial" w:hAnsi="Arial" w:cs="Arial"/>
                <w:sz w:val="19"/>
                <w:szCs w:val="19"/>
                <w:highlight w:val="yellow"/>
              </w:rPr>
            </w:pPr>
          </w:p>
        </w:tc>
        <w:tc>
          <w:tcPr>
            <w:tcW w:w="1106" w:type="dxa"/>
          </w:tcPr>
          <w:p w:rsidR="00A812FF" w:rsidRPr="00C46A29" w:rsidRDefault="00A812FF" w:rsidP="003A1BD9">
            <w:pPr>
              <w:pStyle w:val="Tdec"/>
              <w:rPr>
                <w:rFonts w:ascii="Arial" w:hAnsi="Arial" w:cs="Arial"/>
                <w:sz w:val="19"/>
                <w:szCs w:val="19"/>
                <w:highlight w:val="yellow"/>
              </w:rPr>
            </w:pPr>
          </w:p>
        </w:tc>
        <w:tc>
          <w:tcPr>
            <w:tcW w:w="1134" w:type="dxa"/>
          </w:tcPr>
          <w:p w:rsidR="00A812FF" w:rsidRPr="00C46A29" w:rsidRDefault="00A812FF" w:rsidP="003A1BD9">
            <w:pPr>
              <w:pStyle w:val="Tdec"/>
              <w:rPr>
                <w:rFonts w:ascii="Arial" w:hAnsi="Arial" w:cs="Arial"/>
                <w:sz w:val="19"/>
                <w:szCs w:val="19"/>
                <w:highlight w:val="yellow"/>
              </w:rPr>
            </w:pPr>
          </w:p>
        </w:tc>
        <w:tc>
          <w:tcPr>
            <w:tcW w:w="1134" w:type="dxa"/>
          </w:tcPr>
          <w:p w:rsidR="00A812FF" w:rsidRPr="00C46A29" w:rsidRDefault="00A812FF" w:rsidP="003A1BD9">
            <w:pPr>
              <w:pStyle w:val="Tdec"/>
              <w:rPr>
                <w:rFonts w:ascii="Arial" w:hAnsi="Arial" w:cs="Arial"/>
                <w:sz w:val="19"/>
                <w:szCs w:val="19"/>
                <w:highlight w:val="yellow"/>
              </w:rPr>
            </w:pPr>
          </w:p>
        </w:tc>
        <w:tc>
          <w:tcPr>
            <w:tcW w:w="1134" w:type="dxa"/>
          </w:tcPr>
          <w:p w:rsidR="00A812FF" w:rsidRPr="00BE1366" w:rsidRDefault="00BE1366" w:rsidP="00AB18D9">
            <w:pPr>
              <w:pStyle w:val="D9"/>
              <w:spacing w:line="240" w:lineRule="auto"/>
              <w:jc w:val="right"/>
              <w:rPr>
                <w:rFonts w:ascii="Arial" w:hAnsi="Arial" w:cs="Arial"/>
                <w:sz w:val="19"/>
                <w:szCs w:val="19"/>
              </w:rPr>
            </w:pPr>
            <w:r w:rsidRPr="00BE1366">
              <w:rPr>
                <w:rFonts w:ascii="Arial" w:hAnsi="Arial" w:cs="Arial"/>
                <w:sz w:val="19"/>
                <w:szCs w:val="19"/>
              </w:rPr>
              <w:t>1,817</w:t>
            </w:r>
          </w:p>
        </w:tc>
        <w:tc>
          <w:tcPr>
            <w:tcW w:w="1134" w:type="dxa"/>
          </w:tcPr>
          <w:p w:rsidR="00A812FF" w:rsidRPr="00BB2A59" w:rsidRDefault="00AB18D9" w:rsidP="00AB18D9">
            <w:pPr>
              <w:pStyle w:val="D9"/>
              <w:spacing w:line="240" w:lineRule="auto"/>
              <w:jc w:val="right"/>
              <w:rPr>
                <w:rFonts w:ascii="Arial" w:hAnsi="Arial" w:cs="Arial"/>
                <w:sz w:val="19"/>
                <w:szCs w:val="19"/>
              </w:rPr>
            </w:pPr>
            <w:r w:rsidRPr="00BB2A59">
              <w:rPr>
                <w:rFonts w:ascii="Arial" w:hAnsi="Arial" w:cs="Arial"/>
                <w:sz w:val="19"/>
                <w:szCs w:val="19"/>
              </w:rPr>
              <w:t>2,</w:t>
            </w:r>
            <w:r w:rsidR="00BB2A59" w:rsidRPr="00BB2A59">
              <w:rPr>
                <w:rFonts w:ascii="Arial" w:hAnsi="Arial" w:cs="Arial"/>
                <w:sz w:val="19"/>
                <w:szCs w:val="19"/>
              </w:rPr>
              <w:t>295</w:t>
            </w:r>
          </w:p>
        </w:tc>
      </w:tr>
    </w:tbl>
    <w:p w:rsidR="00080F69" w:rsidRPr="005300DC" w:rsidRDefault="003517C6" w:rsidP="003517C6">
      <w:pPr>
        <w:pStyle w:val="Heading1"/>
        <w:numPr>
          <w:ilvl w:val="0"/>
          <w:numId w:val="0"/>
        </w:numPr>
        <w:tabs>
          <w:tab w:val="clear" w:pos="567"/>
        </w:tabs>
        <w:spacing w:before="120"/>
        <w:rPr>
          <w:rFonts w:ascii="Arial" w:hAnsi="Arial" w:cs="Arial"/>
          <w:sz w:val="24"/>
          <w:szCs w:val="19"/>
        </w:rPr>
      </w:pPr>
      <w:bookmarkStart w:id="22" w:name="_Toc390775328"/>
      <w:r w:rsidRPr="005300DC">
        <w:rPr>
          <w:rFonts w:ascii="Arial" w:hAnsi="Arial" w:cs="Arial"/>
          <w:caps w:val="0"/>
          <w:sz w:val="24"/>
          <w:szCs w:val="19"/>
        </w:rPr>
        <w:t>15</w:t>
      </w:r>
      <w:r w:rsidRPr="005300DC">
        <w:rPr>
          <w:rFonts w:ascii="Arial" w:hAnsi="Arial" w:cs="Arial"/>
          <w:caps w:val="0"/>
          <w:sz w:val="24"/>
          <w:szCs w:val="19"/>
        </w:rPr>
        <w:tab/>
      </w:r>
      <w:r w:rsidR="00723DFA">
        <w:rPr>
          <w:rFonts w:ascii="Arial" w:hAnsi="Arial" w:cs="Arial"/>
          <w:caps w:val="0"/>
          <w:sz w:val="24"/>
          <w:szCs w:val="19"/>
        </w:rPr>
        <w:t xml:space="preserve">Called up </w:t>
      </w:r>
      <w:r w:rsidR="003B2453" w:rsidRPr="005300DC">
        <w:rPr>
          <w:rFonts w:ascii="Arial" w:hAnsi="Arial" w:cs="Arial"/>
          <w:caps w:val="0"/>
          <w:sz w:val="24"/>
          <w:szCs w:val="19"/>
        </w:rPr>
        <w:t>Share Capital</w:t>
      </w:r>
      <w:bookmarkEnd w:id="22"/>
    </w:p>
    <w:p w:rsidR="003B2453" w:rsidRDefault="00080F69" w:rsidP="003B2453">
      <w:pPr>
        <w:jc w:val="left"/>
        <w:rPr>
          <w:rFonts w:ascii="Arial" w:hAnsi="Arial" w:cs="Arial"/>
          <w:sz w:val="19"/>
          <w:szCs w:val="19"/>
          <w:lang w:val="en-US"/>
        </w:rPr>
      </w:pPr>
      <w:r w:rsidRPr="005300DC">
        <w:rPr>
          <w:rFonts w:ascii="Arial" w:hAnsi="Arial" w:cs="Arial"/>
          <w:sz w:val="19"/>
          <w:szCs w:val="19"/>
          <w:lang w:val="en-US"/>
        </w:rPr>
        <w:t xml:space="preserve">The </w:t>
      </w:r>
      <w:r w:rsidR="00201B4C" w:rsidRPr="005300DC">
        <w:rPr>
          <w:rFonts w:ascii="Arial" w:hAnsi="Arial" w:cs="Arial"/>
          <w:sz w:val="19"/>
          <w:szCs w:val="19"/>
          <w:lang w:val="en-US"/>
        </w:rPr>
        <w:t>Company</w:t>
      </w:r>
      <w:r w:rsidRPr="005300DC">
        <w:rPr>
          <w:rFonts w:ascii="Arial" w:hAnsi="Arial" w:cs="Arial"/>
          <w:sz w:val="19"/>
          <w:szCs w:val="19"/>
          <w:lang w:val="en-US"/>
        </w:rPr>
        <w:t xml:space="preserve"> does not have</w:t>
      </w:r>
      <w:r w:rsidR="00723DFA">
        <w:rPr>
          <w:rFonts w:ascii="Arial" w:hAnsi="Arial" w:cs="Arial"/>
          <w:sz w:val="19"/>
          <w:szCs w:val="19"/>
          <w:lang w:val="en-US"/>
        </w:rPr>
        <w:t xml:space="preserve"> called-up</w:t>
      </w:r>
      <w:r w:rsidRPr="005300DC">
        <w:rPr>
          <w:rFonts w:ascii="Arial" w:hAnsi="Arial" w:cs="Arial"/>
          <w:sz w:val="19"/>
          <w:szCs w:val="19"/>
          <w:lang w:val="en-US"/>
        </w:rPr>
        <w:t xml:space="preserve"> share capital as it is limited by guarantee of £1 per member.  Memb</w:t>
      </w:r>
      <w:r w:rsidR="00BE1366" w:rsidRPr="005300DC">
        <w:rPr>
          <w:rFonts w:ascii="Arial" w:hAnsi="Arial" w:cs="Arial"/>
          <w:sz w:val="19"/>
          <w:szCs w:val="19"/>
          <w:lang w:val="en-US"/>
        </w:rPr>
        <w:t>ership at March 2015</w:t>
      </w:r>
      <w:r w:rsidR="0090555D" w:rsidRPr="005300DC">
        <w:rPr>
          <w:rFonts w:ascii="Arial" w:hAnsi="Arial" w:cs="Arial"/>
          <w:sz w:val="19"/>
          <w:szCs w:val="19"/>
          <w:lang w:val="en-US"/>
        </w:rPr>
        <w:t xml:space="preserve"> was 1 (2014</w:t>
      </w:r>
      <w:r w:rsidR="005300DC">
        <w:rPr>
          <w:rFonts w:ascii="Arial" w:hAnsi="Arial" w:cs="Arial"/>
          <w:sz w:val="19"/>
          <w:szCs w:val="19"/>
          <w:lang w:val="en-US"/>
        </w:rPr>
        <w:t>:1)</w:t>
      </w:r>
    </w:p>
    <w:p w:rsidR="003B2453" w:rsidRPr="005300DC" w:rsidRDefault="003B2453" w:rsidP="003B2453">
      <w:pPr>
        <w:jc w:val="left"/>
        <w:rPr>
          <w:rFonts w:ascii="Arial" w:hAnsi="Arial" w:cs="Arial"/>
          <w:b/>
          <w:caps/>
          <w:sz w:val="19"/>
          <w:szCs w:val="19"/>
        </w:rPr>
      </w:pPr>
    </w:p>
    <w:p w:rsidR="00431F38" w:rsidRPr="00A902FB" w:rsidRDefault="003517C6" w:rsidP="003517C6">
      <w:pPr>
        <w:pStyle w:val="Heading1"/>
        <w:numPr>
          <w:ilvl w:val="0"/>
          <w:numId w:val="0"/>
        </w:numPr>
        <w:spacing w:before="120"/>
        <w:rPr>
          <w:rFonts w:ascii="Arial" w:hAnsi="Arial" w:cs="Arial"/>
          <w:sz w:val="24"/>
          <w:szCs w:val="19"/>
        </w:rPr>
      </w:pPr>
      <w:bookmarkStart w:id="23" w:name="_Toc390775329"/>
      <w:bookmarkStart w:id="24" w:name="DA_RN_1558577068900000370"/>
      <w:r>
        <w:rPr>
          <w:rFonts w:ascii="Arial" w:hAnsi="Arial" w:cs="Arial"/>
          <w:caps w:val="0"/>
          <w:sz w:val="24"/>
          <w:szCs w:val="19"/>
        </w:rPr>
        <w:t>16</w:t>
      </w:r>
      <w:r>
        <w:rPr>
          <w:rFonts w:ascii="Arial" w:hAnsi="Arial" w:cs="Arial"/>
          <w:caps w:val="0"/>
          <w:sz w:val="24"/>
          <w:szCs w:val="19"/>
        </w:rPr>
        <w:tab/>
      </w:r>
      <w:r w:rsidR="003B2453" w:rsidRPr="00A902FB">
        <w:rPr>
          <w:rFonts w:ascii="Arial" w:hAnsi="Arial" w:cs="Arial"/>
          <w:caps w:val="0"/>
          <w:sz w:val="24"/>
          <w:szCs w:val="19"/>
        </w:rPr>
        <w:t>Reserves</w:t>
      </w:r>
      <w:bookmarkEnd w:id="23"/>
    </w:p>
    <w:bookmarkEnd w:id="24"/>
    <w:tbl>
      <w:tblPr>
        <w:tblW w:w="9498" w:type="dxa"/>
        <w:tblLayout w:type="fixed"/>
        <w:tblCellMar>
          <w:left w:w="28" w:type="dxa"/>
          <w:right w:w="28" w:type="dxa"/>
        </w:tblCellMar>
        <w:tblLook w:val="0000" w:firstRow="0" w:lastRow="0" w:firstColumn="0" w:lastColumn="0" w:noHBand="0" w:noVBand="0"/>
      </w:tblPr>
      <w:tblGrid>
        <w:gridCol w:w="3828"/>
        <w:gridCol w:w="28"/>
        <w:gridCol w:w="1106"/>
        <w:gridCol w:w="878"/>
        <w:gridCol w:w="1390"/>
        <w:gridCol w:w="1134"/>
        <w:gridCol w:w="1134"/>
      </w:tblGrid>
      <w:tr w:rsidR="00080F69" w:rsidRPr="00A902FB" w:rsidTr="00C633DB">
        <w:trPr>
          <w:cantSplit/>
        </w:trPr>
        <w:tc>
          <w:tcPr>
            <w:tcW w:w="3828" w:type="dxa"/>
          </w:tcPr>
          <w:p w:rsidR="00080F69" w:rsidRPr="00A902FB" w:rsidRDefault="00080F69" w:rsidP="003A1BD9">
            <w:pPr>
              <w:pStyle w:val="Tindent"/>
              <w:keepLines/>
              <w:rPr>
                <w:rFonts w:ascii="Arial" w:hAnsi="Arial" w:cs="Arial"/>
                <w:b/>
                <w:sz w:val="19"/>
                <w:szCs w:val="19"/>
              </w:rPr>
            </w:pPr>
          </w:p>
        </w:tc>
        <w:tc>
          <w:tcPr>
            <w:tcW w:w="1134" w:type="dxa"/>
            <w:gridSpan w:val="2"/>
          </w:tcPr>
          <w:p w:rsidR="00080F69" w:rsidRPr="00A902FB" w:rsidRDefault="00080F69" w:rsidP="003A1BD9">
            <w:pPr>
              <w:pStyle w:val="Thead"/>
              <w:rPr>
                <w:rFonts w:ascii="Arial" w:hAnsi="Arial" w:cs="Arial"/>
                <w:sz w:val="19"/>
                <w:szCs w:val="19"/>
              </w:rPr>
            </w:pPr>
          </w:p>
        </w:tc>
        <w:tc>
          <w:tcPr>
            <w:tcW w:w="878" w:type="dxa"/>
          </w:tcPr>
          <w:p w:rsidR="00080F69" w:rsidRPr="00A902FB" w:rsidRDefault="00080F69" w:rsidP="003A1BD9">
            <w:pPr>
              <w:pStyle w:val="Thead"/>
              <w:rPr>
                <w:rFonts w:ascii="Arial" w:hAnsi="Arial" w:cs="Arial"/>
                <w:sz w:val="19"/>
                <w:szCs w:val="19"/>
              </w:rPr>
            </w:pPr>
          </w:p>
        </w:tc>
        <w:tc>
          <w:tcPr>
            <w:tcW w:w="1390" w:type="dxa"/>
            <w:vAlign w:val="bottom"/>
          </w:tcPr>
          <w:p w:rsidR="00080F69" w:rsidRPr="00A902FB" w:rsidRDefault="00C633DB" w:rsidP="00C633DB">
            <w:pPr>
              <w:pStyle w:val="Thead"/>
              <w:rPr>
                <w:rFonts w:ascii="Arial" w:hAnsi="Arial" w:cs="Arial"/>
                <w:sz w:val="19"/>
                <w:szCs w:val="19"/>
              </w:rPr>
            </w:pPr>
            <w:r w:rsidRPr="00A902FB">
              <w:rPr>
                <w:rFonts w:ascii="Arial" w:hAnsi="Arial" w:cs="Arial"/>
                <w:sz w:val="19"/>
                <w:szCs w:val="19"/>
              </w:rPr>
              <w:t>Income and Expenditure Account Excluding Pension costs</w:t>
            </w:r>
          </w:p>
          <w:p w:rsidR="00C633DB" w:rsidRPr="00A902FB" w:rsidRDefault="00C633DB" w:rsidP="00C633DB">
            <w:pPr>
              <w:pStyle w:val="Thead"/>
              <w:rPr>
                <w:rFonts w:ascii="Arial" w:hAnsi="Arial" w:cs="Arial"/>
                <w:sz w:val="19"/>
                <w:szCs w:val="19"/>
              </w:rPr>
            </w:pPr>
            <w:r w:rsidRPr="00A902FB">
              <w:rPr>
                <w:rFonts w:ascii="Arial" w:hAnsi="Arial" w:cs="Arial"/>
                <w:sz w:val="19"/>
                <w:szCs w:val="19"/>
              </w:rPr>
              <w:t>£000</w:t>
            </w:r>
          </w:p>
        </w:tc>
        <w:tc>
          <w:tcPr>
            <w:tcW w:w="1134" w:type="dxa"/>
            <w:vAlign w:val="bottom"/>
          </w:tcPr>
          <w:p w:rsidR="00080F69" w:rsidRPr="00A902FB" w:rsidRDefault="00C633DB" w:rsidP="00C633DB">
            <w:pPr>
              <w:pStyle w:val="Thead"/>
              <w:rPr>
                <w:rFonts w:ascii="Arial" w:hAnsi="Arial" w:cs="Arial"/>
                <w:sz w:val="19"/>
                <w:szCs w:val="19"/>
              </w:rPr>
            </w:pPr>
            <w:r w:rsidRPr="00A902FB">
              <w:rPr>
                <w:rFonts w:ascii="Arial" w:hAnsi="Arial" w:cs="Arial"/>
                <w:sz w:val="19"/>
                <w:szCs w:val="19"/>
              </w:rPr>
              <w:t>Net Pension liability</w:t>
            </w:r>
          </w:p>
          <w:p w:rsidR="00C633DB" w:rsidRPr="00A902FB" w:rsidRDefault="00C633DB" w:rsidP="00C633DB">
            <w:pPr>
              <w:pStyle w:val="Thead"/>
              <w:rPr>
                <w:rFonts w:ascii="Arial" w:hAnsi="Arial" w:cs="Arial"/>
                <w:sz w:val="19"/>
                <w:szCs w:val="19"/>
              </w:rPr>
            </w:pPr>
            <w:r w:rsidRPr="00A902FB">
              <w:rPr>
                <w:rFonts w:ascii="Arial" w:hAnsi="Arial" w:cs="Arial"/>
                <w:sz w:val="19"/>
                <w:szCs w:val="19"/>
              </w:rPr>
              <w:t>£000</w:t>
            </w:r>
          </w:p>
        </w:tc>
        <w:tc>
          <w:tcPr>
            <w:tcW w:w="1134" w:type="dxa"/>
            <w:vAlign w:val="bottom"/>
          </w:tcPr>
          <w:p w:rsidR="00080F69" w:rsidRPr="00A902FB" w:rsidRDefault="00080F69" w:rsidP="00C633DB">
            <w:pPr>
              <w:pStyle w:val="Thead"/>
              <w:rPr>
                <w:rFonts w:ascii="Arial" w:hAnsi="Arial" w:cs="Arial"/>
                <w:sz w:val="19"/>
                <w:szCs w:val="19"/>
              </w:rPr>
            </w:pPr>
            <w:r w:rsidRPr="00A902FB">
              <w:rPr>
                <w:rFonts w:ascii="Arial" w:hAnsi="Arial" w:cs="Arial"/>
                <w:sz w:val="19"/>
                <w:szCs w:val="19"/>
              </w:rPr>
              <w:t>Total reserves</w:t>
            </w:r>
          </w:p>
          <w:p w:rsidR="00080F69" w:rsidRPr="00A902FB" w:rsidRDefault="00080F69" w:rsidP="00C633DB">
            <w:pPr>
              <w:pStyle w:val="Thead"/>
              <w:rPr>
                <w:rFonts w:ascii="Arial" w:hAnsi="Arial" w:cs="Arial"/>
                <w:sz w:val="19"/>
                <w:szCs w:val="19"/>
              </w:rPr>
            </w:pPr>
            <w:r w:rsidRPr="00A902FB">
              <w:rPr>
                <w:rFonts w:ascii="Arial" w:hAnsi="Arial" w:cs="Arial"/>
                <w:sz w:val="19"/>
                <w:szCs w:val="19"/>
              </w:rPr>
              <w:t>£0000</w:t>
            </w:r>
          </w:p>
        </w:tc>
      </w:tr>
      <w:tr w:rsidR="00080F69" w:rsidRPr="00A902FB" w:rsidTr="00C633DB">
        <w:trPr>
          <w:cantSplit/>
        </w:trPr>
        <w:tc>
          <w:tcPr>
            <w:tcW w:w="3828" w:type="dxa"/>
          </w:tcPr>
          <w:p w:rsidR="00080F69" w:rsidRPr="00A902FB" w:rsidRDefault="00080F69" w:rsidP="003A1BD9">
            <w:pPr>
              <w:pStyle w:val="B0"/>
              <w:spacing w:line="240" w:lineRule="auto"/>
              <w:rPr>
                <w:rFonts w:ascii="Arial" w:hAnsi="Arial" w:cs="Arial"/>
                <w:sz w:val="19"/>
                <w:szCs w:val="19"/>
              </w:rPr>
            </w:pPr>
          </w:p>
        </w:tc>
        <w:tc>
          <w:tcPr>
            <w:tcW w:w="1134" w:type="dxa"/>
            <w:gridSpan w:val="2"/>
          </w:tcPr>
          <w:p w:rsidR="00080F69" w:rsidRPr="00A902FB" w:rsidRDefault="00080F69" w:rsidP="003A1BD9">
            <w:pPr>
              <w:pStyle w:val="B0"/>
              <w:spacing w:line="240" w:lineRule="auto"/>
              <w:rPr>
                <w:rFonts w:ascii="Arial" w:hAnsi="Arial" w:cs="Arial"/>
                <w:sz w:val="19"/>
                <w:szCs w:val="19"/>
              </w:rPr>
            </w:pPr>
          </w:p>
        </w:tc>
        <w:tc>
          <w:tcPr>
            <w:tcW w:w="878" w:type="dxa"/>
          </w:tcPr>
          <w:p w:rsidR="00080F69" w:rsidRPr="00A902FB" w:rsidRDefault="00080F69" w:rsidP="003A1BD9">
            <w:pPr>
              <w:pStyle w:val="B0"/>
              <w:spacing w:line="240" w:lineRule="auto"/>
              <w:rPr>
                <w:rFonts w:ascii="Arial" w:hAnsi="Arial" w:cs="Arial"/>
                <w:sz w:val="19"/>
                <w:szCs w:val="19"/>
              </w:rPr>
            </w:pPr>
          </w:p>
        </w:tc>
        <w:tc>
          <w:tcPr>
            <w:tcW w:w="1390" w:type="dxa"/>
          </w:tcPr>
          <w:p w:rsidR="00080F69" w:rsidRPr="00A902FB" w:rsidRDefault="00080F69" w:rsidP="003A1BD9">
            <w:pPr>
              <w:pStyle w:val="B0"/>
              <w:spacing w:line="240" w:lineRule="auto"/>
              <w:rPr>
                <w:rFonts w:ascii="Arial" w:hAnsi="Arial" w:cs="Arial"/>
                <w:sz w:val="19"/>
                <w:szCs w:val="19"/>
              </w:rPr>
            </w:pPr>
          </w:p>
        </w:tc>
        <w:tc>
          <w:tcPr>
            <w:tcW w:w="1134" w:type="dxa"/>
          </w:tcPr>
          <w:p w:rsidR="00080F69" w:rsidRPr="00ED1840" w:rsidRDefault="00080F69" w:rsidP="003A1BD9">
            <w:pPr>
              <w:pStyle w:val="B0"/>
              <w:spacing w:line="240" w:lineRule="auto"/>
              <w:rPr>
                <w:rFonts w:ascii="Arial" w:hAnsi="Arial" w:cs="Arial"/>
                <w:sz w:val="19"/>
                <w:szCs w:val="19"/>
              </w:rPr>
            </w:pPr>
          </w:p>
        </w:tc>
        <w:tc>
          <w:tcPr>
            <w:tcW w:w="1134" w:type="dxa"/>
          </w:tcPr>
          <w:p w:rsidR="00080F69" w:rsidRPr="00A902FB" w:rsidRDefault="00080F69" w:rsidP="003A1BD9">
            <w:pPr>
              <w:pStyle w:val="B0"/>
              <w:spacing w:line="240" w:lineRule="auto"/>
              <w:rPr>
                <w:rFonts w:ascii="Arial" w:hAnsi="Arial" w:cs="Arial"/>
                <w:sz w:val="19"/>
                <w:szCs w:val="19"/>
              </w:rPr>
            </w:pPr>
          </w:p>
        </w:tc>
      </w:tr>
      <w:tr w:rsidR="00080F69" w:rsidRPr="00BC2CD5" w:rsidTr="00C633DB">
        <w:trPr>
          <w:cantSplit/>
        </w:trPr>
        <w:tc>
          <w:tcPr>
            <w:tcW w:w="3856" w:type="dxa"/>
            <w:gridSpan w:val="2"/>
          </w:tcPr>
          <w:p w:rsidR="00080F69" w:rsidRPr="00A902FB" w:rsidRDefault="00080F69" w:rsidP="003A1BD9">
            <w:pPr>
              <w:pStyle w:val="Tindent"/>
              <w:rPr>
                <w:rFonts w:ascii="Arial" w:hAnsi="Arial" w:cs="Arial"/>
                <w:sz w:val="19"/>
                <w:szCs w:val="19"/>
              </w:rPr>
            </w:pPr>
            <w:r w:rsidRPr="00A902FB">
              <w:rPr>
                <w:rFonts w:ascii="Arial" w:hAnsi="Arial" w:cs="Arial"/>
                <w:sz w:val="19"/>
                <w:szCs w:val="19"/>
              </w:rPr>
              <w:t>At beginning of year</w:t>
            </w:r>
          </w:p>
        </w:tc>
        <w:tc>
          <w:tcPr>
            <w:tcW w:w="1106" w:type="dxa"/>
          </w:tcPr>
          <w:p w:rsidR="00080F69" w:rsidRPr="00A902FB" w:rsidRDefault="00080F69" w:rsidP="003A1BD9">
            <w:pPr>
              <w:pStyle w:val="Tdec"/>
              <w:rPr>
                <w:rFonts w:ascii="Arial" w:hAnsi="Arial" w:cs="Arial"/>
                <w:sz w:val="19"/>
                <w:szCs w:val="19"/>
              </w:rPr>
            </w:pPr>
          </w:p>
        </w:tc>
        <w:tc>
          <w:tcPr>
            <w:tcW w:w="878" w:type="dxa"/>
          </w:tcPr>
          <w:p w:rsidR="00080F69" w:rsidRPr="00A902FB" w:rsidRDefault="00080F69" w:rsidP="003A1BD9">
            <w:pPr>
              <w:pStyle w:val="Tdec"/>
              <w:rPr>
                <w:rFonts w:ascii="Arial" w:hAnsi="Arial" w:cs="Arial"/>
                <w:sz w:val="19"/>
                <w:szCs w:val="19"/>
              </w:rPr>
            </w:pPr>
          </w:p>
        </w:tc>
        <w:tc>
          <w:tcPr>
            <w:tcW w:w="1390" w:type="dxa"/>
          </w:tcPr>
          <w:p w:rsidR="00080F69" w:rsidRPr="00BC2CD5" w:rsidRDefault="00A902FB" w:rsidP="003A1BD9">
            <w:pPr>
              <w:pStyle w:val="Tdec"/>
              <w:rPr>
                <w:rFonts w:ascii="Arial" w:hAnsi="Arial" w:cs="Arial"/>
                <w:sz w:val="19"/>
                <w:szCs w:val="19"/>
              </w:rPr>
            </w:pPr>
            <w:r w:rsidRPr="00BC2CD5">
              <w:rPr>
                <w:rFonts w:ascii="Arial" w:hAnsi="Arial" w:cs="Arial"/>
                <w:sz w:val="19"/>
                <w:szCs w:val="19"/>
              </w:rPr>
              <w:t>24</w:t>
            </w:r>
          </w:p>
        </w:tc>
        <w:tc>
          <w:tcPr>
            <w:tcW w:w="1134" w:type="dxa"/>
          </w:tcPr>
          <w:p w:rsidR="00080F69" w:rsidRPr="00BC2CD5" w:rsidRDefault="00A902FB" w:rsidP="003A1BD9">
            <w:pPr>
              <w:pStyle w:val="Tdec"/>
              <w:rPr>
                <w:rFonts w:ascii="Arial" w:hAnsi="Arial" w:cs="Arial"/>
                <w:sz w:val="19"/>
                <w:szCs w:val="19"/>
              </w:rPr>
            </w:pPr>
            <w:r w:rsidRPr="00BC2CD5">
              <w:rPr>
                <w:rFonts w:ascii="Arial" w:hAnsi="Arial" w:cs="Arial"/>
                <w:sz w:val="19"/>
                <w:szCs w:val="19"/>
              </w:rPr>
              <w:t>(5,200</w:t>
            </w:r>
            <w:r w:rsidR="00C633DB" w:rsidRPr="00BC2CD5">
              <w:rPr>
                <w:rFonts w:ascii="Arial" w:hAnsi="Arial" w:cs="Arial"/>
                <w:sz w:val="19"/>
                <w:szCs w:val="19"/>
              </w:rPr>
              <w:t>)</w:t>
            </w:r>
          </w:p>
        </w:tc>
        <w:tc>
          <w:tcPr>
            <w:tcW w:w="1134" w:type="dxa"/>
          </w:tcPr>
          <w:p w:rsidR="00080F69" w:rsidRPr="00BC2CD5" w:rsidRDefault="00A902FB" w:rsidP="003A1BD9">
            <w:pPr>
              <w:pStyle w:val="Tdec"/>
              <w:rPr>
                <w:rFonts w:ascii="Arial" w:hAnsi="Arial" w:cs="Arial"/>
                <w:sz w:val="19"/>
                <w:szCs w:val="19"/>
              </w:rPr>
            </w:pPr>
            <w:r w:rsidRPr="00BC2CD5">
              <w:rPr>
                <w:rFonts w:ascii="Arial" w:hAnsi="Arial" w:cs="Arial"/>
                <w:sz w:val="19"/>
                <w:szCs w:val="19"/>
              </w:rPr>
              <w:t>(5,176</w:t>
            </w:r>
            <w:r w:rsidR="00080F69" w:rsidRPr="00BC2CD5">
              <w:rPr>
                <w:rFonts w:ascii="Arial" w:hAnsi="Arial" w:cs="Arial"/>
                <w:sz w:val="19"/>
                <w:szCs w:val="19"/>
              </w:rPr>
              <w:t>)</w:t>
            </w:r>
          </w:p>
        </w:tc>
      </w:tr>
      <w:tr w:rsidR="00080F69" w:rsidRPr="00BC2CD5" w:rsidTr="00C633DB">
        <w:trPr>
          <w:cantSplit/>
        </w:trPr>
        <w:tc>
          <w:tcPr>
            <w:tcW w:w="3856" w:type="dxa"/>
            <w:gridSpan w:val="2"/>
          </w:tcPr>
          <w:p w:rsidR="00080F69" w:rsidRPr="00A902FB" w:rsidRDefault="00080F69" w:rsidP="003A1BD9">
            <w:pPr>
              <w:pStyle w:val="Tindent"/>
              <w:rPr>
                <w:rFonts w:ascii="Arial" w:hAnsi="Arial" w:cs="Arial"/>
                <w:sz w:val="19"/>
                <w:szCs w:val="19"/>
              </w:rPr>
            </w:pPr>
            <w:r w:rsidRPr="00A902FB">
              <w:rPr>
                <w:rFonts w:ascii="Arial" w:hAnsi="Arial" w:cs="Arial"/>
                <w:sz w:val="19"/>
                <w:szCs w:val="19"/>
              </w:rPr>
              <w:t xml:space="preserve">Retained </w:t>
            </w:r>
            <w:r w:rsidR="00B15A1E" w:rsidRPr="00A902FB">
              <w:rPr>
                <w:rFonts w:ascii="Arial" w:hAnsi="Arial" w:cs="Arial"/>
                <w:sz w:val="19"/>
                <w:szCs w:val="19"/>
              </w:rPr>
              <w:t>surplus</w:t>
            </w:r>
            <w:r w:rsidRPr="00A902FB">
              <w:rPr>
                <w:rFonts w:ascii="Arial" w:hAnsi="Arial" w:cs="Arial"/>
                <w:sz w:val="19"/>
                <w:szCs w:val="19"/>
              </w:rPr>
              <w:t xml:space="preserve"> for the year</w:t>
            </w:r>
          </w:p>
        </w:tc>
        <w:tc>
          <w:tcPr>
            <w:tcW w:w="1106" w:type="dxa"/>
          </w:tcPr>
          <w:p w:rsidR="00080F69" w:rsidRPr="00A902FB" w:rsidRDefault="00080F69" w:rsidP="003A1BD9">
            <w:pPr>
              <w:pStyle w:val="Tdec"/>
              <w:rPr>
                <w:rFonts w:ascii="Arial" w:hAnsi="Arial" w:cs="Arial"/>
                <w:sz w:val="19"/>
                <w:szCs w:val="19"/>
              </w:rPr>
            </w:pPr>
          </w:p>
        </w:tc>
        <w:tc>
          <w:tcPr>
            <w:tcW w:w="878" w:type="dxa"/>
          </w:tcPr>
          <w:p w:rsidR="00080F69" w:rsidRPr="00A902FB" w:rsidRDefault="00080F69" w:rsidP="003A1BD9">
            <w:pPr>
              <w:pStyle w:val="Tdec"/>
              <w:rPr>
                <w:rFonts w:ascii="Arial" w:hAnsi="Arial" w:cs="Arial"/>
                <w:sz w:val="19"/>
                <w:szCs w:val="19"/>
              </w:rPr>
            </w:pPr>
          </w:p>
        </w:tc>
        <w:tc>
          <w:tcPr>
            <w:tcW w:w="1390" w:type="dxa"/>
          </w:tcPr>
          <w:p w:rsidR="00080F69" w:rsidRPr="00BC2CD5" w:rsidRDefault="00BC2CD5" w:rsidP="003A1BD9">
            <w:pPr>
              <w:pStyle w:val="Tdec"/>
              <w:rPr>
                <w:rFonts w:ascii="Arial" w:hAnsi="Arial" w:cs="Arial"/>
                <w:sz w:val="19"/>
                <w:szCs w:val="19"/>
              </w:rPr>
            </w:pPr>
            <w:r w:rsidRPr="00BC2CD5">
              <w:rPr>
                <w:rFonts w:ascii="Arial" w:hAnsi="Arial" w:cs="Arial"/>
                <w:sz w:val="19"/>
                <w:szCs w:val="19"/>
              </w:rPr>
              <w:t>1,682</w:t>
            </w:r>
          </w:p>
        </w:tc>
        <w:tc>
          <w:tcPr>
            <w:tcW w:w="1134" w:type="dxa"/>
          </w:tcPr>
          <w:p w:rsidR="00080F69" w:rsidRPr="00BC2CD5" w:rsidRDefault="00A902FB" w:rsidP="003A1BD9">
            <w:pPr>
              <w:pStyle w:val="Tdec"/>
              <w:rPr>
                <w:rFonts w:ascii="Arial" w:hAnsi="Arial" w:cs="Arial"/>
                <w:sz w:val="19"/>
                <w:szCs w:val="19"/>
              </w:rPr>
            </w:pPr>
            <w:r w:rsidRPr="00BC2CD5">
              <w:rPr>
                <w:rFonts w:ascii="Arial" w:hAnsi="Arial" w:cs="Arial"/>
                <w:sz w:val="19"/>
                <w:szCs w:val="19"/>
              </w:rPr>
              <w:t>30</w:t>
            </w:r>
          </w:p>
        </w:tc>
        <w:tc>
          <w:tcPr>
            <w:tcW w:w="1134" w:type="dxa"/>
          </w:tcPr>
          <w:p w:rsidR="00080F69" w:rsidRPr="00BC2CD5" w:rsidRDefault="00A902FB" w:rsidP="003A1BD9">
            <w:pPr>
              <w:pStyle w:val="Tdec"/>
              <w:rPr>
                <w:rFonts w:ascii="Arial" w:hAnsi="Arial" w:cs="Arial"/>
                <w:sz w:val="19"/>
                <w:szCs w:val="19"/>
              </w:rPr>
            </w:pPr>
            <w:r w:rsidRPr="00BC2CD5">
              <w:rPr>
                <w:rFonts w:ascii="Arial" w:hAnsi="Arial" w:cs="Arial"/>
                <w:sz w:val="19"/>
                <w:szCs w:val="19"/>
              </w:rPr>
              <w:t>1,</w:t>
            </w:r>
            <w:r w:rsidR="00BC2CD5" w:rsidRPr="00BC2CD5">
              <w:rPr>
                <w:rFonts w:ascii="Arial" w:hAnsi="Arial" w:cs="Arial"/>
                <w:sz w:val="19"/>
                <w:szCs w:val="19"/>
              </w:rPr>
              <w:t>712</w:t>
            </w:r>
          </w:p>
        </w:tc>
      </w:tr>
      <w:tr w:rsidR="00080F69" w:rsidRPr="00BC2CD5" w:rsidTr="00C633DB">
        <w:trPr>
          <w:cantSplit/>
        </w:trPr>
        <w:tc>
          <w:tcPr>
            <w:tcW w:w="3856" w:type="dxa"/>
            <w:gridSpan w:val="2"/>
          </w:tcPr>
          <w:p w:rsidR="00080F69" w:rsidRPr="00A902FB" w:rsidRDefault="00A902FB" w:rsidP="003A1BD9">
            <w:pPr>
              <w:pStyle w:val="Tindent"/>
              <w:rPr>
                <w:rFonts w:ascii="Arial" w:hAnsi="Arial" w:cs="Arial"/>
                <w:sz w:val="19"/>
                <w:szCs w:val="19"/>
              </w:rPr>
            </w:pPr>
            <w:r w:rsidRPr="00A902FB">
              <w:rPr>
                <w:rFonts w:ascii="Arial" w:hAnsi="Arial" w:cs="Arial"/>
                <w:sz w:val="19"/>
                <w:szCs w:val="19"/>
              </w:rPr>
              <w:t>Actuarial loss</w:t>
            </w:r>
            <w:r w:rsidR="00080F69" w:rsidRPr="00A902FB">
              <w:rPr>
                <w:rFonts w:ascii="Arial" w:hAnsi="Arial" w:cs="Arial"/>
                <w:sz w:val="19"/>
                <w:szCs w:val="19"/>
              </w:rPr>
              <w:t xml:space="preserve"> recognised in the pension scheme</w:t>
            </w:r>
          </w:p>
        </w:tc>
        <w:tc>
          <w:tcPr>
            <w:tcW w:w="1106" w:type="dxa"/>
          </w:tcPr>
          <w:p w:rsidR="00080F69" w:rsidRPr="00A902FB" w:rsidRDefault="00080F69" w:rsidP="003A1BD9">
            <w:pPr>
              <w:pStyle w:val="Tdec"/>
              <w:rPr>
                <w:rFonts w:ascii="Arial" w:hAnsi="Arial" w:cs="Arial"/>
                <w:sz w:val="19"/>
                <w:szCs w:val="19"/>
              </w:rPr>
            </w:pPr>
          </w:p>
        </w:tc>
        <w:tc>
          <w:tcPr>
            <w:tcW w:w="878" w:type="dxa"/>
          </w:tcPr>
          <w:p w:rsidR="00080F69" w:rsidRPr="00A902FB" w:rsidRDefault="00080F69" w:rsidP="003A1BD9">
            <w:pPr>
              <w:pStyle w:val="Tdec"/>
              <w:rPr>
                <w:rFonts w:ascii="Arial" w:hAnsi="Arial" w:cs="Arial"/>
                <w:sz w:val="19"/>
                <w:szCs w:val="19"/>
              </w:rPr>
            </w:pPr>
          </w:p>
        </w:tc>
        <w:tc>
          <w:tcPr>
            <w:tcW w:w="1390" w:type="dxa"/>
          </w:tcPr>
          <w:p w:rsidR="00080F69" w:rsidRPr="00BC2CD5" w:rsidRDefault="005300DC" w:rsidP="003A1BD9">
            <w:pPr>
              <w:pStyle w:val="Tdec"/>
              <w:rPr>
                <w:rFonts w:ascii="Arial" w:hAnsi="Arial" w:cs="Arial"/>
                <w:sz w:val="19"/>
                <w:szCs w:val="19"/>
              </w:rPr>
            </w:pPr>
            <w:r w:rsidRPr="00BC2CD5">
              <w:rPr>
                <w:rFonts w:ascii="Arial" w:hAnsi="Arial" w:cs="Arial"/>
                <w:sz w:val="19"/>
                <w:szCs w:val="19"/>
              </w:rPr>
              <w:t>0</w:t>
            </w:r>
          </w:p>
        </w:tc>
        <w:tc>
          <w:tcPr>
            <w:tcW w:w="1134" w:type="dxa"/>
          </w:tcPr>
          <w:p w:rsidR="00080F69" w:rsidRPr="00BC2CD5" w:rsidRDefault="00A902FB" w:rsidP="003A1BD9">
            <w:pPr>
              <w:pStyle w:val="Tdec"/>
              <w:rPr>
                <w:rFonts w:ascii="Arial" w:hAnsi="Arial" w:cs="Arial"/>
                <w:sz w:val="19"/>
                <w:szCs w:val="19"/>
              </w:rPr>
            </w:pPr>
            <w:r w:rsidRPr="00BC2CD5">
              <w:rPr>
                <w:rFonts w:ascii="Arial" w:hAnsi="Arial" w:cs="Arial"/>
                <w:sz w:val="19"/>
                <w:szCs w:val="19"/>
              </w:rPr>
              <w:t>(1,910)</w:t>
            </w:r>
          </w:p>
        </w:tc>
        <w:tc>
          <w:tcPr>
            <w:tcW w:w="1134" w:type="dxa"/>
          </w:tcPr>
          <w:p w:rsidR="00080F69" w:rsidRPr="00BC2CD5" w:rsidRDefault="00A902FB" w:rsidP="003A1BD9">
            <w:pPr>
              <w:pStyle w:val="Tdec"/>
              <w:rPr>
                <w:rFonts w:ascii="Arial" w:hAnsi="Arial" w:cs="Arial"/>
                <w:sz w:val="19"/>
                <w:szCs w:val="19"/>
              </w:rPr>
            </w:pPr>
            <w:r w:rsidRPr="00BC2CD5">
              <w:rPr>
                <w:rFonts w:ascii="Arial" w:hAnsi="Arial" w:cs="Arial"/>
                <w:sz w:val="19"/>
                <w:szCs w:val="19"/>
              </w:rPr>
              <w:t>(1,910)</w:t>
            </w:r>
          </w:p>
        </w:tc>
      </w:tr>
      <w:tr w:rsidR="00C633DB" w:rsidRPr="00BC2CD5" w:rsidTr="00C633DB">
        <w:trPr>
          <w:cantSplit/>
        </w:trPr>
        <w:tc>
          <w:tcPr>
            <w:tcW w:w="3856" w:type="dxa"/>
            <w:gridSpan w:val="2"/>
          </w:tcPr>
          <w:p w:rsidR="00C633DB" w:rsidRPr="00A902FB" w:rsidRDefault="00C633DB" w:rsidP="003A1BD9">
            <w:pPr>
              <w:pStyle w:val="Tindent"/>
              <w:rPr>
                <w:rFonts w:ascii="Arial" w:hAnsi="Arial" w:cs="Arial"/>
                <w:sz w:val="19"/>
                <w:szCs w:val="19"/>
              </w:rPr>
            </w:pPr>
          </w:p>
        </w:tc>
        <w:tc>
          <w:tcPr>
            <w:tcW w:w="1106" w:type="dxa"/>
          </w:tcPr>
          <w:p w:rsidR="00C633DB" w:rsidRPr="00A902FB" w:rsidRDefault="00C633DB" w:rsidP="003A1BD9">
            <w:pPr>
              <w:pStyle w:val="Tdec"/>
              <w:rPr>
                <w:rFonts w:ascii="Arial" w:hAnsi="Arial" w:cs="Arial"/>
                <w:sz w:val="19"/>
                <w:szCs w:val="19"/>
              </w:rPr>
            </w:pPr>
          </w:p>
        </w:tc>
        <w:tc>
          <w:tcPr>
            <w:tcW w:w="878" w:type="dxa"/>
          </w:tcPr>
          <w:p w:rsidR="00C633DB" w:rsidRPr="00A902FB" w:rsidRDefault="00C633DB" w:rsidP="003A1BD9">
            <w:pPr>
              <w:pStyle w:val="Tdec"/>
              <w:rPr>
                <w:rFonts w:ascii="Arial" w:hAnsi="Arial" w:cs="Arial"/>
                <w:sz w:val="19"/>
                <w:szCs w:val="19"/>
              </w:rPr>
            </w:pPr>
          </w:p>
        </w:tc>
        <w:tc>
          <w:tcPr>
            <w:tcW w:w="1390" w:type="dxa"/>
          </w:tcPr>
          <w:p w:rsidR="00C633DB" w:rsidRPr="00BC2CD5" w:rsidRDefault="00C633DB" w:rsidP="00E323BE">
            <w:pPr>
              <w:pStyle w:val="S9"/>
              <w:spacing w:line="240" w:lineRule="auto"/>
              <w:rPr>
                <w:rFonts w:ascii="Arial" w:hAnsi="Arial" w:cs="Arial"/>
                <w:sz w:val="19"/>
                <w:szCs w:val="19"/>
              </w:rPr>
            </w:pPr>
          </w:p>
        </w:tc>
        <w:tc>
          <w:tcPr>
            <w:tcW w:w="1134" w:type="dxa"/>
          </w:tcPr>
          <w:p w:rsidR="00C633DB" w:rsidRPr="00BC2CD5" w:rsidRDefault="00C633DB" w:rsidP="00E323BE">
            <w:pPr>
              <w:pStyle w:val="S9"/>
              <w:spacing w:line="240" w:lineRule="auto"/>
              <w:rPr>
                <w:rFonts w:ascii="Arial" w:hAnsi="Arial" w:cs="Arial"/>
                <w:sz w:val="19"/>
                <w:szCs w:val="19"/>
              </w:rPr>
            </w:pPr>
          </w:p>
        </w:tc>
        <w:tc>
          <w:tcPr>
            <w:tcW w:w="1134" w:type="dxa"/>
          </w:tcPr>
          <w:p w:rsidR="00C633DB" w:rsidRPr="00BC2CD5" w:rsidRDefault="00C633DB" w:rsidP="003A1BD9">
            <w:pPr>
              <w:pStyle w:val="S9"/>
              <w:spacing w:line="240" w:lineRule="auto"/>
              <w:rPr>
                <w:rFonts w:ascii="Arial" w:hAnsi="Arial" w:cs="Arial"/>
                <w:sz w:val="19"/>
                <w:szCs w:val="19"/>
              </w:rPr>
            </w:pPr>
          </w:p>
        </w:tc>
      </w:tr>
      <w:tr w:rsidR="00080F69" w:rsidRPr="00BC2CD5" w:rsidTr="00C633DB">
        <w:trPr>
          <w:cantSplit/>
        </w:trPr>
        <w:tc>
          <w:tcPr>
            <w:tcW w:w="3856" w:type="dxa"/>
            <w:gridSpan w:val="2"/>
          </w:tcPr>
          <w:p w:rsidR="00080F69" w:rsidRPr="00A902FB" w:rsidRDefault="00080F69" w:rsidP="003A1BD9">
            <w:pPr>
              <w:pStyle w:val="Tindent"/>
              <w:rPr>
                <w:rFonts w:ascii="Arial" w:hAnsi="Arial" w:cs="Arial"/>
                <w:sz w:val="19"/>
                <w:szCs w:val="19"/>
              </w:rPr>
            </w:pPr>
          </w:p>
        </w:tc>
        <w:tc>
          <w:tcPr>
            <w:tcW w:w="1106" w:type="dxa"/>
          </w:tcPr>
          <w:p w:rsidR="00080F69" w:rsidRPr="00A902FB" w:rsidRDefault="00080F69" w:rsidP="003A1BD9">
            <w:pPr>
              <w:pStyle w:val="Tdec"/>
              <w:rPr>
                <w:rFonts w:ascii="Arial" w:hAnsi="Arial" w:cs="Arial"/>
                <w:sz w:val="19"/>
                <w:szCs w:val="19"/>
              </w:rPr>
            </w:pPr>
          </w:p>
        </w:tc>
        <w:tc>
          <w:tcPr>
            <w:tcW w:w="878" w:type="dxa"/>
          </w:tcPr>
          <w:p w:rsidR="00080F69" w:rsidRPr="00A902FB" w:rsidRDefault="00080F69" w:rsidP="003A1BD9">
            <w:pPr>
              <w:pStyle w:val="Tdec"/>
              <w:rPr>
                <w:rFonts w:ascii="Arial" w:hAnsi="Arial" w:cs="Arial"/>
                <w:sz w:val="19"/>
                <w:szCs w:val="19"/>
              </w:rPr>
            </w:pPr>
          </w:p>
        </w:tc>
        <w:tc>
          <w:tcPr>
            <w:tcW w:w="1390" w:type="dxa"/>
          </w:tcPr>
          <w:p w:rsidR="00080F69" w:rsidRPr="00BC2CD5" w:rsidRDefault="00A902FB" w:rsidP="003A1BD9">
            <w:pPr>
              <w:pStyle w:val="Tdec"/>
              <w:rPr>
                <w:rFonts w:ascii="Arial" w:hAnsi="Arial" w:cs="Arial"/>
                <w:sz w:val="19"/>
                <w:szCs w:val="19"/>
              </w:rPr>
            </w:pPr>
            <w:r w:rsidRPr="00BC2CD5">
              <w:rPr>
                <w:rFonts w:ascii="Arial" w:hAnsi="Arial" w:cs="Arial"/>
                <w:sz w:val="19"/>
                <w:szCs w:val="19"/>
              </w:rPr>
              <w:t>1,</w:t>
            </w:r>
            <w:r w:rsidR="00BC2CD5" w:rsidRPr="00BC2CD5">
              <w:rPr>
                <w:rFonts w:ascii="Arial" w:hAnsi="Arial" w:cs="Arial"/>
                <w:sz w:val="19"/>
                <w:szCs w:val="19"/>
              </w:rPr>
              <w:t>706</w:t>
            </w:r>
          </w:p>
        </w:tc>
        <w:tc>
          <w:tcPr>
            <w:tcW w:w="1134" w:type="dxa"/>
          </w:tcPr>
          <w:p w:rsidR="00080F69" w:rsidRPr="00BC2CD5" w:rsidRDefault="00A902FB" w:rsidP="003A1BD9">
            <w:pPr>
              <w:pStyle w:val="Tdec"/>
              <w:rPr>
                <w:rFonts w:ascii="Arial" w:hAnsi="Arial" w:cs="Arial"/>
                <w:sz w:val="19"/>
                <w:szCs w:val="19"/>
              </w:rPr>
            </w:pPr>
            <w:r w:rsidRPr="00BC2CD5">
              <w:rPr>
                <w:rFonts w:ascii="Arial" w:hAnsi="Arial" w:cs="Arial"/>
                <w:sz w:val="19"/>
                <w:szCs w:val="19"/>
              </w:rPr>
              <w:t>(7,080</w:t>
            </w:r>
            <w:r w:rsidR="00C633DB" w:rsidRPr="00BC2CD5">
              <w:rPr>
                <w:rFonts w:ascii="Arial" w:hAnsi="Arial" w:cs="Arial"/>
                <w:sz w:val="19"/>
                <w:szCs w:val="19"/>
              </w:rPr>
              <w:t>)</w:t>
            </w:r>
          </w:p>
        </w:tc>
        <w:tc>
          <w:tcPr>
            <w:tcW w:w="1134" w:type="dxa"/>
          </w:tcPr>
          <w:p w:rsidR="00080F69" w:rsidRPr="00BC2CD5" w:rsidRDefault="00AF2A52" w:rsidP="003A1BD9">
            <w:pPr>
              <w:pStyle w:val="Tdec"/>
              <w:rPr>
                <w:rFonts w:ascii="Arial" w:hAnsi="Arial" w:cs="Arial"/>
                <w:sz w:val="19"/>
                <w:szCs w:val="19"/>
              </w:rPr>
            </w:pPr>
            <w:r w:rsidRPr="00BC2CD5">
              <w:rPr>
                <w:rFonts w:ascii="Arial" w:hAnsi="Arial" w:cs="Arial"/>
                <w:sz w:val="19"/>
                <w:szCs w:val="19"/>
              </w:rPr>
              <w:t>(</w:t>
            </w:r>
            <w:r w:rsidR="00BC2CD5" w:rsidRPr="00BC2CD5">
              <w:rPr>
                <w:rFonts w:ascii="Arial" w:hAnsi="Arial" w:cs="Arial"/>
                <w:sz w:val="19"/>
                <w:szCs w:val="19"/>
              </w:rPr>
              <w:t>5,374</w:t>
            </w:r>
            <w:r w:rsidRPr="00BC2CD5">
              <w:rPr>
                <w:rFonts w:ascii="Arial" w:hAnsi="Arial" w:cs="Arial"/>
                <w:sz w:val="19"/>
                <w:szCs w:val="19"/>
              </w:rPr>
              <w:t>)</w:t>
            </w:r>
          </w:p>
        </w:tc>
      </w:tr>
      <w:tr w:rsidR="00C633DB" w:rsidRPr="00C46A29" w:rsidTr="00C633DB">
        <w:trPr>
          <w:cantSplit/>
        </w:trPr>
        <w:tc>
          <w:tcPr>
            <w:tcW w:w="3856" w:type="dxa"/>
            <w:gridSpan w:val="2"/>
          </w:tcPr>
          <w:p w:rsidR="00C633DB" w:rsidRPr="00A902FB" w:rsidRDefault="00C633DB" w:rsidP="003A1BD9">
            <w:pPr>
              <w:pStyle w:val="Tindent"/>
              <w:rPr>
                <w:rFonts w:ascii="Arial" w:hAnsi="Arial" w:cs="Arial"/>
                <w:sz w:val="19"/>
                <w:szCs w:val="19"/>
              </w:rPr>
            </w:pPr>
          </w:p>
        </w:tc>
        <w:tc>
          <w:tcPr>
            <w:tcW w:w="1106" w:type="dxa"/>
          </w:tcPr>
          <w:p w:rsidR="00C633DB" w:rsidRPr="00A902FB" w:rsidRDefault="00C633DB" w:rsidP="003A1BD9">
            <w:pPr>
              <w:pStyle w:val="Tdec"/>
              <w:rPr>
                <w:rFonts w:ascii="Arial" w:hAnsi="Arial" w:cs="Arial"/>
                <w:sz w:val="19"/>
                <w:szCs w:val="19"/>
              </w:rPr>
            </w:pPr>
          </w:p>
        </w:tc>
        <w:tc>
          <w:tcPr>
            <w:tcW w:w="878" w:type="dxa"/>
          </w:tcPr>
          <w:p w:rsidR="00C633DB" w:rsidRPr="00A902FB" w:rsidRDefault="00C633DB" w:rsidP="003A1BD9">
            <w:pPr>
              <w:pStyle w:val="Tdec"/>
              <w:rPr>
                <w:rFonts w:ascii="Arial" w:hAnsi="Arial" w:cs="Arial"/>
                <w:sz w:val="19"/>
                <w:szCs w:val="19"/>
              </w:rPr>
            </w:pPr>
          </w:p>
        </w:tc>
        <w:tc>
          <w:tcPr>
            <w:tcW w:w="1390" w:type="dxa"/>
          </w:tcPr>
          <w:p w:rsidR="00C633DB" w:rsidRPr="00A902FB" w:rsidRDefault="00C633DB" w:rsidP="00E323BE">
            <w:pPr>
              <w:pStyle w:val="D9"/>
              <w:spacing w:line="240" w:lineRule="auto"/>
              <w:rPr>
                <w:rFonts w:ascii="Arial" w:hAnsi="Arial" w:cs="Arial"/>
                <w:sz w:val="19"/>
                <w:szCs w:val="19"/>
              </w:rPr>
            </w:pPr>
          </w:p>
        </w:tc>
        <w:tc>
          <w:tcPr>
            <w:tcW w:w="1134" w:type="dxa"/>
          </w:tcPr>
          <w:p w:rsidR="00C633DB" w:rsidRPr="00A902FB" w:rsidRDefault="00C633DB" w:rsidP="00E323BE">
            <w:pPr>
              <w:pStyle w:val="D9"/>
              <w:spacing w:line="240" w:lineRule="auto"/>
              <w:rPr>
                <w:rFonts w:ascii="Arial" w:hAnsi="Arial" w:cs="Arial"/>
                <w:sz w:val="19"/>
                <w:szCs w:val="19"/>
              </w:rPr>
            </w:pPr>
          </w:p>
        </w:tc>
        <w:tc>
          <w:tcPr>
            <w:tcW w:w="1134" w:type="dxa"/>
          </w:tcPr>
          <w:p w:rsidR="00C633DB" w:rsidRPr="00A902FB" w:rsidRDefault="00C633DB" w:rsidP="003A1BD9">
            <w:pPr>
              <w:pStyle w:val="D9"/>
              <w:spacing w:line="240" w:lineRule="auto"/>
              <w:rPr>
                <w:rFonts w:ascii="Arial" w:hAnsi="Arial" w:cs="Arial"/>
                <w:sz w:val="19"/>
                <w:szCs w:val="19"/>
              </w:rPr>
            </w:pPr>
          </w:p>
        </w:tc>
      </w:tr>
    </w:tbl>
    <w:p w:rsidR="000B47DB" w:rsidRPr="0090555D" w:rsidRDefault="003517C6" w:rsidP="003517C6">
      <w:pPr>
        <w:pStyle w:val="Heading1"/>
        <w:numPr>
          <w:ilvl w:val="0"/>
          <w:numId w:val="0"/>
        </w:numPr>
        <w:rPr>
          <w:rFonts w:ascii="Arial" w:hAnsi="Arial" w:cs="Arial"/>
          <w:sz w:val="24"/>
          <w:szCs w:val="24"/>
        </w:rPr>
      </w:pPr>
      <w:bookmarkStart w:id="25" w:name="_Toc390775330"/>
      <w:r>
        <w:rPr>
          <w:rFonts w:ascii="Arial" w:hAnsi="Arial" w:cs="Arial"/>
          <w:caps w:val="0"/>
          <w:sz w:val="24"/>
          <w:szCs w:val="24"/>
        </w:rPr>
        <w:t>17</w:t>
      </w:r>
      <w:r>
        <w:rPr>
          <w:rFonts w:ascii="Arial" w:hAnsi="Arial" w:cs="Arial"/>
          <w:caps w:val="0"/>
          <w:sz w:val="24"/>
          <w:szCs w:val="24"/>
        </w:rPr>
        <w:tab/>
      </w:r>
      <w:r w:rsidR="003B2453" w:rsidRPr="0090555D">
        <w:rPr>
          <w:rFonts w:ascii="Arial" w:hAnsi="Arial" w:cs="Arial"/>
          <w:caps w:val="0"/>
          <w:sz w:val="24"/>
          <w:szCs w:val="24"/>
        </w:rPr>
        <w:t>Reconciliation o</w:t>
      </w:r>
      <w:r w:rsidR="00D77F65" w:rsidRPr="0090555D">
        <w:rPr>
          <w:rFonts w:ascii="Arial" w:hAnsi="Arial" w:cs="Arial"/>
          <w:caps w:val="0"/>
          <w:sz w:val="24"/>
          <w:szCs w:val="24"/>
        </w:rPr>
        <w:t>f Movements i</w:t>
      </w:r>
      <w:r w:rsidR="003B2453" w:rsidRPr="0090555D">
        <w:rPr>
          <w:rFonts w:ascii="Arial" w:hAnsi="Arial" w:cs="Arial"/>
          <w:caps w:val="0"/>
          <w:sz w:val="24"/>
          <w:szCs w:val="24"/>
        </w:rPr>
        <w:t>n Shareholders’ Funds</w:t>
      </w:r>
      <w:bookmarkEnd w:id="25"/>
    </w:p>
    <w:tbl>
      <w:tblPr>
        <w:tblW w:w="9498" w:type="dxa"/>
        <w:tblLayout w:type="fixed"/>
        <w:tblCellMar>
          <w:left w:w="28" w:type="dxa"/>
          <w:right w:w="28" w:type="dxa"/>
        </w:tblCellMar>
        <w:tblLook w:val="0000" w:firstRow="0" w:lastRow="0" w:firstColumn="0" w:lastColumn="0" w:noHBand="0" w:noVBand="0"/>
      </w:tblPr>
      <w:tblGrid>
        <w:gridCol w:w="3828"/>
        <w:gridCol w:w="28"/>
        <w:gridCol w:w="1106"/>
        <w:gridCol w:w="1134"/>
        <w:gridCol w:w="1134"/>
        <w:gridCol w:w="1134"/>
        <w:gridCol w:w="1134"/>
      </w:tblGrid>
      <w:tr w:rsidR="00080F69" w:rsidRPr="0090555D" w:rsidTr="00080F69">
        <w:trPr>
          <w:cantSplit/>
        </w:trPr>
        <w:tc>
          <w:tcPr>
            <w:tcW w:w="3828" w:type="dxa"/>
          </w:tcPr>
          <w:p w:rsidR="00080F69" w:rsidRPr="00C46A29" w:rsidRDefault="00080F69" w:rsidP="003A1BD9">
            <w:pPr>
              <w:pStyle w:val="Tindent"/>
              <w:keepLines/>
              <w:rPr>
                <w:rFonts w:ascii="Arial" w:hAnsi="Arial" w:cs="Arial"/>
                <w:b/>
                <w:sz w:val="19"/>
                <w:szCs w:val="19"/>
                <w:highlight w:val="yellow"/>
              </w:rPr>
            </w:pPr>
          </w:p>
        </w:tc>
        <w:tc>
          <w:tcPr>
            <w:tcW w:w="1134" w:type="dxa"/>
            <w:gridSpan w:val="2"/>
          </w:tcPr>
          <w:p w:rsidR="00080F69" w:rsidRPr="00C46A29" w:rsidRDefault="00080F69" w:rsidP="003A1BD9">
            <w:pPr>
              <w:pStyle w:val="Thead"/>
              <w:rPr>
                <w:rFonts w:ascii="Arial" w:hAnsi="Arial" w:cs="Arial"/>
                <w:sz w:val="19"/>
                <w:szCs w:val="19"/>
                <w:highlight w:val="yellow"/>
              </w:rPr>
            </w:pPr>
          </w:p>
        </w:tc>
        <w:tc>
          <w:tcPr>
            <w:tcW w:w="1134" w:type="dxa"/>
          </w:tcPr>
          <w:p w:rsidR="00080F69" w:rsidRPr="00C46A29" w:rsidRDefault="00080F69" w:rsidP="003A1BD9">
            <w:pPr>
              <w:pStyle w:val="Thead"/>
              <w:rPr>
                <w:rFonts w:ascii="Arial" w:hAnsi="Arial" w:cs="Arial"/>
                <w:sz w:val="19"/>
                <w:szCs w:val="19"/>
                <w:highlight w:val="yellow"/>
              </w:rPr>
            </w:pPr>
          </w:p>
        </w:tc>
        <w:tc>
          <w:tcPr>
            <w:tcW w:w="1134" w:type="dxa"/>
          </w:tcPr>
          <w:p w:rsidR="00080F69" w:rsidRPr="00C46A29" w:rsidRDefault="00080F69" w:rsidP="003A1BD9">
            <w:pPr>
              <w:pStyle w:val="Thead"/>
              <w:rPr>
                <w:rFonts w:ascii="Arial" w:hAnsi="Arial" w:cs="Arial"/>
                <w:sz w:val="19"/>
                <w:szCs w:val="19"/>
                <w:highlight w:val="yellow"/>
              </w:rPr>
            </w:pPr>
          </w:p>
        </w:tc>
        <w:tc>
          <w:tcPr>
            <w:tcW w:w="1134" w:type="dxa"/>
          </w:tcPr>
          <w:p w:rsidR="00080F69" w:rsidRPr="00394F58" w:rsidRDefault="0090555D" w:rsidP="003A1BD9">
            <w:pPr>
              <w:pStyle w:val="Thead"/>
              <w:rPr>
                <w:rFonts w:ascii="Arial" w:hAnsi="Arial" w:cs="Arial"/>
                <w:sz w:val="19"/>
                <w:szCs w:val="19"/>
              </w:rPr>
            </w:pPr>
            <w:r w:rsidRPr="00394F58">
              <w:rPr>
                <w:rFonts w:ascii="Arial" w:hAnsi="Arial" w:cs="Arial"/>
                <w:sz w:val="19"/>
                <w:szCs w:val="19"/>
              </w:rPr>
              <w:t>2015</w:t>
            </w:r>
          </w:p>
          <w:p w:rsidR="00080F69" w:rsidRPr="00394F58" w:rsidRDefault="00080F69" w:rsidP="003A1BD9">
            <w:pPr>
              <w:pStyle w:val="Thead"/>
              <w:rPr>
                <w:rFonts w:ascii="Arial" w:hAnsi="Arial" w:cs="Arial"/>
                <w:sz w:val="19"/>
                <w:szCs w:val="19"/>
              </w:rPr>
            </w:pPr>
            <w:r w:rsidRPr="00394F58">
              <w:rPr>
                <w:rFonts w:ascii="Arial" w:hAnsi="Arial" w:cs="Arial"/>
                <w:sz w:val="19"/>
                <w:szCs w:val="19"/>
              </w:rPr>
              <w:t>£000</w:t>
            </w:r>
          </w:p>
        </w:tc>
        <w:tc>
          <w:tcPr>
            <w:tcW w:w="1134" w:type="dxa"/>
          </w:tcPr>
          <w:p w:rsidR="00080F69" w:rsidRPr="0090555D" w:rsidRDefault="00080F69" w:rsidP="003A1BD9">
            <w:pPr>
              <w:pStyle w:val="Thead"/>
              <w:rPr>
                <w:rFonts w:ascii="Arial" w:hAnsi="Arial" w:cs="Arial"/>
                <w:sz w:val="19"/>
                <w:szCs w:val="19"/>
              </w:rPr>
            </w:pPr>
            <w:r w:rsidRPr="0090555D">
              <w:rPr>
                <w:rFonts w:ascii="Arial" w:hAnsi="Arial" w:cs="Arial"/>
                <w:sz w:val="19"/>
                <w:szCs w:val="19"/>
              </w:rPr>
              <w:t>201</w:t>
            </w:r>
            <w:r w:rsidR="0090555D" w:rsidRPr="0090555D">
              <w:rPr>
                <w:rFonts w:ascii="Arial" w:hAnsi="Arial" w:cs="Arial"/>
                <w:sz w:val="19"/>
                <w:szCs w:val="19"/>
              </w:rPr>
              <w:t>4</w:t>
            </w:r>
          </w:p>
          <w:p w:rsidR="00080F69" w:rsidRPr="0090555D" w:rsidRDefault="00080F69" w:rsidP="003A1BD9">
            <w:pPr>
              <w:pStyle w:val="Thead"/>
              <w:rPr>
                <w:rFonts w:ascii="Arial" w:hAnsi="Arial" w:cs="Arial"/>
                <w:sz w:val="19"/>
                <w:szCs w:val="19"/>
              </w:rPr>
            </w:pPr>
            <w:r w:rsidRPr="0090555D">
              <w:rPr>
                <w:rFonts w:ascii="Arial" w:hAnsi="Arial" w:cs="Arial"/>
                <w:sz w:val="19"/>
                <w:szCs w:val="19"/>
              </w:rPr>
              <w:t>£000</w:t>
            </w:r>
          </w:p>
        </w:tc>
      </w:tr>
      <w:tr w:rsidR="00080F69" w:rsidRPr="0090555D" w:rsidTr="00080F69">
        <w:trPr>
          <w:cantSplit/>
        </w:trPr>
        <w:tc>
          <w:tcPr>
            <w:tcW w:w="3828" w:type="dxa"/>
          </w:tcPr>
          <w:p w:rsidR="00080F69" w:rsidRPr="00C46A29" w:rsidRDefault="00080F69" w:rsidP="003A1BD9">
            <w:pPr>
              <w:pStyle w:val="B0"/>
              <w:spacing w:line="240" w:lineRule="auto"/>
              <w:rPr>
                <w:rFonts w:ascii="Arial" w:hAnsi="Arial" w:cs="Arial"/>
                <w:sz w:val="19"/>
                <w:szCs w:val="19"/>
                <w:highlight w:val="yellow"/>
              </w:rPr>
            </w:pPr>
          </w:p>
        </w:tc>
        <w:tc>
          <w:tcPr>
            <w:tcW w:w="1134" w:type="dxa"/>
            <w:gridSpan w:val="2"/>
          </w:tcPr>
          <w:p w:rsidR="00080F69" w:rsidRPr="00C46A29" w:rsidRDefault="00080F69" w:rsidP="003A1BD9">
            <w:pPr>
              <w:pStyle w:val="B0"/>
              <w:spacing w:line="240" w:lineRule="auto"/>
              <w:rPr>
                <w:rFonts w:ascii="Arial" w:hAnsi="Arial" w:cs="Arial"/>
                <w:sz w:val="19"/>
                <w:szCs w:val="19"/>
                <w:highlight w:val="yellow"/>
              </w:rPr>
            </w:pPr>
          </w:p>
        </w:tc>
        <w:tc>
          <w:tcPr>
            <w:tcW w:w="1134" w:type="dxa"/>
          </w:tcPr>
          <w:p w:rsidR="00080F69" w:rsidRPr="00C46A29" w:rsidRDefault="00080F69" w:rsidP="003A1BD9">
            <w:pPr>
              <w:pStyle w:val="B0"/>
              <w:spacing w:line="240" w:lineRule="auto"/>
              <w:rPr>
                <w:rFonts w:ascii="Arial" w:hAnsi="Arial" w:cs="Arial"/>
                <w:sz w:val="19"/>
                <w:szCs w:val="19"/>
                <w:highlight w:val="yellow"/>
              </w:rPr>
            </w:pPr>
          </w:p>
        </w:tc>
        <w:tc>
          <w:tcPr>
            <w:tcW w:w="1134" w:type="dxa"/>
          </w:tcPr>
          <w:p w:rsidR="00080F69" w:rsidRPr="00C46A29" w:rsidRDefault="00080F69" w:rsidP="003A1BD9">
            <w:pPr>
              <w:pStyle w:val="B0"/>
              <w:spacing w:line="240" w:lineRule="auto"/>
              <w:rPr>
                <w:rFonts w:ascii="Arial" w:hAnsi="Arial" w:cs="Arial"/>
                <w:sz w:val="19"/>
                <w:szCs w:val="19"/>
                <w:highlight w:val="yellow"/>
              </w:rPr>
            </w:pPr>
          </w:p>
        </w:tc>
        <w:tc>
          <w:tcPr>
            <w:tcW w:w="1134" w:type="dxa"/>
          </w:tcPr>
          <w:p w:rsidR="00080F69" w:rsidRPr="00BC2CD5" w:rsidRDefault="00080F69" w:rsidP="003A1BD9">
            <w:pPr>
              <w:pStyle w:val="B0"/>
              <w:spacing w:line="240" w:lineRule="auto"/>
              <w:rPr>
                <w:rFonts w:ascii="Arial" w:hAnsi="Arial" w:cs="Arial"/>
                <w:sz w:val="19"/>
                <w:szCs w:val="19"/>
              </w:rPr>
            </w:pPr>
          </w:p>
        </w:tc>
        <w:tc>
          <w:tcPr>
            <w:tcW w:w="1134" w:type="dxa"/>
          </w:tcPr>
          <w:p w:rsidR="00080F69" w:rsidRPr="0090555D" w:rsidRDefault="00080F69" w:rsidP="003A1BD9">
            <w:pPr>
              <w:pStyle w:val="B0"/>
              <w:spacing w:line="240" w:lineRule="auto"/>
              <w:rPr>
                <w:rFonts w:ascii="Arial" w:hAnsi="Arial" w:cs="Arial"/>
                <w:sz w:val="19"/>
                <w:szCs w:val="19"/>
              </w:rPr>
            </w:pPr>
          </w:p>
        </w:tc>
      </w:tr>
      <w:tr w:rsidR="00080F69" w:rsidRPr="0090555D" w:rsidTr="00080F69">
        <w:trPr>
          <w:cantSplit/>
        </w:trPr>
        <w:tc>
          <w:tcPr>
            <w:tcW w:w="3856" w:type="dxa"/>
            <w:gridSpan w:val="2"/>
          </w:tcPr>
          <w:p w:rsidR="00080F69" w:rsidRPr="0090555D" w:rsidRDefault="00723DFA" w:rsidP="003A1BD9">
            <w:pPr>
              <w:pStyle w:val="Tindent"/>
              <w:rPr>
                <w:rFonts w:ascii="Arial" w:hAnsi="Arial" w:cs="Arial"/>
                <w:sz w:val="19"/>
                <w:szCs w:val="19"/>
              </w:rPr>
            </w:pPr>
            <w:r>
              <w:rPr>
                <w:rFonts w:ascii="Arial" w:hAnsi="Arial" w:cs="Arial"/>
                <w:sz w:val="19"/>
                <w:szCs w:val="19"/>
              </w:rPr>
              <w:t xml:space="preserve">Surplus </w:t>
            </w:r>
            <w:r w:rsidR="00143053" w:rsidRPr="0090555D">
              <w:rPr>
                <w:rFonts w:ascii="Arial" w:hAnsi="Arial" w:cs="Arial"/>
                <w:sz w:val="19"/>
                <w:szCs w:val="19"/>
              </w:rPr>
              <w:t>for the financial year</w:t>
            </w:r>
          </w:p>
        </w:tc>
        <w:tc>
          <w:tcPr>
            <w:tcW w:w="1106"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394F58" w:rsidRPr="00BC2CD5" w:rsidRDefault="00394F58" w:rsidP="003A1BD9">
            <w:pPr>
              <w:pStyle w:val="Tdec"/>
              <w:rPr>
                <w:rFonts w:ascii="Arial" w:hAnsi="Arial" w:cs="Arial"/>
                <w:sz w:val="19"/>
                <w:szCs w:val="19"/>
              </w:rPr>
            </w:pPr>
            <w:r w:rsidRPr="00BC2CD5">
              <w:rPr>
                <w:rFonts w:ascii="Arial" w:hAnsi="Arial" w:cs="Arial"/>
                <w:sz w:val="19"/>
                <w:szCs w:val="19"/>
              </w:rPr>
              <w:t>1,</w:t>
            </w:r>
            <w:r w:rsidR="00BC2CD5" w:rsidRPr="00BC2CD5">
              <w:rPr>
                <w:rFonts w:ascii="Arial" w:hAnsi="Arial" w:cs="Arial"/>
                <w:sz w:val="19"/>
                <w:szCs w:val="19"/>
              </w:rPr>
              <w:t>712</w:t>
            </w:r>
          </w:p>
        </w:tc>
        <w:tc>
          <w:tcPr>
            <w:tcW w:w="1134" w:type="dxa"/>
          </w:tcPr>
          <w:p w:rsidR="00080F69" w:rsidRPr="0090555D" w:rsidRDefault="0090555D" w:rsidP="003A1BD9">
            <w:pPr>
              <w:pStyle w:val="Tdec"/>
              <w:rPr>
                <w:rFonts w:ascii="Arial" w:hAnsi="Arial" w:cs="Arial"/>
                <w:sz w:val="19"/>
                <w:szCs w:val="19"/>
              </w:rPr>
            </w:pPr>
            <w:r w:rsidRPr="0090555D">
              <w:rPr>
                <w:rFonts w:ascii="Arial" w:hAnsi="Arial" w:cs="Arial"/>
                <w:sz w:val="19"/>
                <w:szCs w:val="19"/>
              </w:rPr>
              <w:t>483</w:t>
            </w:r>
          </w:p>
        </w:tc>
      </w:tr>
      <w:tr w:rsidR="00143053" w:rsidRPr="0090555D" w:rsidTr="00143053">
        <w:trPr>
          <w:cantSplit/>
        </w:trPr>
        <w:tc>
          <w:tcPr>
            <w:tcW w:w="3856" w:type="dxa"/>
            <w:gridSpan w:val="2"/>
          </w:tcPr>
          <w:p w:rsidR="00143053" w:rsidRPr="0090555D" w:rsidRDefault="00143053" w:rsidP="003A1BD9">
            <w:pPr>
              <w:pStyle w:val="Tindent"/>
              <w:rPr>
                <w:rFonts w:ascii="Arial" w:hAnsi="Arial" w:cs="Arial"/>
                <w:sz w:val="19"/>
                <w:szCs w:val="19"/>
              </w:rPr>
            </w:pPr>
            <w:r w:rsidRPr="0090555D">
              <w:rPr>
                <w:rFonts w:ascii="Arial" w:hAnsi="Arial" w:cs="Arial"/>
                <w:sz w:val="19"/>
                <w:szCs w:val="19"/>
              </w:rPr>
              <w:t xml:space="preserve">Actuarial </w:t>
            </w:r>
            <w:r w:rsidR="00723DFA">
              <w:rPr>
                <w:rFonts w:ascii="Arial" w:hAnsi="Arial" w:cs="Arial"/>
                <w:sz w:val="19"/>
                <w:szCs w:val="19"/>
              </w:rPr>
              <w:t>(losses)/gains</w:t>
            </w:r>
            <w:r w:rsidRPr="0090555D">
              <w:rPr>
                <w:rFonts w:ascii="Arial" w:hAnsi="Arial" w:cs="Arial"/>
                <w:sz w:val="19"/>
                <w:szCs w:val="19"/>
              </w:rPr>
              <w:t xml:space="preserve"> recognised in the pension scheme</w:t>
            </w: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E12474" w:rsidRPr="00BC2CD5" w:rsidRDefault="00E12474" w:rsidP="003A1BD9">
            <w:pPr>
              <w:pStyle w:val="Tdec"/>
              <w:rPr>
                <w:rFonts w:ascii="Arial" w:hAnsi="Arial" w:cs="Arial"/>
                <w:sz w:val="19"/>
                <w:szCs w:val="19"/>
              </w:rPr>
            </w:pPr>
          </w:p>
          <w:p w:rsidR="00143053" w:rsidRPr="00BC2CD5" w:rsidRDefault="00394F58" w:rsidP="003A1BD9">
            <w:pPr>
              <w:pStyle w:val="Tdec"/>
              <w:rPr>
                <w:rFonts w:ascii="Arial" w:hAnsi="Arial" w:cs="Arial"/>
                <w:sz w:val="19"/>
                <w:szCs w:val="19"/>
              </w:rPr>
            </w:pPr>
            <w:r w:rsidRPr="00BC2CD5">
              <w:rPr>
                <w:rFonts w:ascii="Arial" w:hAnsi="Arial" w:cs="Arial"/>
                <w:sz w:val="19"/>
                <w:szCs w:val="19"/>
              </w:rPr>
              <w:t>(1,910)</w:t>
            </w:r>
          </w:p>
        </w:tc>
        <w:tc>
          <w:tcPr>
            <w:tcW w:w="1134" w:type="dxa"/>
          </w:tcPr>
          <w:p w:rsidR="00143053" w:rsidRPr="0090555D" w:rsidRDefault="00143053" w:rsidP="003A1BD9">
            <w:pPr>
              <w:pStyle w:val="Tdec"/>
              <w:rPr>
                <w:rFonts w:ascii="Arial" w:hAnsi="Arial" w:cs="Arial"/>
                <w:sz w:val="19"/>
                <w:szCs w:val="19"/>
              </w:rPr>
            </w:pPr>
          </w:p>
          <w:p w:rsidR="00143053" w:rsidRPr="0090555D" w:rsidRDefault="0090555D" w:rsidP="003A1BD9">
            <w:pPr>
              <w:pStyle w:val="Tdec"/>
              <w:rPr>
                <w:rFonts w:ascii="Arial" w:hAnsi="Arial" w:cs="Arial"/>
                <w:sz w:val="19"/>
                <w:szCs w:val="19"/>
              </w:rPr>
            </w:pPr>
            <w:r w:rsidRPr="0090555D">
              <w:rPr>
                <w:rFonts w:ascii="Arial" w:hAnsi="Arial" w:cs="Arial"/>
                <w:sz w:val="19"/>
                <w:szCs w:val="19"/>
              </w:rPr>
              <w:t>3,270</w:t>
            </w:r>
          </w:p>
        </w:tc>
      </w:tr>
      <w:tr w:rsidR="00143053" w:rsidRPr="0090555D" w:rsidTr="00143053">
        <w:trPr>
          <w:cantSplit/>
        </w:trPr>
        <w:tc>
          <w:tcPr>
            <w:tcW w:w="3856" w:type="dxa"/>
            <w:gridSpan w:val="2"/>
          </w:tcPr>
          <w:p w:rsidR="00143053" w:rsidRPr="0090555D" w:rsidRDefault="00143053" w:rsidP="003A1BD9">
            <w:pPr>
              <w:pStyle w:val="Tindent"/>
              <w:rPr>
                <w:rFonts w:ascii="Arial" w:hAnsi="Arial" w:cs="Arial"/>
                <w:sz w:val="19"/>
                <w:szCs w:val="19"/>
              </w:rPr>
            </w:pP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BC2CD5" w:rsidRDefault="00143053" w:rsidP="003A1BD9">
            <w:pPr>
              <w:pStyle w:val="S9"/>
              <w:spacing w:line="240" w:lineRule="auto"/>
              <w:rPr>
                <w:rFonts w:ascii="Arial" w:hAnsi="Arial" w:cs="Arial"/>
                <w:sz w:val="19"/>
                <w:szCs w:val="19"/>
              </w:rPr>
            </w:pPr>
          </w:p>
        </w:tc>
        <w:tc>
          <w:tcPr>
            <w:tcW w:w="1134" w:type="dxa"/>
          </w:tcPr>
          <w:p w:rsidR="00143053" w:rsidRPr="0090555D" w:rsidRDefault="00143053" w:rsidP="003A1BD9">
            <w:pPr>
              <w:pStyle w:val="S9"/>
              <w:spacing w:line="240" w:lineRule="auto"/>
              <w:rPr>
                <w:rFonts w:ascii="Arial" w:hAnsi="Arial" w:cs="Arial"/>
                <w:sz w:val="19"/>
                <w:szCs w:val="19"/>
              </w:rPr>
            </w:pPr>
          </w:p>
        </w:tc>
      </w:tr>
      <w:tr w:rsidR="00143053" w:rsidRPr="0090555D" w:rsidTr="00143053">
        <w:trPr>
          <w:cantSplit/>
        </w:trPr>
        <w:tc>
          <w:tcPr>
            <w:tcW w:w="3856" w:type="dxa"/>
            <w:gridSpan w:val="2"/>
          </w:tcPr>
          <w:p w:rsidR="00143053" w:rsidRPr="0090555D" w:rsidRDefault="000C5A43" w:rsidP="000C5A43">
            <w:pPr>
              <w:pStyle w:val="Tindent"/>
              <w:rPr>
                <w:rFonts w:ascii="Arial" w:hAnsi="Arial" w:cs="Arial"/>
                <w:sz w:val="19"/>
                <w:szCs w:val="19"/>
              </w:rPr>
            </w:pPr>
            <w:r w:rsidRPr="0090555D">
              <w:rPr>
                <w:rFonts w:ascii="Arial" w:hAnsi="Arial" w:cs="Arial"/>
                <w:sz w:val="19"/>
                <w:szCs w:val="19"/>
              </w:rPr>
              <w:t xml:space="preserve">Net </w:t>
            </w:r>
            <w:r w:rsidR="00723DFA">
              <w:rPr>
                <w:rFonts w:ascii="Arial" w:hAnsi="Arial" w:cs="Arial"/>
                <w:sz w:val="19"/>
                <w:szCs w:val="19"/>
              </w:rPr>
              <w:t>(decrease)/increase</w:t>
            </w:r>
            <w:r w:rsidRPr="0090555D">
              <w:rPr>
                <w:rFonts w:ascii="Arial" w:hAnsi="Arial" w:cs="Arial"/>
                <w:sz w:val="19"/>
                <w:szCs w:val="19"/>
              </w:rPr>
              <w:t xml:space="preserve"> in </w:t>
            </w:r>
            <w:r w:rsidR="00143053" w:rsidRPr="0090555D">
              <w:rPr>
                <w:rFonts w:ascii="Arial" w:hAnsi="Arial" w:cs="Arial"/>
                <w:sz w:val="19"/>
                <w:szCs w:val="19"/>
              </w:rPr>
              <w:t>shareholders’ funds</w:t>
            </w: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BC2CD5" w:rsidRDefault="00BC2CD5" w:rsidP="003A1BD9">
            <w:pPr>
              <w:pStyle w:val="Tdec"/>
              <w:rPr>
                <w:rFonts w:ascii="Arial" w:hAnsi="Arial" w:cs="Arial"/>
                <w:sz w:val="19"/>
                <w:szCs w:val="19"/>
              </w:rPr>
            </w:pPr>
            <w:r w:rsidRPr="00BC2CD5">
              <w:rPr>
                <w:rFonts w:ascii="Arial" w:hAnsi="Arial" w:cs="Arial"/>
                <w:sz w:val="19"/>
                <w:szCs w:val="19"/>
              </w:rPr>
              <w:t>(198</w:t>
            </w:r>
            <w:r w:rsidR="00394F58" w:rsidRPr="00BC2CD5">
              <w:rPr>
                <w:rFonts w:ascii="Arial" w:hAnsi="Arial" w:cs="Arial"/>
                <w:sz w:val="19"/>
                <w:szCs w:val="19"/>
              </w:rPr>
              <w:t>)</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3,753</w:t>
            </w:r>
          </w:p>
        </w:tc>
      </w:tr>
      <w:tr w:rsidR="00080F69" w:rsidRPr="0090555D" w:rsidTr="00080F69">
        <w:trPr>
          <w:cantSplit/>
        </w:trPr>
        <w:tc>
          <w:tcPr>
            <w:tcW w:w="3856" w:type="dxa"/>
            <w:gridSpan w:val="2"/>
          </w:tcPr>
          <w:p w:rsidR="00080F69" w:rsidRPr="0090555D" w:rsidRDefault="00143053" w:rsidP="003A1BD9">
            <w:pPr>
              <w:pStyle w:val="Tindent"/>
              <w:rPr>
                <w:rFonts w:ascii="Arial" w:hAnsi="Arial" w:cs="Arial"/>
                <w:sz w:val="19"/>
                <w:szCs w:val="19"/>
              </w:rPr>
            </w:pPr>
            <w:r w:rsidRPr="0090555D">
              <w:rPr>
                <w:rFonts w:ascii="Arial" w:hAnsi="Arial" w:cs="Arial"/>
                <w:sz w:val="19"/>
                <w:szCs w:val="19"/>
              </w:rPr>
              <w:t>Opening shareholders’ deficit</w:t>
            </w:r>
          </w:p>
        </w:tc>
        <w:tc>
          <w:tcPr>
            <w:tcW w:w="1106"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BC2CD5" w:rsidRDefault="00E12474" w:rsidP="003A1BD9">
            <w:pPr>
              <w:pStyle w:val="Tdec"/>
              <w:rPr>
                <w:rFonts w:ascii="Arial" w:hAnsi="Arial" w:cs="Arial"/>
                <w:sz w:val="19"/>
                <w:szCs w:val="19"/>
              </w:rPr>
            </w:pPr>
            <w:r w:rsidRPr="00BC2CD5">
              <w:rPr>
                <w:rFonts w:ascii="Arial" w:hAnsi="Arial" w:cs="Arial"/>
                <w:sz w:val="19"/>
                <w:szCs w:val="19"/>
              </w:rPr>
              <w:t>(</w:t>
            </w:r>
            <w:r w:rsidR="00394F58" w:rsidRPr="00BC2CD5">
              <w:rPr>
                <w:rFonts w:ascii="Arial" w:hAnsi="Arial" w:cs="Arial"/>
                <w:sz w:val="19"/>
                <w:szCs w:val="19"/>
              </w:rPr>
              <w:t>5,176</w:t>
            </w:r>
            <w:r w:rsidRPr="00BC2CD5">
              <w:rPr>
                <w:rFonts w:ascii="Arial" w:hAnsi="Arial" w:cs="Arial"/>
                <w:sz w:val="19"/>
                <w:szCs w:val="19"/>
              </w:rPr>
              <w:t>)</w:t>
            </w:r>
          </w:p>
        </w:tc>
        <w:tc>
          <w:tcPr>
            <w:tcW w:w="1134" w:type="dxa"/>
          </w:tcPr>
          <w:p w:rsidR="00080F69" w:rsidRPr="0090555D" w:rsidRDefault="00143053" w:rsidP="003A1BD9">
            <w:pPr>
              <w:pStyle w:val="Tdec"/>
              <w:rPr>
                <w:rFonts w:ascii="Arial" w:hAnsi="Arial" w:cs="Arial"/>
                <w:sz w:val="19"/>
                <w:szCs w:val="19"/>
              </w:rPr>
            </w:pPr>
            <w:r w:rsidRPr="0090555D">
              <w:rPr>
                <w:rFonts w:ascii="Arial" w:hAnsi="Arial" w:cs="Arial"/>
                <w:sz w:val="19"/>
                <w:szCs w:val="19"/>
              </w:rPr>
              <w:t>(</w:t>
            </w:r>
            <w:r w:rsidR="0090555D" w:rsidRPr="0090555D">
              <w:rPr>
                <w:rFonts w:ascii="Arial" w:hAnsi="Arial" w:cs="Arial"/>
                <w:sz w:val="19"/>
                <w:szCs w:val="19"/>
              </w:rPr>
              <w:t>8,929)</w:t>
            </w:r>
          </w:p>
        </w:tc>
      </w:tr>
      <w:tr w:rsidR="00143053" w:rsidRPr="0090555D" w:rsidTr="00143053">
        <w:trPr>
          <w:cantSplit/>
        </w:trPr>
        <w:tc>
          <w:tcPr>
            <w:tcW w:w="3856" w:type="dxa"/>
            <w:gridSpan w:val="2"/>
          </w:tcPr>
          <w:p w:rsidR="00143053" w:rsidRPr="0090555D" w:rsidRDefault="00143053" w:rsidP="003A1BD9">
            <w:pPr>
              <w:pStyle w:val="Tindent"/>
              <w:rPr>
                <w:rFonts w:ascii="Arial" w:hAnsi="Arial" w:cs="Arial"/>
                <w:sz w:val="19"/>
                <w:szCs w:val="19"/>
              </w:rPr>
            </w:pP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BC2CD5" w:rsidRDefault="00143053" w:rsidP="003A1BD9">
            <w:pPr>
              <w:pStyle w:val="S9"/>
              <w:spacing w:line="240" w:lineRule="auto"/>
              <w:rPr>
                <w:rFonts w:ascii="Arial" w:hAnsi="Arial" w:cs="Arial"/>
                <w:sz w:val="19"/>
                <w:szCs w:val="19"/>
              </w:rPr>
            </w:pPr>
          </w:p>
        </w:tc>
        <w:tc>
          <w:tcPr>
            <w:tcW w:w="1134" w:type="dxa"/>
          </w:tcPr>
          <w:p w:rsidR="00143053" w:rsidRPr="0090555D" w:rsidRDefault="00143053" w:rsidP="003A1BD9">
            <w:pPr>
              <w:pStyle w:val="S9"/>
              <w:spacing w:line="240" w:lineRule="auto"/>
              <w:rPr>
                <w:rFonts w:ascii="Arial" w:hAnsi="Arial" w:cs="Arial"/>
                <w:sz w:val="19"/>
                <w:szCs w:val="19"/>
              </w:rPr>
            </w:pPr>
          </w:p>
        </w:tc>
      </w:tr>
      <w:tr w:rsidR="00080F69" w:rsidRPr="0090555D" w:rsidTr="00080F69">
        <w:trPr>
          <w:cantSplit/>
        </w:trPr>
        <w:tc>
          <w:tcPr>
            <w:tcW w:w="3856" w:type="dxa"/>
            <w:gridSpan w:val="2"/>
          </w:tcPr>
          <w:p w:rsidR="00080F69" w:rsidRPr="0090555D" w:rsidRDefault="00143053" w:rsidP="003A1BD9">
            <w:pPr>
              <w:pStyle w:val="Tindent"/>
              <w:rPr>
                <w:rFonts w:ascii="Arial" w:hAnsi="Arial" w:cs="Arial"/>
                <w:sz w:val="19"/>
                <w:szCs w:val="19"/>
              </w:rPr>
            </w:pPr>
            <w:r w:rsidRPr="0090555D">
              <w:rPr>
                <w:rFonts w:ascii="Arial" w:hAnsi="Arial" w:cs="Arial"/>
                <w:sz w:val="19"/>
                <w:szCs w:val="19"/>
              </w:rPr>
              <w:t>Closing shareholders’ deficit</w:t>
            </w:r>
          </w:p>
        </w:tc>
        <w:tc>
          <w:tcPr>
            <w:tcW w:w="1106"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C46A29" w:rsidRDefault="00080F69" w:rsidP="003A1BD9">
            <w:pPr>
              <w:pStyle w:val="Tdec"/>
              <w:rPr>
                <w:rFonts w:ascii="Arial" w:hAnsi="Arial" w:cs="Arial"/>
                <w:sz w:val="19"/>
                <w:szCs w:val="19"/>
                <w:highlight w:val="yellow"/>
              </w:rPr>
            </w:pPr>
          </w:p>
        </w:tc>
        <w:tc>
          <w:tcPr>
            <w:tcW w:w="1134" w:type="dxa"/>
          </w:tcPr>
          <w:p w:rsidR="00080F69" w:rsidRPr="00BC2CD5" w:rsidRDefault="00AF2A52" w:rsidP="003A1BD9">
            <w:pPr>
              <w:pStyle w:val="Tdec"/>
              <w:rPr>
                <w:rFonts w:ascii="Arial" w:hAnsi="Arial" w:cs="Arial"/>
                <w:sz w:val="19"/>
                <w:szCs w:val="19"/>
              </w:rPr>
            </w:pPr>
            <w:r w:rsidRPr="00BC2CD5">
              <w:rPr>
                <w:rFonts w:ascii="Arial" w:hAnsi="Arial" w:cs="Arial"/>
                <w:sz w:val="19"/>
                <w:szCs w:val="19"/>
              </w:rPr>
              <w:t>(</w:t>
            </w:r>
            <w:r w:rsidR="00E12474" w:rsidRPr="00BC2CD5">
              <w:rPr>
                <w:rFonts w:ascii="Arial" w:hAnsi="Arial" w:cs="Arial"/>
                <w:sz w:val="19"/>
                <w:szCs w:val="19"/>
              </w:rPr>
              <w:t>5</w:t>
            </w:r>
            <w:r w:rsidR="00BC2CD5" w:rsidRPr="00BC2CD5">
              <w:rPr>
                <w:rFonts w:ascii="Arial" w:hAnsi="Arial" w:cs="Arial"/>
                <w:sz w:val="19"/>
                <w:szCs w:val="19"/>
              </w:rPr>
              <w:t>,374</w:t>
            </w:r>
            <w:r w:rsidRPr="00BC2CD5">
              <w:rPr>
                <w:rFonts w:ascii="Arial" w:hAnsi="Arial" w:cs="Arial"/>
                <w:sz w:val="19"/>
                <w:szCs w:val="19"/>
              </w:rPr>
              <w:t>)</w:t>
            </w:r>
          </w:p>
        </w:tc>
        <w:tc>
          <w:tcPr>
            <w:tcW w:w="1134" w:type="dxa"/>
          </w:tcPr>
          <w:p w:rsidR="00080F69" w:rsidRPr="0090555D" w:rsidRDefault="0090555D" w:rsidP="003A1BD9">
            <w:pPr>
              <w:pStyle w:val="Tdec"/>
              <w:rPr>
                <w:rFonts w:ascii="Arial" w:hAnsi="Arial" w:cs="Arial"/>
                <w:sz w:val="19"/>
                <w:szCs w:val="19"/>
              </w:rPr>
            </w:pPr>
            <w:r w:rsidRPr="0090555D">
              <w:rPr>
                <w:rFonts w:ascii="Arial" w:hAnsi="Arial" w:cs="Arial"/>
                <w:sz w:val="19"/>
                <w:szCs w:val="19"/>
              </w:rPr>
              <w:t>(5,176</w:t>
            </w:r>
            <w:r w:rsidR="00143053" w:rsidRPr="0090555D">
              <w:rPr>
                <w:rFonts w:ascii="Arial" w:hAnsi="Arial" w:cs="Arial"/>
                <w:sz w:val="19"/>
                <w:szCs w:val="19"/>
              </w:rPr>
              <w:t>)</w:t>
            </w:r>
          </w:p>
        </w:tc>
      </w:tr>
      <w:tr w:rsidR="00080F69" w:rsidRPr="00070D17" w:rsidTr="00080F69">
        <w:trPr>
          <w:cantSplit/>
        </w:trPr>
        <w:tc>
          <w:tcPr>
            <w:tcW w:w="3856" w:type="dxa"/>
            <w:gridSpan w:val="2"/>
          </w:tcPr>
          <w:p w:rsidR="00080F69" w:rsidRPr="00070D17" w:rsidRDefault="00080F69" w:rsidP="003A1BD9">
            <w:pPr>
              <w:pStyle w:val="Tindent"/>
              <w:rPr>
                <w:rFonts w:ascii="Arial" w:hAnsi="Arial" w:cs="Arial"/>
                <w:sz w:val="19"/>
                <w:szCs w:val="19"/>
              </w:rPr>
            </w:pPr>
          </w:p>
        </w:tc>
        <w:tc>
          <w:tcPr>
            <w:tcW w:w="1106" w:type="dxa"/>
          </w:tcPr>
          <w:p w:rsidR="00080F69" w:rsidRPr="00070D17" w:rsidRDefault="00080F69" w:rsidP="003A1BD9">
            <w:pPr>
              <w:pStyle w:val="Tdec"/>
              <w:rPr>
                <w:rFonts w:ascii="Arial" w:hAnsi="Arial" w:cs="Arial"/>
                <w:sz w:val="19"/>
                <w:szCs w:val="19"/>
              </w:rPr>
            </w:pPr>
          </w:p>
        </w:tc>
        <w:tc>
          <w:tcPr>
            <w:tcW w:w="1134" w:type="dxa"/>
          </w:tcPr>
          <w:p w:rsidR="00080F69" w:rsidRPr="00070D17" w:rsidRDefault="00080F69" w:rsidP="003A1BD9">
            <w:pPr>
              <w:pStyle w:val="Tdec"/>
              <w:rPr>
                <w:rFonts w:ascii="Arial" w:hAnsi="Arial" w:cs="Arial"/>
                <w:sz w:val="19"/>
                <w:szCs w:val="19"/>
              </w:rPr>
            </w:pPr>
          </w:p>
        </w:tc>
        <w:tc>
          <w:tcPr>
            <w:tcW w:w="1134" w:type="dxa"/>
          </w:tcPr>
          <w:p w:rsidR="00080F69" w:rsidRPr="00070D17" w:rsidRDefault="00080F69" w:rsidP="003A1BD9">
            <w:pPr>
              <w:pStyle w:val="Tdec"/>
              <w:rPr>
                <w:rFonts w:ascii="Arial" w:hAnsi="Arial" w:cs="Arial"/>
                <w:sz w:val="19"/>
                <w:szCs w:val="19"/>
              </w:rPr>
            </w:pPr>
          </w:p>
        </w:tc>
        <w:tc>
          <w:tcPr>
            <w:tcW w:w="1134" w:type="dxa"/>
          </w:tcPr>
          <w:p w:rsidR="00080F69" w:rsidRPr="00070D17" w:rsidRDefault="00080F69" w:rsidP="003A1BD9">
            <w:pPr>
              <w:pStyle w:val="D9"/>
              <w:spacing w:line="240" w:lineRule="auto"/>
              <w:rPr>
                <w:rFonts w:ascii="Arial" w:hAnsi="Arial" w:cs="Arial"/>
                <w:sz w:val="19"/>
                <w:szCs w:val="19"/>
              </w:rPr>
            </w:pPr>
          </w:p>
        </w:tc>
        <w:tc>
          <w:tcPr>
            <w:tcW w:w="1134" w:type="dxa"/>
          </w:tcPr>
          <w:p w:rsidR="00080F69" w:rsidRPr="00070D17" w:rsidRDefault="00080F69" w:rsidP="003A1BD9">
            <w:pPr>
              <w:pStyle w:val="D9"/>
              <w:spacing w:line="240" w:lineRule="auto"/>
              <w:rPr>
                <w:rFonts w:ascii="Arial" w:hAnsi="Arial" w:cs="Arial"/>
                <w:sz w:val="19"/>
                <w:szCs w:val="19"/>
              </w:rPr>
            </w:pPr>
          </w:p>
        </w:tc>
      </w:tr>
    </w:tbl>
    <w:p w:rsidR="00FB2E5A" w:rsidRDefault="00FB2E5A" w:rsidP="003517C6">
      <w:pPr>
        <w:pStyle w:val="NormalIndent"/>
        <w:ind w:left="0"/>
      </w:pPr>
      <w:bookmarkStart w:id="26" w:name="_Toc390775331"/>
    </w:p>
    <w:p w:rsidR="00143053" w:rsidRPr="00002697" w:rsidRDefault="003517C6" w:rsidP="003517C6">
      <w:pPr>
        <w:pStyle w:val="Heading1"/>
        <w:numPr>
          <w:ilvl w:val="0"/>
          <w:numId w:val="0"/>
        </w:numPr>
        <w:spacing w:before="120"/>
        <w:rPr>
          <w:rFonts w:ascii="Arial" w:hAnsi="Arial" w:cs="Arial"/>
          <w:sz w:val="24"/>
          <w:szCs w:val="19"/>
        </w:rPr>
      </w:pPr>
      <w:r>
        <w:rPr>
          <w:rFonts w:ascii="Arial" w:hAnsi="Arial" w:cs="Arial"/>
          <w:caps w:val="0"/>
          <w:sz w:val="24"/>
          <w:szCs w:val="19"/>
        </w:rPr>
        <w:lastRenderedPageBreak/>
        <w:t>18</w:t>
      </w:r>
      <w:r>
        <w:rPr>
          <w:rFonts w:ascii="Arial" w:hAnsi="Arial" w:cs="Arial"/>
          <w:caps w:val="0"/>
          <w:sz w:val="24"/>
          <w:szCs w:val="19"/>
        </w:rPr>
        <w:tab/>
      </w:r>
      <w:r w:rsidR="003B2453" w:rsidRPr="00002697">
        <w:rPr>
          <w:rFonts w:ascii="Arial" w:hAnsi="Arial" w:cs="Arial"/>
          <w:caps w:val="0"/>
          <w:sz w:val="24"/>
          <w:szCs w:val="19"/>
        </w:rPr>
        <w:t>Pension Schemes</w:t>
      </w:r>
      <w:bookmarkEnd w:id="26"/>
    </w:p>
    <w:p w:rsidR="00143053" w:rsidRPr="00002697" w:rsidRDefault="00143053" w:rsidP="003B2453">
      <w:pPr>
        <w:autoSpaceDE w:val="0"/>
        <w:autoSpaceDN w:val="0"/>
        <w:adjustRightInd w:val="0"/>
        <w:spacing w:after="0"/>
        <w:jc w:val="left"/>
        <w:rPr>
          <w:rFonts w:ascii="Arial" w:hAnsi="Arial" w:cs="Arial"/>
          <w:b/>
          <w:bCs/>
          <w:sz w:val="19"/>
          <w:szCs w:val="19"/>
          <w:lang w:val="en-US"/>
        </w:rPr>
      </w:pPr>
      <w:r w:rsidRPr="00002697">
        <w:rPr>
          <w:rFonts w:ascii="Arial" w:hAnsi="Arial" w:cs="Arial"/>
          <w:bCs/>
          <w:sz w:val="19"/>
          <w:szCs w:val="19"/>
          <w:lang w:val="en-US"/>
        </w:rPr>
        <w:t xml:space="preserve">The </w:t>
      </w:r>
      <w:r w:rsidR="00201B4C" w:rsidRPr="00002697">
        <w:rPr>
          <w:rFonts w:ascii="Arial" w:hAnsi="Arial" w:cs="Arial"/>
          <w:bCs/>
          <w:sz w:val="19"/>
          <w:szCs w:val="19"/>
          <w:lang w:val="en-US"/>
        </w:rPr>
        <w:t>Company</w:t>
      </w:r>
      <w:r w:rsidRPr="00002697">
        <w:rPr>
          <w:rFonts w:ascii="Arial" w:hAnsi="Arial" w:cs="Arial"/>
          <w:bCs/>
          <w:sz w:val="19"/>
          <w:szCs w:val="19"/>
          <w:lang w:val="en-US"/>
        </w:rPr>
        <w:t xml:space="preserve"> participates as an admitted body in a Local Government Pension Scheme, Northumberland County Council Pension Fund, which is administered by Northumberland County Council.  The scheme, which is a defined benefit scheme, is operated in accordance with the Local Government Superannuation Regulations.  The latest full actuarial valuation </w:t>
      </w:r>
      <w:r w:rsidR="000848D7" w:rsidRPr="00002697">
        <w:rPr>
          <w:rFonts w:ascii="Arial" w:hAnsi="Arial" w:cs="Arial"/>
          <w:bCs/>
          <w:sz w:val="19"/>
          <w:szCs w:val="19"/>
          <w:lang w:val="en-US"/>
        </w:rPr>
        <w:t>was carried out at 31 March 2013</w:t>
      </w:r>
      <w:r w:rsidRPr="00002697">
        <w:rPr>
          <w:rFonts w:ascii="Arial" w:hAnsi="Arial" w:cs="Arial"/>
          <w:bCs/>
          <w:sz w:val="19"/>
          <w:szCs w:val="19"/>
          <w:lang w:val="en-US"/>
        </w:rPr>
        <w:t xml:space="preserve"> and was updated for FRS17 purposes to 31 March </w:t>
      </w:r>
      <w:r w:rsidR="00002697">
        <w:rPr>
          <w:rFonts w:ascii="Arial" w:hAnsi="Arial" w:cs="Arial"/>
          <w:bCs/>
          <w:sz w:val="19"/>
          <w:szCs w:val="19"/>
          <w:lang w:val="en-US"/>
        </w:rPr>
        <w:t>2015</w:t>
      </w:r>
      <w:r w:rsidR="00FA2584" w:rsidRPr="00002697">
        <w:rPr>
          <w:rFonts w:ascii="Arial" w:hAnsi="Arial" w:cs="Arial"/>
          <w:bCs/>
          <w:sz w:val="19"/>
          <w:szCs w:val="19"/>
          <w:lang w:val="en-US"/>
        </w:rPr>
        <w:t xml:space="preserve"> </w:t>
      </w:r>
      <w:r w:rsidRPr="00002697">
        <w:rPr>
          <w:rFonts w:ascii="Arial" w:hAnsi="Arial" w:cs="Arial"/>
          <w:bCs/>
          <w:sz w:val="19"/>
          <w:szCs w:val="19"/>
          <w:lang w:val="en-US"/>
        </w:rPr>
        <w:t>by Aon Hewitt Ltd, a qualified independent actuary</w:t>
      </w:r>
      <w:r w:rsidRPr="00002697">
        <w:rPr>
          <w:rFonts w:ascii="Arial" w:hAnsi="Arial" w:cs="Arial"/>
          <w:b/>
          <w:bCs/>
          <w:sz w:val="19"/>
          <w:szCs w:val="19"/>
          <w:lang w:val="en-US"/>
        </w:rPr>
        <w:t>.</w:t>
      </w:r>
    </w:p>
    <w:p w:rsidR="003B2453" w:rsidRPr="00002697" w:rsidRDefault="003B2453" w:rsidP="003B2453">
      <w:pPr>
        <w:autoSpaceDE w:val="0"/>
        <w:autoSpaceDN w:val="0"/>
        <w:adjustRightInd w:val="0"/>
        <w:spacing w:after="0"/>
        <w:ind w:left="567"/>
        <w:jc w:val="left"/>
        <w:rPr>
          <w:rFonts w:ascii="Arial" w:hAnsi="Arial" w:cs="Arial"/>
          <w:b/>
          <w:bCs/>
          <w:sz w:val="19"/>
          <w:szCs w:val="19"/>
          <w:lang w:val="en-US"/>
        </w:rPr>
      </w:pPr>
    </w:p>
    <w:p w:rsidR="00143053" w:rsidRPr="00002697" w:rsidRDefault="00143053" w:rsidP="003B2453">
      <w:pPr>
        <w:autoSpaceDE w:val="0"/>
        <w:autoSpaceDN w:val="0"/>
        <w:adjustRightInd w:val="0"/>
        <w:spacing w:after="0"/>
        <w:jc w:val="left"/>
        <w:rPr>
          <w:rFonts w:ascii="Arial" w:hAnsi="Arial" w:cs="Arial"/>
          <w:bCs/>
          <w:sz w:val="19"/>
          <w:szCs w:val="19"/>
          <w:lang w:val="en-US"/>
        </w:rPr>
      </w:pPr>
      <w:r w:rsidRPr="00002697">
        <w:rPr>
          <w:rFonts w:ascii="Arial" w:hAnsi="Arial" w:cs="Arial"/>
          <w:bCs/>
          <w:sz w:val="19"/>
          <w:szCs w:val="19"/>
          <w:lang w:val="en-US"/>
        </w:rPr>
        <w:t xml:space="preserve">The information disclosed below is in respect of the </w:t>
      </w:r>
      <w:r w:rsidR="00201B4C" w:rsidRPr="00002697">
        <w:rPr>
          <w:rFonts w:ascii="Arial" w:hAnsi="Arial" w:cs="Arial"/>
          <w:bCs/>
          <w:sz w:val="19"/>
          <w:szCs w:val="19"/>
          <w:lang w:val="en-US"/>
        </w:rPr>
        <w:t>Company</w:t>
      </w:r>
      <w:r w:rsidRPr="00002697">
        <w:rPr>
          <w:rFonts w:ascii="Arial" w:hAnsi="Arial" w:cs="Arial"/>
          <w:bCs/>
          <w:sz w:val="19"/>
          <w:szCs w:val="19"/>
          <w:lang w:val="en-US"/>
        </w:rPr>
        <w:t xml:space="preserve"> share of cost under the Local Government Pension scheme, Northumberland County Council Pension Fund throughout the periods shown.</w:t>
      </w:r>
    </w:p>
    <w:p w:rsidR="003B2453" w:rsidRPr="00002697" w:rsidRDefault="003B2453" w:rsidP="003B2453">
      <w:pPr>
        <w:autoSpaceDE w:val="0"/>
        <w:autoSpaceDN w:val="0"/>
        <w:adjustRightInd w:val="0"/>
        <w:spacing w:after="0"/>
        <w:ind w:left="567"/>
        <w:jc w:val="left"/>
        <w:rPr>
          <w:rFonts w:ascii="Arial" w:hAnsi="Arial" w:cs="Arial"/>
          <w:bCs/>
          <w:sz w:val="19"/>
          <w:szCs w:val="19"/>
          <w:lang w:val="en-US"/>
        </w:rPr>
      </w:pPr>
    </w:p>
    <w:p w:rsidR="00FB2E5A" w:rsidRPr="00002697" w:rsidRDefault="00143053" w:rsidP="003B2453">
      <w:pPr>
        <w:autoSpaceDE w:val="0"/>
        <w:autoSpaceDN w:val="0"/>
        <w:adjustRightInd w:val="0"/>
        <w:spacing w:after="0"/>
        <w:jc w:val="left"/>
        <w:rPr>
          <w:rFonts w:ascii="Arial" w:hAnsi="Arial" w:cs="Arial"/>
          <w:bCs/>
          <w:sz w:val="19"/>
          <w:szCs w:val="19"/>
          <w:lang w:val="en-US"/>
        </w:rPr>
      </w:pPr>
      <w:r w:rsidRPr="00002697">
        <w:rPr>
          <w:rFonts w:ascii="Arial" w:hAnsi="Arial" w:cs="Arial"/>
          <w:bCs/>
          <w:sz w:val="19"/>
          <w:szCs w:val="19"/>
          <w:lang w:val="en-US"/>
        </w:rPr>
        <w:t xml:space="preserve">The </w:t>
      </w:r>
      <w:r w:rsidR="00201B4C" w:rsidRPr="00002697">
        <w:rPr>
          <w:rFonts w:ascii="Arial" w:hAnsi="Arial" w:cs="Arial"/>
          <w:bCs/>
          <w:sz w:val="19"/>
          <w:szCs w:val="19"/>
          <w:lang w:val="en-US"/>
        </w:rPr>
        <w:t>Company</w:t>
      </w:r>
      <w:r w:rsidRPr="00002697">
        <w:rPr>
          <w:rFonts w:ascii="Arial" w:hAnsi="Arial" w:cs="Arial"/>
          <w:bCs/>
          <w:sz w:val="19"/>
          <w:szCs w:val="19"/>
          <w:lang w:val="en-US"/>
        </w:rPr>
        <w:t xml:space="preserve"> is making regular pension payments into the pension scheme in line with actuary’s advice.  These payments are assigned to cover current service costs.  The costs of these payments are wholly covered by income the </w:t>
      </w:r>
      <w:r w:rsidR="00201B4C" w:rsidRPr="00002697">
        <w:rPr>
          <w:rFonts w:ascii="Arial" w:hAnsi="Arial" w:cs="Arial"/>
          <w:bCs/>
          <w:sz w:val="19"/>
          <w:szCs w:val="19"/>
          <w:lang w:val="en-US"/>
        </w:rPr>
        <w:t>Company</w:t>
      </w:r>
      <w:r w:rsidRPr="00002697">
        <w:rPr>
          <w:rFonts w:ascii="Arial" w:hAnsi="Arial" w:cs="Arial"/>
          <w:bCs/>
          <w:sz w:val="19"/>
          <w:szCs w:val="19"/>
          <w:lang w:val="en-US"/>
        </w:rPr>
        <w:t xml:space="preserve"> receives from the Council as part of the management fee.</w:t>
      </w:r>
    </w:p>
    <w:p w:rsidR="00FB2E5A" w:rsidRPr="00C46A29" w:rsidRDefault="00FB2E5A" w:rsidP="003B2453">
      <w:pPr>
        <w:autoSpaceDE w:val="0"/>
        <w:autoSpaceDN w:val="0"/>
        <w:adjustRightInd w:val="0"/>
        <w:spacing w:after="0"/>
        <w:jc w:val="left"/>
        <w:rPr>
          <w:rFonts w:ascii="Arial" w:hAnsi="Arial" w:cs="Arial"/>
          <w:bCs/>
          <w:sz w:val="19"/>
          <w:szCs w:val="19"/>
          <w:highlight w:val="yellow"/>
          <w:lang w:val="en-US"/>
        </w:rPr>
      </w:pPr>
    </w:p>
    <w:tbl>
      <w:tblPr>
        <w:tblW w:w="9498" w:type="dxa"/>
        <w:tblLayout w:type="fixed"/>
        <w:tblCellMar>
          <w:left w:w="28" w:type="dxa"/>
          <w:right w:w="28" w:type="dxa"/>
        </w:tblCellMar>
        <w:tblLook w:val="0000" w:firstRow="0" w:lastRow="0" w:firstColumn="0" w:lastColumn="0" w:noHBand="0" w:noVBand="0"/>
      </w:tblPr>
      <w:tblGrid>
        <w:gridCol w:w="3828"/>
        <w:gridCol w:w="28"/>
        <w:gridCol w:w="1134"/>
        <w:gridCol w:w="1106"/>
        <w:gridCol w:w="1134"/>
        <w:gridCol w:w="1134"/>
        <w:gridCol w:w="1134"/>
      </w:tblGrid>
      <w:tr w:rsidR="00143053" w:rsidRPr="0090555D" w:rsidTr="00114071">
        <w:trPr>
          <w:cantSplit/>
        </w:trPr>
        <w:tc>
          <w:tcPr>
            <w:tcW w:w="3828" w:type="dxa"/>
          </w:tcPr>
          <w:p w:rsidR="00143053" w:rsidRPr="00C46A29" w:rsidRDefault="00143053" w:rsidP="003A1BD9">
            <w:pPr>
              <w:pStyle w:val="Tindent"/>
              <w:keepLines/>
              <w:rPr>
                <w:rFonts w:ascii="Arial" w:hAnsi="Arial" w:cs="Arial"/>
                <w:b/>
                <w:sz w:val="19"/>
                <w:szCs w:val="19"/>
                <w:highlight w:val="yellow"/>
              </w:rPr>
            </w:pPr>
          </w:p>
        </w:tc>
        <w:tc>
          <w:tcPr>
            <w:tcW w:w="1162" w:type="dxa"/>
            <w:gridSpan w:val="2"/>
          </w:tcPr>
          <w:p w:rsidR="00143053" w:rsidRPr="00C46A29" w:rsidRDefault="00143053" w:rsidP="003A1BD9">
            <w:pPr>
              <w:pStyle w:val="Thead"/>
              <w:rPr>
                <w:rFonts w:ascii="Arial" w:hAnsi="Arial" w:cs="Arial"/>
                <w:sz w:val="19"/>
                <w:szCs w:val="19"/>
                <w:highlight w:val="yellow"/>
              </w:rPr>
            </w:pPr>
          </w:p>
        </w:tc>
        <w:tc>
          <w:tcPr>
            <w:tcW w:w="1106" w:type="dxa"/>
          </w:tcPr>
          <w:p w:rsidR="00143053" w:rsidRPr="00C46A29" w:rsidRDefault="00143053" w:rsidP="003A1BD9">
            <w:pPr>
              <w:pStyle w:val="Thead"/>
              <w:rPr>
                <w:rFonts w:ascii="Arial" w:hAnsi="Arial" w:cs="Arial"/>
                <w:sz w:val="19"/>
                <w:szCs w:val="19"/>
                <w:highlight w:val="yellow"/>
              </w:rPr>
            </w:pPr>
          </w:p>
        </w:tc>
        <w:tc>
          <w:tcPr>
            <w:tcW w:w="1134" w:type="dxa"/>
          </w:tcPr>
          <w:p w:rsidR="00143053" w:rsidRPr="00C46A29" w:rsidRDefault="00143053" w:rsidP="003A1BD9">
            <w:pPr>
              <w:pStyle w:val="Thead"/>
              <w:rPr>
                <w:rFonts w:ascii="Arial" w:hAnsi="Arial" w:cs="Arial"/>
                <w:sz w:val="19"/>
                <w:szCs w:val="19"/>
                <w:highlight w:val="yellow"/>
              </w:rPr>
            </w:pPr>
          </w:p>
        </w:tc>
        <w:tc>
          <w:tcPr>
            <w:tcW w:w="1134" w:type="dxa"/>
          </w:tcPr>
          <w:p w:rsidR="00143053" w:rsidRPr="00002697" w:rsidRDefault="0090555D" w:rsidP="003A1BD9">
            <w:pPr>
              <w:pStyle w:val="Thead"/>
              <w:rPr>
                <w:rFonts w:ascii="Arial" w:hAnsi="Arial" w:cs="Arial"/>
                <w:sz w:val="19"/>
                <w:szCs w:val="19"/>
              </w:rPr>
            </w:pPr>
            <w:r w:rsidRPr="00002697">
              <w:rPr>
                <w:rFonts w:ascii="Arial" w:hAnsi="Arial" w:cs="Arial"/>
                <w:sz w:val="19"/>
                <w:szCs w:val="19"/>
              </w:rPr>
              <w:t>31 March 2015</w:t>
            </w:r>
          </w:p>
          <w:p w:rsidR="00143053" w:rsidRPr="00002697" w:rsidRDefault="00143053" w:rsidP="003A1BD9">
            <w:pPr>
              <w:pStyle w:val="Thead"/>
              <w:rPr>
                <w:rFonts w:ascii="Arial" w:hAnsi="Arial" w:cs="Arial"/>
                <w:sz w:val="19"/>
                <w:szCs w:val="19"/>
              </w:rPr>
            </w:pPr>
            <w:r w:rsidRPr="00002697">
              <w:rPr>
                <w:rFonts w:ascii="Arial" w:hAnsi="Arial" w:cs="Arial"/>
                <w:sz w:val="19"/>
                <w:szCs w:val="19"/>
              </w:rPr>
              <w:t>£000</w:t>
            </w:r>
          </w:p>
        </w:tc>
        <w:tc>
          <w:tcPr>
            <w:tcW w:w="1134" w:type="dxa"/>
          </w:tcPr>
          <w:p w:rsidR="00143053" w:rsidRPr="00002697" w:rsidRDefault="0090555D" w:rsidP="003A1BD9">
            <w:pPr>
              <w:pStyle w:val="Thead"/>
              <w:rPr>
                <w:rFonts w:ascii="Arial" w:hAnsi="Arial" w:cs="Arial"/>
                <w:sz w:val="19"/>
                <w:szCs w:val="19"/>
              </w:rPr>
            </w:pPr>
            <w:r w:rsidRPr="00002697">
              <w:rPr>
                <w:rFonts w:ascii="Arial" w:hAnsi="Arial" w:cs="Arial"/>
                <w:sz w:val="19"/>
                <w:szCs w:val="19"/>
              </w:rPr>
              <w:t>31 March 2014</w:t>
            </w:r>
          </w:p>
          <w:p w:rsidR="00143053" w:rsidRPr="00002697" w:rsidRDefault="00143053" w:rsidP="003A1BD9">
            <w:pPr>
              <w:pStyle w:val="Thead"/>
              <w:rPr>
                <w:rFonts w:ascii="Arial" w:hAnsi="Arial" w:cs="Arial"/>
                <w:sz w:val="19"/>
                <w:szCs w:val="19"/>
              </w:rPr>
            </w:pPr>
            <w:r w:rsidRPr="00002697">
              <w:rPr>
                <w:rFonts w:ascii="Arial" w:hAnsi="Arial" w:cs="Arial"/>
                <w:sz w:val="19"/>
                <w:szCs w:val="19"/>
              </w:rPr>
              <w:t>£000</w:t>
            </w:r>
          </w:p>
        </w:tc>
      </w:tr>
      <w:tr w:rsidR="00143053" w:rsidRPr="0090555D" w:rsidTr="00114071">
        <w:trPr>
          <w:cantSplit/>
        </w:trPr>
        <w:tc>
          <w:tcPr>
            <w:tcW w:w="3828" w:type="dxa"/>
          </w:tcPr>
          <w:p w:rsidR="00143053" w:rsidRPr="00C46A29" w:rsidRDefault="00143053" w:rsidP="003A1BD9">
            <w:pPr>
              <w:pStyle w:val="B0"/>
              <w:spacing w:line="240" w:lineRule="auto"/>
              <w:rPr>
                <w:rFonts w:ascii="Arial" w:hAnsi="Arial" w:cs="Arial"/>
                <w:sz w:val="19"/>
                <w:szCs w:val="19"/>
                <w:highlight w:val="yellow"/>
              </w:rPr>
            </w:pPr>
          </w:p>
        </w:tc>
        <w:tc>
          <w:tcPr>
            <w:tcW w:w="1162" w:type="dxa"/>
            <w:gridSpan w:val="2"/>
          </w:tcPr>
          <w:p w:rsidR="00143053" w:rsidRPr="00C46A29" w:rsidRDefault="00143053" w:rsidP="003A1BD9">
            <w:pPr>
              <w:pStyle w:val="B0"/>
              <w:spacing w:line="240" w:lineRule="auto"/>
              <w:rPr>
                <w:rFonts w:ascii="Arial" w:hAnsi="Arial" w:cs="Arial"/>
                <w:sz w:val="19"/>
                <w:szCs w:val="19"/>
                <w:highlight w:val="yellow"/>
              </w:rPr>
            </w:pPr>
          </w:p>
        </w:tc>
        <w:tc>
          <w:tcPr>
            <w:tcW w:w="1106" w:type="dxa"/>
          </w:tcPr>
          <w:p w:rsidR="00143053" w:rsidRPr="00C46A29" w:rsidRDefault="00143053" w:rsidP="003A1BD9">
            <w:pPr>
              <w:pStyle w:val="B0"/>
              <w:spacing w:line="240" w:lineRule="auto"/>
              <w:rPr>
                <w:rFonts w:ascii="Arial" w:hAnsi="Arial" w:cs="Arial"/>
                <w:sz w:val="19"/>
                <w:szCs w:val="19"/>
                <w:highlight w:val="yellow"/>
              </w:rPr>
            </w:pPr>
          </w:p>
        </w:tc>
        <w:tc>
          <w:tcPr>
            <w:tcW w:w="1134" w:type="dxa"/>
          </w:tcPr>
          <w:p w:rsidR="00143053" w:rsidRPr="00C46A29" w:rsidRDefault="00143053" w:rsidP="003A1BD9">
            <w:pPr>
              <w:pStyle w:val="B0"/>
              <w:spacing w:line="240" w:lineRule="auto"/>
              <w:rPr>
                <w:rFonts w:ascii="Arial" w:hAnsi="Arial" w:cs="Arial"/>
                <w:sz w:val="19"/>
                <w:szCs w:val="19"/>
                <w:highlight w:val="yellow"/>
              </w:rPr>
            </w:pPr>
          </w:p>
        </w:tc>
        <w:tc>
          <w:tcPr>
            <w:tcW w:w="1134" w:type="dxa"/>
          </w:tcPr>
          <w:p w:rsidR="00143053" w:rsidRPr="00002697" w:rsidRDefault="00143053" w:rsidP="003A1BD9">
            <w:pPr>
              <w:pStyle w:val="B0"/>
              <w:spacing w:line="240" w:lineRule="auto"/>
              <w:rPr>
                <w:rFonts w:ascii="Arial" w:hAnsi="Arial" w:cs="Arial"/>
                <w:sz w:val="19"/>
                <w:szCs w:val="19"/>
              </w:rPr>
            </w:pPr>
          </w:p>
        </w:tc>
        <w:tc>
          <w:tcPr>
            <w:tcW w:w="1134" w:type="dxa"/>
          </w:tcPr>
          <w:p w:rsidR="00143053" w:rsidRPr="00002697" w:rsidRDefault="00143053" w:rsidP="003A1BD9">
            <w:pPr>
              <w:pStyle w:val="B0"/>
              <w:spacing w:line="240" w:lineRule="auto"/>
              <w:rPr>
                <w:rFonts w:ascii="Arial" w:hAnsi="Arial" w:cs="Arial"/>
                <w:sz w:val="19"/>
                <w:szCs w:val="19"/>
              </w:rPr>
            </w:pPr>
          </w:p>
        </w:tc>
      </w:tr>
      <w:tr w:rsidR="00143053" w:rsidRPr="0090555D" w:rsidTr="00114071">
        <w:trPr>
          <w:cantSplit/>
        </w:trPr>
        <w:tc>
          <w:tcPr>
            <w:tcW w:w="3856" w:type="dxa"/>
            <w:gridSpan w:val="2"/>
          </w:tcPr>
          <w:p w:rsidR="00143053" w:rsidRPr="0090555D" w:rsidRDefault="00143053" w:rsidP="003A1BD9">
            <w:pPr>
              <w:pStyle w:val="Tindent"/>
              <w:rPr>
                <w:rFonts w:ascii="Arial" w:hAnsi="Arial" w:cs="Arial"/>
                <w:sz w:val="19"/>
                <w:szCs w:val="19"/>
              </w:rPr>
            </w:pPr>
            <w:r w:rsidRPr="0090555D">
              <w:rPr>
                <w:rFonts w:ascii="Arial" w:hAnsi="Arial" w:cs="Arial"/>
                <w:sz w:val="19"/>
                <w:szCs w:val="19"/>
              </w:rPr>
              <w:t xml:space="preserve">Present value of funded </w:t>
            </w:r>
            <w:r w:rsidR="00F16068" w:rsidRPr="0090555D">
              <w:rPr>
                <w:rFonts w:ascii="Arial" w:hAnsi="Arial" w:cs="Arial"/>
                <w:sz w:val="19"/>
                <w:szCs w:val="19"/>
              </w:rPr>
              <w:t>defined</w:t>
            </w:r>
            <w:r w:rsidRPr="0090555D">
              <w:rPr>
                <w:rFonts w:ascii="Arial" w:hAnsi="Arial" w:cs="Arial"/>
                <w:sz w:val="19"/>
                <w:szCs w:val="19"/>
              </w:rPr>
              <w:t xml:space="preserve"> benefit obligations</w:t>
            </w:r>
          </w:p>
        </w:tc>
        <w:tc>
          <w:tcPr>
            <w:tcW w:w="1134" w:type="dxa"/>
          </w:tcPr>
          <w:p w:rsidR="00143053" w:rsidRPr="00C46A29" w:rsidRDefault="00143053" w:rsidP="003A1BD9">
            <w:pPr>
              <w:pStyle w:val="Tdec"/>
              <w:rPr>
                <w:rFonts w:ascii="Arial" w:hAnsi="Arial" w:cs="Arial"/>
                <w:sz w:val="19"/>
                <w:szCs w:val="19"/>
                <w:highlight w:val="yellow"/>
              </w:rPr>
            </w:pP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143053" w:rsidP="003A1BD9">
            <w:pPr>
              <w:pStyle w:val="Tdec"/>
              <w:rPr>
                <w:rFonts w:ascii="Arial" w:hAnsi="Arial" w:cs="Arial"/>
                <w:sz w:val="19"/>
                <w:szCs w:val="19"/>
              </w:rPr>
            </w:pPr>
          </w:p>
          <w:p w:rsidR="00E12474" w:rsidRPr="00002697" w:rsidRDefault="00002697" w:rsidP="003A1BD9">
            <w:pPr>
              <w:pStyle w:val="Tdec"/>
              <w:rPr>
                <w:rFonts w:ascii="Arial" w:hAnsi="Arial" w:cs="Arial"/>
                <w:sz w:val="19"/>
                <w:szCs w:val="19"/>
              </w:rPr>
            </w:pPr>
            <w:r w:rsidRPr="00002697">
              <w:rPr>
                <w:rFonts w:ascii="Arial" w:hAnsi="Arial" w:cs="Arial"/>
                <w:sz w:val="19"/>
                <w:szCs w:val="19"/>
              </w:rPr>
              <w:t>(35,910</w:t>
            </w:r>
            <w:r w:rsidR="00E12474" w:rsidRPr="00002697">
              <w:rPr>
                <w:rFonts w:ascii="Arial" w:hAnsi="Arial" w:cs="Arial"/>
                <w:sz w:val="19"/>
                <w:szCs w:val="19"/>
              </w:rPr>
              <w:t>)</w:t>
            </w:r>
          </w:p>
        </w:tc>
        <w:tc>
          <w:tcPr>
            <w:tcW w:w="1134" w:type="dxa"/>
          </w:tcPr>
          <w:p w:rsidR="00143053" w:rsidRPr="00002697" w:rsidRDefault="00143053" w:rsidP="003A1BD9">
            <w:pPr>
              <w:pStyle w:val="Tdec"/>
              <w:rPr>
                <w:rFonts w:ascii="Arial" w:hAnsi="Arial" w:cs="Arial"/>
                <w:sz w:val="19"/>
                <w:szCs w:val="19"/>
              </w:rPr>
            </w:pPr>
          </w:p>
          <w:p w:rsidR="00143053" w:rsidRPr="00002697" w:rsidRDefault="0090555D" w:rsidP="003A1BD9">
            <w:pPr>
              <w:pStyle w:val="Tdec"/>
              <w:rPr>
                <w:rFonts w:ascii="Arial" w:hAnsi="Arial" w:cs="Arial"/>
                <w:sz w:val="19"/>
                <w:szCs w:val="19"/>
              </w:rPr>
            </w:pPr>
            <w:r w:rsidRPr="00002697">
              <w:rPr>
                <w:rFonts w:ascii="Arial" w:hAnsi="Arial" w:cs="Arial"/>
                <w:sz w:val="19"/>
                <w:szCs w:val="19"/>
              </w:rPr>
              <w:t>(30,020</w:t>
            </w:r>
            <w:r w:rsidR="00143053" w:rsidRPr="00002697">
              <w:rPr>
                <w:rFonts w:ascii="Arial" w:hAnsi="Arial" w:cs="Arial"/>
                <w:sz w:val="19"/>
                <w:szCs w:val="19"/>
              </w:rPr>
              <w:t>)</w:t>
            </w:r>
          </w:p>
        </w:tc>
      </w:tr>
      <w:tr w:rsidR="00143053" w:rsidRPr="0090555D" w:rsidTr="00114071">
        <w:trPr>
          <w:cantSplit/>
        </w:trPr>
        <w:tc>
          <w:tcPr>
            <w:tcW w:w="3856" w:type="dxa"/>
            <w:gridSpan w:val="2"/>
          </w:tcPr>
          <w:p w:rsidR="00143053" w:rsidRPr="0090555D" w:rsidRDefault="00143053" w:rsidP="003A1BD9">
            <w:pPr>
              <w:pStyle w:val="Tindent"/>
              <w:rPr>
                <w:rFonts w:ascii="Arial" w:hAnsi="Arial" w:cs="Arial"/>
                <w:sz w:val="19"/>
                <w:szCs w:val="19"/>
              </w:rPr>
            </w:pPr>
            <w:r w:rsidRPr="0090555D">
              <w:rPr>
                <w:rFonts w:ascii="Arial" w:hAnsi="Arial" w:cs="Arial"/>
                <w:sz w:val="19"/>
                <w:szCs w:val="19"/>
              </w:rPr>
              <w:t>Fair value of plan assets</w:t>
            </w:r>
          </w:p>
        </w:tc>
        <w:tc>
          <w:tcPr>
            <w:tcW w:w="1134" w:type="dxa"/>
          </w:tcPr>
          <w:p w:rsidR="00143053" w:rsidRPr="00C46A29" w:rsidRDefault="00143053" w:rsidP="003A1BD9">
            <w:pPr>
              <w:pStyle w:val="Tdec"/>
              <w:rPr>
                <w:rFonts w:ascii="Arial" w:hAnsi="Arial" w:cs="Arial"/>
                <w:sz w:val="19"/>
                <w:szCs w:val="19"/>
                <w:highlight w:val="yellow"/>
              </w:rPr>
            </w:pP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E12474" w:rsidP="003A1BD9">
            <w:pPr>
              <w:pStyle w:val="Tdec"/>
              <w:rPr>
                <w:rFonts w:ascii="Arial" w:hAnsi="Arial" w:cs="Arial"/>
                <w:sz w:val="19"/>
                <w:szCs w:val="19"/>
              </w:rPr>
            </w:pPr>
            <w:r w:rsidRPr="00002697">
              <w:rPr>
                <w:rFonts w:ascii="Arial" w:hAnsi="Arial" w:cs="Arial"/>
                <w:sz w:val="19"/>
                <w:szCs w:val="19"/>
              </w:rPr>
              <w:t>2</w:t>
            </w:r>
            <w:r w:rsidR="00002697" w:rsidRPr="00002697">
              <w:rPr>
                <w:rFonts w:ascii="Arial" w:hAnsi="Arial" w:cs="Arial"/>
                <w:sz w:val="19"/>
                <w:szCs w:val="19"/>
              </w:rPr>
              <w:t>8,830</w:t>
            </w:r>
          </w:p>
        </w:tc>
        <w:tc>
          <w:tcPr>
            <w:tcW w:w="1134" w:type="dxa"/>
          </w:tcPr>
          <w:p w:rsidR="00143053" w:rsidRPr="00002697" w:rsidRDefault="00143053" w:rsidP="003A1BD9">
            <w:pPr>
              <w:pStyle w:val="Tdec"/>
              <w:rPr>
                <w:rFonts w:ascii="Arial" w:hAnsi="Arial" w:cs="Arial"/>
                <w:sz w:val="19"/>
                <w:szCs w:val="19"/>
              </w:rPr>
            </w:pPr>
            <w:r w:rsidRPr="00002697">
              <w:rPr>
                <w:rFonts w:ascii="Arial" w:hAnsi="Arial" w:cs="Arial"/>
                <w:sz w:val="19"/>
                <w:szCs w:val="19"/>
              </w:rPr>
              <w:t>2</w:t>
            </w:r>
            <w:r w:rsidR="0090555D" w:rsidRPr="00002697">
              <w:rPr>
                <w:rFonts w:ascii="Arial" w:hAnsi="Arial" w:cs="Arial"/>
                <w:sz w:val="19"/>
                <w:szCs w:val="19"/>
              </w:rPr>
              <w:t>4,820</w:t>
            </w:r>
          </w:p>
        </w:tc>
      </w:tr>
      <w:tr w:rsidR="00143053" w:rsidRPr="0090555D" w:rsidTr="00114071">
        <w:trPr>
          <w:cantSplit/>
        </w:trPr>
        <w:tc>
          <w:tcPr>
            <w:tcW w:w="3856" w:type="dxa"/>
            <w:gridSpan w:val="2"/>
          </w:tcPr>
          <w:p w:rsidR="00143053" w:rsidRPr="0090555D" w:rsidRDefault="00143053" w:rsidP="003A1BD9">
            <w:pPr>
              <w:pStyle w:val="Tindent"/>
              <w:rPr>
                <w:rFonts w:ascii="Arial" w:hAnsi="Arial" w:cs="Arial"/>
                <w:sz w:val="19"/>
                <w:szCs w:val="19"/>
              </w:rPr>
            </w:pPr>
          </w:p>
        </w:tc>
        <w:tc>
          <w:tcPr>
            <w:tcW w:w="1134" w:type="dxa"/>
          </w:tcPr>
          <w:p w:rsidR="00143053" w:rsidRPr="00C46A29" w:rsidRDefault="00143053" w:rsidP="003A1BD9">
            <w:pPr>
              <w:pStyle w:val="Tdec"/>
              <w:rPr>
                <w:rFonts w:ascii="Arial" w:hAnsi="Arial" w:cs="Arial"/>
                <w:sz w:val="19"/>
                <w:szCs w:val="19"/>
                <w:highlight w:val="yellow"/>
              </w:rPr>
            </w:pP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143053" w:rsidP="003A1BD9">
            <w:pPr>
              <w:pStyle w:val="S9"/>
              <w:spacing w:line="240" w:lineRule="auto"/>
              <w:rPr>
                <w:rFonts w:ascii="Arial" w:hAnsi="Arial" w:cs="Arial"/>
                <w:sz w:val="19"/>
                <w:szCs w:val="19"/>
              </w:rPr>
            </w:pPr>
          </w:p>
        </w:tc>
        <w:tc>
          <w:tcPr>
            <w:tcW w:w="1134" w:type="dxa"/>
          </w:tcPr>
          <w:p w:rsidR="00143053" w:rsidRPr="00002697" w:rsidRDefault="00143053" w:rsidP="003A1BD9">
            <w:pPr>
              <w:pStyle w:val="S9"/>
              <w:spacing w:line="240" w:lineRule="auto"/>
              <w:rPr>
                <w:rFonts w:ascii="Arial" w:hAnsi="Arial" w:cs="Arial"/>
                <w:sz w:val="19"/>
                <w:szCs w:val="19"/>
              </w:rPr>
            </w:pPr>
          </w:p>
        </w:tc>
      </w:tr>
      <w:tr w:rsidR="00143053" w:rsidRPr="0090555D" w:rsidTr="00114071">
        <w:trPr>
          <w:cantSplit/>
        </w:trPr>
        <w:tc>
          <w:tcPr>
            <w:tcW w:w="3856" w:type="dxa"/>
            <w:gridSpan w:val="2"/>
          </w:tcPr>
          <w:p w:rsidR="00143053" w:rsidRPr="0090555D" w:rsidRDefault="00143053" w:rsidP="003A1BD9">
            <w:pPr>
              <w:pStyle w:val="Tindent"/>
              <w:rPr>
                <w:rFonts w:ascii="Arial" w:hAnsi="Arial" w:cs="Arial"/>
                <w:sz w:val="19"/>
                <w:szCs w:val="19"/>
              </w:rPr>
            </w:pPr>
            <w:r w:rsidRPr="0090555D">
              <w:rPr>
                <w:rFonts w:ascii="Arial" w:hAnsi="Arial" w:cs="Arial"/>
                <w:sz w:val="19"/>
                <w:szCs w:val="19"/>
              </w:rPr>
              <w:t>Scheme deficit</w:t>
            </w:r>
          </w:p>
        </w:tc>
        <w:tc>
          <w:tcPr>
            <w:tcW w:w="1134" w:type="dxa"/>
          </w:tcPr>
          <w:p w:rsidR="00143053" w:rsidRPr="00C46A29" w:rsidRDefault="00143053" w:rsidP="003A1BD9">
            <w:pPr>
              <w:pStyle w:val="Tdec"/>
              <w:rPr>
                <w:rFonts w:ascii="Arial" w:hAnsi="Arial" w:cs="Arial"/>
                <w:sz w:val="19"/>
                <w:szCs w:val="19"/>
                <w:highlight w:val="yellow"/>
              </w:rPr>
            </w:pP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002697" w:rsidP="003A1BD9">
            <w:pPr>
              <w:pStyle w:val="Tdec"/>
              <w:rPr>
                <w:rFonts w:ascii="Arial" w:hAnsi="Arial" w:cs="Arial"/>
                <w:sz w:val="19"/>
                <w:szCs w:val="19"/>
              </w:rPr>
            </w:pPr>
            <w:r w:rsidRPr="00002697">
              <w:rPr>
                <w:rFonts w:ascii="Arial" w:hAnsi="Arial" w:cs="Arial"/>
                <w:sz w:val="19"/>
                <w:szCs w:val="19"/>
              </w:rPr>
              <w:t>(7,080</w:t>
            </w:r>
            <w:r w:rsidR="00E12474" w:rsidRPr="00002697">
              <w:rPr>
                <w:rFonts w:ascii="Arial" w:hAnsi="Arial" w:cs="Arial"/>
                <w:sz w:val="19"/>
                <w:szCs w:val="19"/>
              </w:rPr>
              <w:t>)</w:t>
            </w:r>
          </w:p>
        </w:tc>
        <w:tc>
          <w:tcPr>
            <w:tcW w:w="1134" w:type="dxa"/>
          </w:tcPr>
          <w:p w:rsidR="00143053" w:rsidRPr="00002697" w:rsidRDefault="0090555D" w:rsidP="003A1BD9">
            <w:pPr>
              <w:pStyle w:val="Tdec"/>
              <w:rPr>
                <w:rFonts w:ascii="Arial" w:hAnsi="Arial" w:cs="Arial"/>
                <w:sz w:val="19"/>
                <w:szCs w:val="19"/>
              </w:rPr>
            </w:pPr>
            <w:r w:rsidRPr="00002697">
              <w:rPr>
                <w:rFonts w:ascii="Arial" w:hAnsi="Arial" w:cs="Arial"/>
                <w:sz w:val="19"/>
                <w:szCs w:val="19"/>
              </w:rPr>
              <w:t>(5,200</w:t>
            </w:r>
            <w:r w:rsidR="00143053" w:rsidRPr="00002697">
              <w:rPr>
                <w:rFonts w:ascii="Arial" w:hAnsi="Arial" w:cs="Arial"/>
                <w:sz w:val="19"/>
                <w:szCs w:val="19"/>
              </w:rPr>
              <w:t>)</w:t>
            </w:r>
          </w:p>
        </w:tc>
      </w:tr>
      <w:tr w:rsidR="00143053" w:rsidRPr="0090555D" w:rsidTr="00114071">
        <w:trPr>
          <w:cantSplit/>
        </w:trPr>
        <w:tc>
          <w:tcPr>
            <w:tcW w:w="3856" w:type="dxa"/>
            <w:gridSpan w:val="2"/>
          </w:tcPr>
          <w:p w:rsidR="00143053" w:rsidRPr="0090555D" w:rsidRDefault="00143053" w:rsidP="003A1BD9">
            <w:pPr>
              <w:pStyle w:val="Tindent"/>
              <w:rPr>
                <w:rFonts w:ascii="Arial" w:hAnsi="Arial" w:cs="Arial"/>
                <w:sz w:val="19"/>
                <w:szCs w:val="19"/>
              </w:rPr>
            </w:pPr>
          </w:p>
        </w:tc>
        <w:tc>
          <w:tcPr>
            <w:tcW w:w="1134" w:type="dxa"/>
          </w:tcPr>
          <w:p w:rsidR="00143053" w:rsidRPr="00C46A29" w:rsidRDefault="00143053" w:rsidP="003A1BD9">
            <w:pPr>
              <w:pStyle w:val="Tdec"/>
              <w:rPr>
                <w:rFonts w:ascii="Arial" w:hAnsi="Arial" w:cs="Arial"/>
                <w:sz w:val="19"/>
                <w:szCs w:val="19"/>
                <w:highlight w:val="yellow"/>
              </w:rPr>
            </w:pP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143053" w:rsidP="003A1BD9">
            <w:pPr>
              <w:pStyle w:val="S9"/>
              <w:spacing w:line="240" w:lineRule="auto"/>
              <w:rPr>
                <w:rFonts w:ascii="Arial" w:hAnsi="Arial" w:cs="Arial"/>
                <w:sz w:val="19"/>
                <w:szCs w:val="19"/>
              </w:rPr>
            </w:pPr>
          </w:p>
        </w:tc>
        <w:tc>
          <w:tcPr>
            <w:tcW w:w="1134" w:type="dxa"/>
          </w:tcPr>
          <w:p w:rsidR="00143053" w:rsidRPr="00002697" w:rsidRDefault="00143053" w:rsidP="003A1BD9">
            <w:pPr>
              <w:pStyle w:val="S9"/>
              <w:spacing w:line="240" w:lineRule="auto"/>
              <w:rPr>
                <w:rFonts w:ascii="Arial" w:hAnsi="Arial" w:cs="Arial"/>
                <w:sz w:val="19"/>
                <w:szCs w:val="19"/>
              </w:rPr>
            </w:pPr>
          </w:p>
        </w:tc>
      </w:tr>
      <w:tr w:rsidR="00114071" w:rsidRPr="0090555D" w:rsidTr="00114071">
        <w:trPr>
          <w:cantSplit/>
        </w:trPr>
        <w:tc>
          <w:tcPr>
            <w:tcW w:w="3856" w:type="dxa"/>
            <w:gridSpan w:val="2"/>
          </w:tcPr>
          <w:p w:rsidR="00114071" w:rsidRPr="0090555D" w:rsidRDefault="00114071" w:rsidP="003A1BD9">
            <w:pPr>
              <w:pStyle w:val="Tindent"/>
              <w:rPr>
                <w:rFonts w:ascii="Arial" w:hAnsi="Arial" w:cs="Arial"/>
                <w:sz w:val="19"/>
                <w:szCs w:val="19"/>
              </w:rPr>
            </w:pPr>
            <w:r w:rsidRPr="0090555D">
              <w:rPr>
                <w:rFonts w:ascii="Arial" w:hAnsi="Arial" w:cs="Arial"/>
                <w:sz w:val="19"/>
                <w:szCs w:val="19"/>
              </w:rPr>
              <w:t>Net liability</w:t>
            </w:r>
          </w:p>
        </w:tc>
        <w:tc>
          <w:tcPr>
            <w:tcW w:w="1134" w:type="dxa"/>
          </w:tcPr>
          <w:p w:rsidR="00114071" w:rsidRPr="00C46A29" w:rsidRDefault="00114071" w:rsidP="003A1BD9">
            <w:pPr>
              <w:pStyle w:val="Tdec"/>
              <w:rPr>
                <w:rFonts w:ascii="Arial" w:hAnsi="Arial" w:cs="Arial"/>
                <w:sz w:val="19"/>
                <w:szCs w:val="19"/>
                <w:highlight w:val="yellow"/>
              </w:rPr>
            </w:pPr>
          </w:p>
        </w:tc>
        <w:tc>
          <w:tcPr>
            <w:tcW w:w="1106" w:type="dxa"/>
          </w:tcPr>
          <w:p w:rsidR="00114071" w:rsidRPr="00C46A29" w:rsidRDefault="00114071" w:rsidP="003A1BD9">
            <w:pPr>
              <w:pStyle w:val="Tdec"/>
              <w:rPr>
                <w:rFonts w:ascii="Arial" w:hAnsi="Arial" w:cs="Arial"/>
                <w:sz w:val="19"/>
                <w:szCs w:val="19"/>
                <w:highlight w:val="yellow"/>
              </w:rPr>
            </w:pPr>
          </w:p>
        </w:tc>
        <w:tc>
          <w:tcPr>
            <w:tcW w:w="1134" w:type="dxa"/>
          </w:tcPr>
          <w:p w:rsidR="00114071" w:rsidRPr="00C46A29" w:rsidRDefault="00114071" w:rsidP="003A1BD9">
            <w:pPr>
              <w:pStyle w:val="Tdec"/>
              <w:rPr>
                <w:rFonts w:ascii="Arial" w:hAnsi="Arial" w:cs="Arial"/>
                <w:sz w:val="19"/>
                <w:szCs w:val="19"/>
                <w:highlight w:val="yellow"/>
              </w:rPr>
            </w:pPr>
          </w:p>
        </w:tc>
        <w:tc>
          <w:tcPr>
            <w:tcW w:w="1134" w:type="dxa"/>
          </w:tcPr>
          <w:p w:rsidR="00114071" w:rsidRPr="00002697" w:rsidRDefault="00002697" w:rsidP="003A1BD9">
            <w:pPr>
              <w:pStyle w:val="Tdec"/>
              <w:rPr>
                <w:rFonts w:ascii="Arial" w:hAnsi="Arial" w:cs="Arial"/>
                <w:sz w:val="19"/>
                <w:szCs w:val="19"/>
              </w:rPr>
            </w:pPr>
            <w:r w:rsidRPr="00002697">
              <w:rPr>
                <w:rFonts w:ascii="Arial" w:hAnsi="Arial" w:cs="Arial"/>
                <w:sz w:val="19"/>
                <w:szCs w:val="19"/>
              </w:rPr>
              <w:t>(7,080</w:t>
            </w:r>
            <w:r w:rsidR="00114071" w:rsidRPr="00002697">
              <w:rPr>
                <w:rFonts w:ascii="Arial" w:hAnsi="Arial" w:cs="Arial"/>
                <w:sz w:val="19"/>
                <w:szCs w:val="19"/>
              </w:rPr>
              <w:t>)</w:t>
            </w:r>
          </w:p>
        </w:tc>
        <w:tc>
          <w:tcPr>
            <w:tcW w:w="1134" w:type="dxa"/>
          </w:tcPr>
          <w:p w:rsidR="00114071" w:rsidRPr="00002697" w:rsidRDefault="0090555D" w:rsidP="003A1BD9">
            <w:pPr>
              <w:pStyle w:val="Tdec"/>
              <w:rPr>
                <w:rFonts w:ascii="Arial" w:hAnsi="Arial" w:cs="Arial"/>
                <w:sz w:val="19"/>
                <w:szCs w:val="19"/>
              </w:rPr>
            </w:pPr>
            <w:r w:rsidRPr="00002697">
              <w:rPr>
                <w:rFonts w:ascii="Arial" w:hAnsi="Arial" w:cs="Arial"/>
                <w:sz w:val="19"/>
                <w:szCs w:val="19"/>
              </w:rPr>
              <w:t>(5,200</w:t>
            </w:r>
            <w:r w:rsidR="00114071" w:rsidRPr="00002697">
              <w:rPr>
                <w:rFonts w:ascii="Arial" w:hAnsi="Arial" w:cs="Arial"/>
                <w:sz w:val="19"/>
                <w:szCs w:val="19"/>
              </w:rPr>
              <w:t>)</w:t>
            </w:r>
          </w:p>
        </w:tc>
      </w:tr>
      <w:tr w:rsidR="00114071" w:rsidRPr="00070D17" w:rsidTr="00114071">
        <w:trPr>
          <w:cantSplit/>
        </w:trPr>
        <w:tc>
          <w:tcPr>
            <w:tcW w:w="3856" w:type="dxa"/>
            <w:gridSpan w:val="2"/>
          </w:tcPr>
          <w:p w:rsidR="00114071" w:rsidRPr="00070D17" w:rsidRDefault="00114071" w:rsidP="003A1BD9">
            <w:pPr>
              <w:pStyle w:val="Tindent"/>
              <w:rPr>
                <w:rFonts w:ascii="Arial" w:hAnsi="Arial" w:cs="Arial"/>
                <w:sz w:val="19"/>
                <w:szCs w:val="19"/>
              </w:rPr>
            </w:pPr>
          </w:p>
        </w:tc>
        <w:tc>
          <w:tcPr>
            <w:tcW w:w="1134" w:type="dxa"/>
          </w:tcPr>
          <w:p w:rsidR="00114071" w:rsidRPr="00070D17" w:rsidRDefault="00114071" w:rsidP="003A1BD9">
            <w:pPr>
              <w:pStyle w:val="Tdec"/>
              <w:rPr>
                <w:rFonts w:ascii="Arial" w:hAnsi="Arial" w:cs="Arial"/>
                <w:sz w:val="19"/>
                <w:szCs w:val="19"/>
              </w:rPr>
            </w:pPr>
          </w:p>
        </w:tc>
        <w:tc>
          <w:tcPr>
            <w:tcW w:w="1106" w:type="dxa"/>
          </w:tcPr>
          <w:p w:rsidR="00114071" w:rsidRPr="00070D17" w:rsidRDefault="00114071" w:rsidP="003A1BD9">
            <w:pPr>
              <w:pStyle w:val="Tdec"/>
              <w:rPr>
                <w:rFonts w:ascii="Arial" w:hAnsi="Arial" w:cs="Arial"/>
                <w:sz w:val="19"/>
                <w:szCs w:val="19"/>
              </w:rPr>
            </w:pPr>
          </w:p>
        </w:tc>
        <w:tc>
          <w:tcPr>
            <w:tcW w:w="1134" w:type="dxa"/>
          </w:tcPr>
          <w:p w:rsidR="00114071" w:rsidRPr="00070D17" w:rsidRDefault="00114071" w:rsidP="003A1BD9">
            <w:pPr>
              <w:pStyle w:val="Tdec"/>
              <w:rPr>
                <w:rFonts w:ascii="Arial" w:hAnsi="Arial" w:cs="Arial"/>
                <w:sz w:val="19"/>
                <w:szCs w:val="19"/>
              </w:rPr>
            </w:pPr>
          </w:p>
        </w:tc>
        <w:tc>
          <w:tcPr>
            <w:tcW w:w="1134" w:type="dxa"/>
          </w:tcPr>
          <w:p w:rsidR="00114071" w:rsidRPr="00070D17" w:rsidRDefault="00114071" w:rsidP="003A1BD9">
            <w:pPr>
              <w:pStyle w:val="D9"/>
              <w:spacing w:line="240" w:lineRule="auto"/>
              <w:rPr>
                <w:rFonts w:ascii="Arial" w:hAnsi="Arial" w:cs="Arial"/>
                <w:sz w:val="19"/>
                <w:szCs w:val="19"/>
              </w:rPr>
            </w:pPr>
          </w:p>
        </w:tc>
        <w:tc>
          <w:tcPr>
            <w:tcW w:w="1134" w:type="dxa"/>
          </w:tcPr>
          <w:p w:rsidR="00114071" w:rsidRPr="00070D17" w:rsidRDefault="00114071" w:rsidP="003A1BD9">
            <w:pPr>
              <w:pStyle w:val="D9"/>
              <w:spacing w:line="240" w:lineRule="auto"/>
              <w:rPr>
                <w:rFonts w:ascii="Arial" w:hAnsi="Arial" w:cs="Arial"/>
                <w:sz w:val="19"/>
                <w:szCs w:val="19"/>
              </w:rPr>
            </w:pPr>
          </w:p>
        </w:tc>
      </w:tr>
    </w:tbl>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FB2E5A" w:rsidRDefault="00FB2E5A" w:rsidP="00FB2E5A">
      <w:pPr>
        <w:spacing w:after="0"/>
        <w:jc w:val="left"/>
        <w:rPr>
          <w:rFonts w:ascii="Arial" w:hAnsi="Arial" w:cs="Arial"/>
          <w:b/>
          <w:sz w:val="24"/>
          <w:szCs w:val="19"/>
        </w:rPr>
      </w:pPr>
    </w:p>
    <w:p w:rsidR="00732FF9" w:rsidRDefault="00732FF9" w:rsidP="00FB2E5A">
      <w:pPr>
        <w:spacing w:after="0"/>
        <w:jc w:val="left"/>
        <w:rPr>
          <w:rFonts w:ascii="Arial" w:hAnsi="Arial" w:cs="Arial"/>
          <w:b/>
          <w:sz w:val="24"/>
          <w:szCs w:val="19"/>
        </w:rPr>
      </w:pPr>
    </w:p>
    <w:p w:rsidR="00732FF9" w:rsidRDefault="00732FF9" w:rsidP="00FB2E5A">
      <w:pPr>
        <w:spacing w:after="0"/>
        <w:jc w:val="left"/>
        <w:rPr>
          <w:rFonts w:ascii="Arial" w:hAnsi="Arial" w:cs="Arial"/>
          <w:b/>
          <w:sz w:val="24"/>
          <w:szCs w:val="19"/>
        </w:rPr>
      </w:pPr>
    </w:p>
    <w:p w:rsidR="003B6147" w:rsidRPr="003B6147" w:rsidRDefault="003B6147" w:rsidP="00C20F5C">
      <w:pPr>
        <w:jc w:val="left"/>
        <w:rPr>
          <w:rFonts w:ascii="Arial" w:hAnsi="Arial" w:cs="Arial"/>
          <w:b/>
          <w:sz w:val="19"/>
          <w:szCs w:val="19"/>
          <w:lang w:val="en-US"/>
        </w:rPr>
      </w:pPr>
      <w:r>
        <w:rPr>
          <w:rFonts w:ascii="Arial" w:hAnsi="Arial" w:cs="Arial"/>
          <w:b/>
          <w:sz w:val="19"/>
          <w:szCs w:val="19"/>
          <w:lang w:val="en-US"/>
        </w:rPr>
        <w:lastRenderedPageBreak/>
        <w:t>18 Pension Schemes (continued)</w:t>
      </w:r>
    </w:p>
    <w:p w:rsidR="00143053" w:rsidRPr="002C5113" w:rsidRDefault="00143053" w:rsidP="00C20F5C">
      <w:pPr>
        <w:jc w:val="left"/>
        <w:rPr>
          <w:rFonts w:ascii="Arial" w:hAnsi="Arial" w:cs="Arial"/>
          <w:b/>
          <w:szCs w:val="19"/>
          <w:lang w:val="en-US"/>
        </w:rPr>
      </w:pPr>
      <w:r w:rsidRPr="002C5113">
        <w:rPr>
          <w:rFonts w:ascii="Arial" w:hAnsi="Arial" w:cs="Arial"/>
          <w:b/>
          <w:szCs w:val="19"/>
          <w:lang w:val="en-US"/>
        </w:rPr>
        <w:t>Movements in present value of defined benefit obligations</w:t>
      </w:r>
    </w:p>
    <w:tbl>
      <w:tblPr>
        <w:tblW w:w="9498" w:type="dxa"/>
        <w:tblLayout w:type="fixed"/>
        <w:tblCellMar>
          <w:left w:w="28" w:type="dxa"/>
          <w:right w:w="28" w:type="dxa"/>
        </w:tblCellMar>
        <w:tblLook w:val="0000" w:firstRow="0" w:lastRow="0" w:firstColumn="0" w:lastColumn="0" w:noHBand="0" w:noVBand="0"/>
      </w:tblPr>
      <w:tblGrid>
        <w:gridCol w:w="3828"/>
        <w:gridCol w:w="28"/>
        <w:gridCol w:w="708"/>
        <w:gridCol w:w="142"/>
        <w:gridCol w:w="142"/>
        <w:gridCol w:w="114"/>
        <w:gridCol w:w="1134"/>
        <w:gridCol w:w="1134"/>
        <w:gridCol w:w="1134"/>
        <w:gridCol w:w="1134"/>
      </w:tblGrid>
      <w:tr w:rsidR="00143053" w:rsidRPr="00C46A29" w:rsidTr="00143053">
        <w:trPr>
          <w:cantSplit/>
        </w:trPr>
        <w:tc>
          <w:tcPr>
            <w:tcW w:w="3828" w:type="dxa"/>
          </w:tcPr>
          <w:p w:rsidR="00143053" w:rsidRPr="00C46A29" w:rsidRDefault="00143053" w:rsidP="003A1BD9">
            <w:pPr>
              <w:pStyle w:val="Tindent"/>
              <w:keepLines/>
              <w:rPr>
                <w:rFonts w:ascii="Arial" w:hAnsi="Arial" w:cs="Arial"/>
                <w:b/>
                <w:sz w:val="19"/>
                <w:szCs w:val="19"/>
                <w:highlight w:val="yellow"/>
              </w:rPr>
            </w:pPr>
          </w:p>
        </w:tc>
        <w:tc>
          <w:tcPr>
            <w:tcW w:w="1134" w:type="dxa"/>
            <w:gridSpan w:val="5"/>
          </w:tcPr>
          <w:p w:rsidR="00143053" w:rsidRPr="00C46A29" w:rsidRDefault="00143053" w:rsidP="003A1BD9">
            <w:pPr>
              <w:pStyle w:val="Thead"/>
              <w:rPr>
                <w:rFonts w:ascii="Arial" w:hAnsi="Arial" w:cs="Arial"/>
                <w:sz w:val="19"/>
                <w:szCs w:val="19"/>
                <w:highlight w:val="yellow"/>
              </w:rPr>
            </w:pPr>
          </w:p>
        </w:tc>
        <w:tc>
          <w:tcPr>
            <w:tcW w:w="1134" w:type="dxa"/>
          </w:tcPr>
          <w:p w:rsidR="00143053" w:rsidRPr="00C46A29" w:rsidRDefault="00143053" w:rsidP="003A1BD9">
            <w:pPr>
              <w:pStyle w:val="Thead"/>
              <w:rPr>
                <w:rFonts w:ascii="Arial" w:hAnsi="Arial" w:cs="Arial"/>
                <w:sz w:val="19"/>
                <w:szCs w:val="19"/>
                <w:highlight w:val="yellow"/>
              </w:rPr>
            </w:pPr>
          </w:p>
        </w:tc>
        <w:tc>
          <w:tcPr>
            <w:tcW w:w="1134" w:type="dxa"/>
          </w:tcPr>
          <w:p w:rsidR="00143053" w:rsidRPr="00C46A29" w:rsidRDefault="00143053" w:rsidP="003A1BD9">
            <w:pPr>
              <w:pStyle w:val="Thead"/>
              <w:rPr>
                <w:rFonts w:ascii="Arial" w:hAnsi="Arial" w:cs="Arial"/>
                <w:sz w:val="19"/>
                <w:szCs w:val="19"/>
                <w:highlight w:val="yellow"/>
              </w:rPr>
            </w:pPr>
          </w:p>
        </w:tc>
        <w:tc>
          <w:tcPr>
            <w:tcW w:w="1134" w:type="dxa"/>
          </w:tcPr>
          <w:p w:rsidR="00143053" w:rsidRPr="00002697" w:rsidRDefault="0090555D" w:rsidP="003A1BD9">
            <w:pPr>
              <w:pStyle w:val="Thead"/>
              <w:rPr>
                <w:rFonts w:ascii="Arial" w:hAnsi="Arial" w:cs="Arial"/>
                <w:sz w:val="19"/>
                <w:szCs w:val="19"/>
              </w:rPr>
            </w:pPr>
            <w:r w:rsidRPr="00002697">
              <w:rPr>
                <w:rFonts w:ascii="Arial" w:hAnsi="Arial" w:cs="Arial"/>
                <w:sz w:val="19"/>
                <w:szCs w:val="19"/>
              </w:rPr>
              <w:t>2015</w:t>
            </w:r>
          </w:p>
          <w:p w:rsidR="00143053" w:rsidRPr="00002697" w:rsidRDefault="00143053" w:rsidP="003A1BD9">
            <w:pPr>
              <w:pStyle w:val="Thead"/>
              <w:rPr>
                <w:rFonts w:ascii="Arial" w:hAnsi="Arial" w:cs="Arial"/>
                <w:sz w:val="19"/>
                <w:szCs w:val="19"/>
              </w:rPr>
            </w:pPr>
            <w:r w:rsidRPr="00002697">
              <w:rPr>
                <w:rFonts w:ascii="Arial" w:hAnsi="Arial" w:cs="Arial"/>
                <w:sz w:val="19"/>
                <w:szCs w:val="19"/>
              </w:rPr>
              <w:t>£000</w:t>
            </w:r>
          </w:p>
        </w:tc>
        <w:tc>
          <w:tcPr>
            <w:tcW w:w="1134" w:type="dxa"/>
          </w:tcPr>
          <w:p w:rsidR="0090555D" w:rsidRPr="0090555D" w:rsidRDefault="0090555D" w:rsidP="0090555D">
            <w:pPr>
              <w:pStyle w:val="Thead"/>
              <w:rPr>
                <w:rFonts w:ascii="Arial" w:hAnsi="Arial" w:cs="Arial"/>
                <w:sz w:val="19"/>
                <w:szCs w:val="19"/>
              </w:rPr>
            </w:pPr>
            <w:r w:rsidRPr="0090555D">
              <w:rPr>
                <w:rFonts w:ascii="Arial" w:hAnsi="Arial" w:cs="Arial"/>
                <w:sz w:val="19"/>
                <w:szCs w:val="19"/>
              </w:rPr>
              <w:t>2014</w:t>
            </w:r>
          </w:p>
          <w:p w:rsidR="00143053" w:rsidRPr="0090555D" w:rsidRDefault="00143053" w:rsidP="003A1BD9">
            <w:pPr>
              <w:pStyle w:val="Thead"/>
              <w:rPr>
                <w:rFonts w:ascii="Arial" w:hAnsi="Arial" w:cs="Arial"/>
                <w:sz w:val="19"/>
                <w:szCs w:val="19"/>
              </w:rPr>
            </w:pPr>
            <w:r w:rsidRPr="0090555D">
              <w:rPr>
                <w:rFonts w:ascii="Arial" w:hAnsi="Arial" w:cs="Arial"/>
                <w:sz w:val="19"/>
                <w:szCs w:val="19"/>
              </w:rPr>
              <w:t>£000</w:t>
            </w:r>
          </w:p>
        </w:tc>
      </w:tr>
      <w:tr w:rsidR="00143053" w:rsidRPr="00C46A29" w:rsidTr="00143053">
        <w:trPr>
          <w:cantSplit/>
        </w:trPr>
        <w:tc>
          <w:tcPr>
            <w:tcW w:w="3828" w:type="dxa"/>
          </w:tcPr>
          <w:p w:rsidR="00143053" w:rsidRPr="00C46A29" w:rsidRDefault="00143053" w:rsidP="003A1BD9">
            <w:pPr>
              <w:pStyle w:val="B0"/>
              <w:spacing w:line="240" w:lineRule="auto"/>
              <w:rPr>
                <w:rFonts w:ascii="Arial" w:hAnsi="Arial" w:cs="Arial"/>
                <w:sz w:val="19"/>
                <w:szCs w:val="19"/>
                <w:highlight w:val="yellow"/>
              </w:rPr>
            </w:pPr>
          </w:p>
        </w:tc>
        <w:tc>
          <w:tcPr>
            <w:tcW w:w="1134" w:type="dxa"/>
            <w:gridSpan w:val="5"/>
          </w:tcPr>
          <w:p w:rsidR="00143053" w:rsidRPr="00C46A29" w:rsidRDefault="00143053" w:rsidP="003A1BD9">
            <w:pPr>
              <w:pStyle w:val="B0"/>
              <w:spacing w:line="240" w:lineRule="auto"/>
              <w:rPr>
                <w:rFonts w:ascii="Arial" w:hAnsi="Arial" w:cs="Arial"/>
                <w:sz w:val="19"/>
                <w:szCs w:val="19"/>
                <w:highlight w:val="yellow"/>
              </w:rPr>
            </w:pPr>
          </w:p>
        </w:tc>
        <w:tc>
          <w:tcPr>
            <w:tcW w:w="1134" w:type="dxa"/>
          </w:tcPr>
          <w:p w:rsidR="00143053" w:rsidRPr="00C46A29" w:rsidRDefault="00143053" w:rsidP="003A1BD9">
            <w:pPr>
              <w:pStyle w:val="B0"/>
              <w:spacing w:line="240" w:lineRule="auto"/>
              <w:rPr>
                <w:rFonts w:ascii="Arial" w:hAnsi="Arial" w:cs="Arial"/>
                <w:sz w:val="19"/>
                <w:szCs w:val="19"/>
                <w:highlight w:val="yellow"/>
              </w:rPr>
            </w:pPr>
          </w:p>
        </w:tc>
        <w:tc>
          <w:tcPr>
            <w:tcW w:w="1134" w:type="dxa"/>
          </w:tcPr>
          <w:p w:rsidR="00143053" w:rsidRPr="00C46A29" w:rsidRDefault="00143053" w:rsidP="003A1BD9">
            <w:pPr>
              <w:pStyle w:val="B0"/>
              <w:spacing w:line="240" w:lineRule="auto"/>
              <w:rPr>
                <w:rFonts w:ascii="Arial" w:hAnsi="Arial" w:cs="Arial"/>
                <w:sz w:val="19"/>
                <w:szCs w:val="19"/>
                <w:highlight w:val="yellow"/>
              </w:rPr>
            </w:pPr>
          </w:p>
        </w:tc>
        <w:tc>
          <w:tcPr>
            <w:tcW w:w="1134" w:type="dxa"/>
          </w:tcPr>
          <w:p w:rsidR="00143053" w:rsidRPr="00002697" w:rsidRDefault="00143053" w:rsidP="003A1BD9">
            <w:pPr>
              <w:pStyle w:val="B0"/>
              <w:spacing w:line="240" w:lineRule="auto"/>
              <w:rPr>
                <w:rFonts w:ascii="Arial" w:hAnsi="Arial" w:cs="Arial"/>
                <w:sz w:val="19"/>
                <w:szCs w:val="19"/>
              </w:rPr>
            </w:pPr>
          </w:p>
        </w:tc>
        <w:tc>
          <w:tcPr>
            <w:tcW w:w="1134" w:type="dxa"/>
          </w:tcPr>
          <w:p w:rsidR="00143053" w:rsidRPr="0090555D" w:rsidRDefault="00143053" w:rsidP="003A1BD9">
            <w:pPr>
              <w:pStyle w:val="B0"/>
              <w:spacing w:line="240" w:lineRule="auto"/>
              <w:rPr>
                <w:rFonts w:ascii="Arial" w:hAnsi="Arial" w:cs="Arial"/>
                <w:sz w:val="19"/>
                <w:szCs w:val="19"/>
              </w:rPr>
            </w:pP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At 1 April</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002697" w:rsidP="003A1BD9">
            <w:pPr>
              <w:pStyle w:val="Tdec"/>
              <w:rPr>
                <w:rFonts w:ascii="Arial" w:hAnsi="Arial" w:cs="Arial"/>
                <w:sz w:val="19"/>
                <w:szCs w:val="19"/>
              </w:rPr>
            </w:pPr>
            <w:r w:rsidRPr="00002697">
              <w:rPr>
                <w:rFonts w:ascii="Arial" w:hAnsi="Arial" w:cs="Arial"/>
                <w:sz w:val="19"/>
                <w:szCs w:val="19"/>
              </w:rPr>
              <w:t>(30,020</w:t>
            </w:r>
            <w:r w:rsidR="00E12474" w:rsidRPr="00002697">
              <w:rPr>
                <w:rFonts w:ascii="Arial" w:hAnsi="Arial" w:cs="Arial"/>
                <w:sz w:val="19"/>
                <w:szCs w:val="19"/>
              </w:rPr>
              <w:t>)</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(32,110</w:t>
            </w:r>
            <w:r w:rsidR="00143053" w:rsidRPr="0090555D">
              <w:rPr>
                <w:rFonts w:ascii="Arial" w:hAnsi="Arial" w:cs="Arial"/>
                <w:sz w:val="19"/>
                <w:szCs w:val="19"/>
              </w:rPr>
              <w:t>)</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143053" w:rsidP="003A1BD9">
            <w:pPr>
              <w:pStyle w:val="Tdec"/>
              <w:rPr>
                <w:rFonts w:ascii="Arial" w:hAnsi="Arial" w:cs="Arial"/>
                <w:sz w:val="19"/>
                <w:szCs w:val="19"/>
              </w:rPr>
            </w:pPr>
          </w:p>
        </w:tc>
        <w:tc>
          <w:tcPr>
            <w:tcW w:w="1134" w:type="dxa"/>
          </w:tcPr>
          <w:p w:rsidR="00143053" w:rsidRPr="0090555D" w:rsidRDefault="00143053" w:rsidP="003A1BD9">
            <w:pPr>
              <w:pStyle w:val="Tdec"/>
              <w:rPr>
                <w:rFonts w:ascii="Arial" w:hAnsi="Arial" w:cs="Arial"/>
                <w:sz w:val="19"/>
                <w:szCs w:val="19"/>
              </w:rPr>
            </w:pP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Current service cost</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002697" w:rsidP="003A1BD9">
            <w:pPr>
              <w:pStyle w:val="Tdec"/>
              <w:rPr>
                <w:rFonts w:ascii="Arial" w:hAnsi="Arial" w:cs="Arial"/>
                <w:sz w:val="19"/>
                <w:szCs w:val="19"/>
              </w:rPr>
            </w:pPr>
            <w:r w:rsidRPr="00002697">
              <w:rPr>
                <w:rFonts w:ascii="Arial" w:hAnsi="Arial" w:cs="Arial"/>
                <w:sz w:val="19"/>
                <w:szCs w:val="19"/>
              </w:rPr>
              <w:t>(1,160</w:t>
            </w:r>
            <w:r w:rsidR="00E12474" w:rsidRPr="00002697">
              <w:rPr>
                <w:rFonts w:ascii="Arial" w:hAnsi="Arial" w:cs="Arial"/>
                <w:sz w:val="19"/>
                <w:szCs w:val="19"/>
              </w:rPr>
              <w:t>)</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(950</w:t>
            </w:r>
            <w:r w:rsidR="00143053" w:rsidRPr="0090555D">
              <w:rPr>
                <w:rFonts w:ascii="Arial" w:hAnsi="Arial" w:cs="Arial"/>
                <w:sz w:val="19"/>
                <w:szCs w:val="19"/>
              </w:rPr>
              <w:t>)</w:t>
            </w:r>
          </w:p>
        </w:tc>
      </w:tr>
      <w:tr w:rsidR="00143053" w:rsidRPr="00C46A29" w:rsidTr="00143053">
        <w:trPr>
          <w:cantSplit/>
        </w:trPr>
        <w:tc>
          <w:tcPr>
            <w:tcW w:w="3856" w:type="dxa"/>
            <w:gridSpan w:val="2"/>
          </w:tcPr>
          <w:p w:rsidR="00143053" w:rsidRPr="002C5113" w:rsidRDefault="00F16068" w:rsidP="003A1BD9">
            <w:pPr>
              <w:pStyle w:val="Tindent"/>
              <w:rPr>
                <w:rFonts w:ascii="Arial" w:hAnsi="Arial" w:cs="Arial"/>
                <w:sz w:val="19"/>
                <w:szCs w:val="19"/>
              </w:rPr>
            </w:pPr>
            <w:r w:rsidRPr="002C5113">
              <w:rPr>
                <w:rFonts w:ascii="Arial" w:hAnsi="Arial" w:cs="Arial"/>
                <w:sz w:val="19"/>
                <w:szCs w:val="19"/>
              </w:rPr>
              <w:t>Interest</w:t>
            </w:r>
            <w:r w:rsidR="00143053" w:rsidRPr="002C5113">
              <w:rPr>
                <w:rFonts w:ascii="Arial" w:hAnsi="Arial" w:cs="Arial"/>
                <w:sz w:val="19"/>
                <w:szCs w:val="19"/>
              </w:rPr>
              <w:t xml:space="preserve"> cost</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002697" w:rsidP="003A1BD9">
            <w:pPr>
              <w:pStyle w:val="Tdec"/>
              <w:rPr>
                <w:rFonts w:ascii="Arial" w:hAnsi="Arial" w:cs="Arial"/>
                <w:sz w:val="19"/>
                <w:szCs w:val="19"/>
              </w:rPr>
            </w:pPr>
            <w:r w:rsidRPr="00002697">
              <w:rPr>
                <w:rFonts w:ascii="Arial" w:hAnsi="Arial" w:cs="Arial"/>
                <w:sz w:val="19"/>
                <w:szCs w:val="19"/>
              </w:rPr>
              <w:t>(1,310</w:t>
            </w:r>
            <w:r w:rsidR="00E12474" w:rsidRPr="00002697">
              <w:rPr>
                <w:rFonts w:ascii="Arial" w:hAnsi="Arial" w:cs="Arial"/>
                <w:sz w:val="19"/>
                <w:szCs w:val="19"/>
              </w:rPr>
              <w:t>)</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(1,500</w:t>
            </w:r>
            <w:r w:rsidR="00143053" w:rsidRPr="0090555D">
              <w:rPr>
                <w:rFonts w:ascii="Arial" w:hAnsi="Arial" w:cs="Arial"/>
                <w:sz w:val="19"/>
                <w:szCs w:val="19"/>
              </w:rPr>
              <w:t>)</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Actuarial losses</w:t>
            </w:r>
            <w:r w:rsidR="00114071" w:rsidRPr="002C5113">
              <w:rPr>
                <w:rFonts w:ascii="Arial" w:hAnsi="Arial" w:cs="Arial"/>
                <w:sz w:val="19"/>
                <w:szCs w:val="19"/>
              </w:rPr>
              <w:t>/gains</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E12474" w:rsidP="003A1BD9">
            <w:pPr>
              <w:pStyle w:val="Tdec"/>
              <w:rPr>
                <w:rFonts w:ascii="Arial" w:hAnsi="Arial" w:cs="Arial"/>
                <w:sz w:val="19"/>
                <w:szCs w:val="19"/>
              </w:rPr>
            </w:pPr>
            <w:r w:rsidRPr="00002697">
              <w:rPr>
                <w:rFonts w:ascii="Arial" w:hAnsi="Arial" w:cs="Arial"/>
                <w:sz w:val="19"/>
                <w:szCs w:val="19"/>
              </w:rPr>
              <w:t xml:space="preserve"> </w:t>
            </w:r>
            <w:r w:rsidR="00002697" w:rsidRPr="00002697">
              <w:rPr>
                <w:rFonts w:ascii="Arial" w:hAnsi="Arial" w:cs="Arial"/>
                <w:sz w:val="19"/>
                <w:szCs w:val="19"/>
              </w:rPr>
              <w:t>(3,350)</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4,520</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Contributions by members</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002697" w:rsidP="003A1BD9">
            <w:pPr>
              <w:pStyle w:val="Tdec"/>
              <w:rPr>
                <w:rFonts w:ascii="Arial" w:hAnsi="Arial" w:cs="Arial"/>
                <w:sz w:val="19"/>
                <w:szCs w:val="19"/>
              </w:rPr>
            </w:pPr>
            <w:r w:rsidRPr="00002697">
              <w:rPr>
                <w:rFonts w:ascii="Arial" w:hAnsi="Arial" w:cs="Arial"/>
                <w:sz w:val="19"/>
                <w:szCs w:val="19"/>
              </w:rPr>
              <w:t>(360</w:t>
            </w:r>
            <w:r w:rsidR="00E12474" w:rsidRPr="00002697">
              <w:rPr>
                <w:rFonts w:ascii="Arial" w:hAnsi="Arial" w:cs="Arial"/>
                <w:sz w:val="19"/>
                <w:szCs w:val="19"/>
              </w:rPr>
              <w:t>)</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(260</w:t>
            </w:r>
            <w:r w:rsidR="00143053" w:rsidRPr="0090555D">
              <w:rPr>
                <w:rFonts w:ascii="Arial" w:hAnsi="Arial" w:cs="Arial"/>
                <w:sz w:val="19"/>
                <w:szCs w:val="19"/>
              </w:rPr>
              <w:t>)</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Benefits paid</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E12474" w:rsidP="003A1BD9">
            <w:pPr>
              <w:pStyle w:val="Tdec"/>
              <w:rPr>
                <w:rFonts w:ascii="Arial" w:hAnsi="Arial" w:cs="Arial"/>
                <w:sz w:val="19"/>
                <w:szCs w:val="19"/>
              </w:rPr>
            </w:pPr>
            <w:r w:rsidRPr="00002697">
              <w:rPr>
                <w:rFonts w:ascii="Arial" w:hAnsi="Arial" w:cs="Arial"/>
                <w:sz w:val="19"/>
                <w:szCs w:val="19"/>
              </w:rPr>
              <w:t>3</w:t>
            </w:r>
            <w:r w:rsidR="00002697" w:rsidRPr="00002697">
              <w:rPr>
                <w:rFonts w:ascii="Arial" w:hAnsi="Arial" w:cs="Arial"/>
                <w:sz w:val="19"/>
                <w:szCs w:val="19"/>
              </w:rPr>
              <w:t>10</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300</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Past service cost</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E12474" w:rsidP="003A1BD9">
            <w:pPr>
              <w:pStyle w:val="Tdec"/>
              <w:rPr>
                <w:rFonts w:ascii="Arial" w:hAnsi="Arial" w:cs="Arial"/>
                <w:sz w:val="19"/>
                <w:szCs w:val="19"/>
              </w:rPr>
            </w:pPr>
            <w:r w:rsidRPr="00002697">
              <w:rPr>
                <w:rFonts w:ascii="Arial" w:hAnsi="Arial" w:cs="Arial"/>
                <w:sz w:val="19"/>
                <w:szCs w:val="19"/>
              </w:rPr>
              <w:t>(20)</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(20</w:t>
            </w:r>
            <w:r w:rsidR="00143053" w:rsidRPr="0090555D">
              <w:rPr>
                <w:rFonts w:ascii="Arial" w:hAnsi="Arial" w:cs="Arial"/>
                <w:sz w:val="19"/>
                <w:szCs w:val="19"/>
              </w:rPr>
              <w:t>)</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Settlements</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114071" w:rsidP="003A1BD9">
            <w:pPr>
              <w:pStyle w:val="Tdec"/>
              <w:rPr>
                <w:rFonts w:ascii="Arial" w:hAnsi="Arial" w:cs="Arial"/>
                <w:sz w:val="19"/>
                <w:szCs w:val="19"/>
              </w:rPr>
            </w:pPr>
            <w:r w:rsidRPr="00002697">
              <w:rPr>
                <w:rFonts w:ascii="Arial" w:hAnsi="Arial" w:cs="Arial"/>
                <w:sz w:val="19"/>
                <w:szCs w:val="19"/>
              </w:rPr>
              <w:t>0</w:t>
            </w:r>
          </w:p>
        </w:tc>
        <w:tc>
          <w:tcPr>
            <w:tcW w:w="1134" w:type="dxa"/>
          </w:tcPr>
          <w:p w:rsidR="00143053" w:rsidRPr="0090555D" w:rsidRDefault="00114071" w:rsidP="003A1BD9">
            <w:pPr>
              <w:pStyle w:val="Tdec"/>
              <w:rPr>
                <w:rFonts w:ascii="Arial" w:hAnsi="Arial" w:cs="Arial"/>
                <w:sz w:val="19"/>
                <w:szCs w:val="19"/>
              </w:rPr>
            </w:pPr>
            <w:r w:rsidRPr="0090555D">
              <w:rPr>
                <w:rFonts w:ascii="Arial" w:hAnsi="Arial" w:cs="Arial"/>
                <w:sz w:val="19"/>
                <w:szCs w:val="19"/>
              </w:rPr>
              <w:t>0</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143053" w:rsidP="003A1BD9">
            <w:pPr>
              <w:pStyle w:val="S9"/>
              <w:spacing w:line="240" w:lineRule="auto"/>
              <w:rPr>
                <w:rFonts w:ascii="Arial" w:hAnsi="Arial" w:cs="Arial"/>
                <w:sz w:val="19"/>
                <w:szCs w:val="19"/>
              </w:rPr>
            </w:pPr>
          </w:p>
        </w:tc>
        <w:tc>
          <w:tcPr>
            <w:tcW w:w="1134" w:type="dxa"/>
          </w:tcPr>
          <w:p w:rsidR="00143053" w:rsidRPr="0090555D" w:rsidRDefault="00143053" w:rsidP="003A1BD9">
            <w:pPr>
              <w:pStyle w:val="S9"/>
              <w:spacing w:line="240" w:lineRule="auto"/>
              <w:rPr>
                <w:rFonts w:ascii="Arial" w:hAnsi="Arial" w:cs="Arial"/>
                <w:sz w:val="19"/>
                <w:szCs w:val="19"/>
              </w:rPr>
            </w:pP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At 31 March</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002697" w:rsidP="003A1BD9">
            <w:pPr>
              <w:pStyle w:val="Tdec"/>
              <w:rPr>
                <w:rFonts w:ascii="Arial" w:hAnsi="Arial" w:cs="Arial"/>
                <w:sz w:val="19"/>
                <w:szCs w:val="19"/>
              </w:rPr>
            </w:pPr>
            <w:r w:rsidRPr="00002697">
              <w:rPr>
                <w:rFonts w:ascii="Arial" w:hAnsi="Arial" w:cs="Arial"/>
                <w:sz w:val="19"/>
                <w:szCs w:val="19"/>
              </w:rPr>
              <w:t>(35,910</w:t>
            </w:r>
            <w:r w:rsidR="002E69C5" w:rsidRPr="00002697">
              <w:rPr>
                <w:rFonts w:ascii="Arial" w:hAnsi="Arial" w:cs="Arial"/>
                <w:sz w:val="19"/>
                <w:szCs w:val="19"/>
              </w:rPr>
              <w:t>)</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(30,020</w:t>
            </w:r>
            <w:r w:rsidR="00143053" w:rsidRPr="0090555D">
              <w:rPr>
                <w:rFonts w:ascii="Arial" w:hAnsi="Arial" w:cs="Arial"/>
                <w:sz w:val="19"/>
                <w:szCs w:val="19"/>
              </w:rPr>
              <w:t>)</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D9"/>
              <w:spacing w:line="240" w:lineRule="auto"/>
              <w:rPr>
                <w:rFonts w:ascii="Arial" w:hAnsi="Arial" w:cs="Arial"/>
                <w:sz w:val="19"/>
                <w:szCs w:val="19"/>
                <w:highlight w:val="yellow"/>
              </w:rPr>
            </w:pPr>
          </w:p>
        </w:tc>
        <w:tc>
          <w:tcPr>
            <w:tcW w:w="1134" w:type="dxa"/>
          </w:tcPr>
          <w:p w:rsidR="00143053" w:rsidRPr="0090555D" w:rsidRDefault="00143053" w:rsidP="003A1BD9">
            <w:pPr>
              <w:pStyle w:val="D9"/>
              <w:spacing w:line="240" w:lineRule="auto"/>
              <w:rPr>
                <w:rFonts w:ascii="Arial" w:hAnsi="Arial" w:cs="Arial"/>
                <w:sz w:val="19"/>
                <w:szCs w:val="19"/>
              </w:rPr>
            </w:pPr>
          </w:p>
        </w:tc>
      </w:tr>
      <w:tr w:rsidR="00143053" w:rsidRPr="00C46A29" w:rsidTr="00143053">
        <w:trPr>
          <w:cantSplit/>
        </w:trPr>
        <w:tc>
          <w:tcPr>
            <w:tcW w:w="4564" w:type="dxa"/>
            <w:gridSpan w:val="3"/>
          </w:tcPr>
          <w:p w:rsidR="00143053" w:rsidRPr="002C5113" w:rsidRDefault="00143053" w:rsidP="003A1BD9">
            <w:pPr>
              <w:pStyle w:val="Tindent"/>
              <w:rPr>
                <w:rFonts w:ascii="Arial" w:hAnsi="Arial" w:cs="Arial"/>
                <w:b/>
                <w:sz w:val="19"/>
                <w:szCs w:val="19"/>
              </w:rPr>
            </w:pPr>
            <w:r w:rsidRPr="002C5113">
              <w:rPr>
                <w:rFonts w:ascii="Arial" w:hAnsi="Arial" w:cs="Arial"/>
                <w:b/>
                <w:sz w:val="19"/>
                <w:szCs w:val="19"/>
              </w:rPr>
              <w:t>Movements in fair value of plan assets</w:t>
            </w:r>
          </w:p>
        </w:tc>
        <w:tc>
          <w:tcPr>
            <w:tcW w:w="398" w:type="dxa"/>
            <w:gridSpan w:val="3"/>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90555D" w:rsidRDefault="00143053" w:rsidP="003A1BD9">
            <w:pPr>
              <w:pStyle w:val="Tdec"/>
              <w:rPr>
                <w:rFonts w:ascii="Arial" w:hAnsi="Arial" w:cs="Arial"/>
                <w:sz w:val="19"/>
                <w:szCs w:val="19"/>
              </w:rPr>
            </w:pP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At 1 April</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97303B" w:rsidP="003A1BD9">
            <w:pPr>
              <w:pStyle w:val="Tdec"/>
              <w:rPr>
                <w:rFonts w:ascii="Arial" w:hAnsi="Arial" w:cs="Arial"/>
                <w:sz w:val="19"/>
                <w:szCs w:val="19"/>
              </w:rPr>
            </w:pPr>
            <w:r w:rsidRPr="00002697">
              <w:rPr>
                <w:rFonts w:ascii="Arial" w:hAnsi="Arial" w:cs="Arial"/>
                <w:sz w:val="19"/>
                <w:szCs w:val="19"/>
              </w:rPr>
              <w:t>2</w:t>
            </w:r>
            <w:r w:rsidR="00002697" w:rsidRPr="00002697">
              <w:rPr>
                <w:rFonts w:ascii="Arial" w:hAnsi="Arial" w:cs="Arial"/>
                <w:sz w:val="19"/>
                <w:szCs w:val="19"/>
              </w:rPr>
              <w:t>4,820</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23,720</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Expected return on plan assets</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97303B" w:rsidP="003A1BD9">
            <w:pPr>
              <w:pStyle w:val="Tdec"/>
              <w:rPr>
                <w:rFonts w:ascii="Arial" w:hAnsi="Arial" w:cs="Arial"/>
                <w:sz w:val="19"/>
                <w:szCs w:val="19"/>
              </w:rPr>
            </w:pPr>
            <w:r w:rsidRPr="00002697">
              <w:rPr>
                <w:rFonts w:ascii="Arial" w:hAnsi="Arial" w:cs="Arial"/>
                <w:sz w:val="19"/>
                <w:szCs w:val="19"/>
              </w:rPr>
              <w:t>1,</w:t>
            </w:r>
            <w:r w:rsidR="00002697" w:rsidRPr="00002697">
              <w:rPr>
                <w:rFonts w:ascii="Arial" w:hAnsi="Arial" w:cs="Arial"/>
                <w:sz w:val="19"/>
                <w:szCs w:val="19"/>
              </w:rPr>
              <w:t>610</w:t>
            </w:r>
          </w:p>
        </w:tc>
        <w:tc>
          <w:tcPr>
            <w:tcW w:w="1134" w:type="dxa"/>
          </w:tcPr>
          <w:p w:rsidR="00143053" w:rsidRPr="0090555D" w:rsidRDefault="00143053" w:rsidP="003A1BD9">
            <w:pPr>
              <w:pStyle w:val="Tdec"/>
              <w:rPr>
                <w:rFonts w:ascii="Arial" w:hAnsi="Arial" w:cs="Arial"/>
                <w:sz w:val="19"/>
                <w:szCs w:val="19"/>
              </w:rPr>
            </w:pPr>
            <w:r w:rsidRPr="0090555D">
              <w:rPr>
                <w:rFonts w:ascii="Arial" w:hAnsi="Arial" w:cs="Arial"/>
                <w:sz w:val="19"/>
                <w:szCs w:val="19"/>
              </w:rPr>
              <w:t>1,</w:t>
            </w:r>
            <w:r w:rsidR="0090555D" w:rsidRPr="0090555D">
              <w:rPr>
                <w:rFonts w:ascii="Arial" w:hAnsi="Arial" w:cs="Arial"/>
                <w:sz w:val="19"/>
                <w:szCs w:val="19"/>
              </w:rPr>
              <w:t>550</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Actuarial losses</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002697" w:rsidP="003A1BD9">
            <w:pPr>
              <w:pStyle w:val="Tdec"/>
              <w:rPr>
                <w:rFonts w:ascii="Arial" w:hAnsi="Arial" w:cs="Arial"/>
                <w:sz w:val="19"/>
                <w:szCs w:val="19"/>
              </w:rPr>
            </w:pPr>
            <w:r w:rsidRPr="00002697">
              <w:rPr>
                <w:rFonts w:ascii="Arial" w:hAnsi="Arial" w:cs="Arial"/>
                <w:sz w:val="19"/>
                <w:szCs w:val="19"/>
              </w:rPr>
              <w:t>1,440</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(1,250)</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Contributions by employer</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002697" w:rsidP="003A1BD9">
            <w:pPr>
              <w:pStyle w:val="Tdec"/>
              <w:rPr>
                <w:rFonts w:ascii="Arial" w:hAnsi="Arial" w:cs="Arial"/>
                <w:sz w:val="19"/>
                <w:szCs w:val="19"/>
              </w:rPr>
            </w:pPr>
            <w:r w:rsidRPr="00002697">
              <w:rPr>
                <w:rFonts w:ascii="Arial" w:hAnsi="Arial" w:cs="Arial"/>
                <w:sz w:val="19"/>
                <w:szCs w:val="19"/>
              </w:rPr>
              <w:t>910</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840</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Contributions by members</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002697" w:rsidP="003A1BD9">
            <w:pPr>
              <w:pStyle w:val="Tdec"/>
              <w:rPr>
                <w:rFonts w:ascii="Arial" w:hAnsi="Arial" w:cs="Arial"/>
                <w:sz w:val="19"/>
                <w:szCs w:val="19"/>
              </w:rPr>
            </w:pPr>
            <w:r w:rsidRPr="00002697">
              <w:rPr>
                <w:rFonts w:ascii="Arial" w:hAnsi="Arial" w:cs="Arial"/>
                <w:sz w:val="19"/>
                <w:szCs w:val="19"/>
              </w:rPr>
              <w:t>360</w:t>
            </w:r>
          </w:p>
        </w:tc>
        <w:tc>
          <w:tcPr>
            <w:tcW w:w="1134" w:type="dxa"/>
          </w:tcPr>
          <w:p w:rsidR="00143053" w:rsidRPr="0090555D" w:rsidRDefault="00143053" w:rsidP="003A1BD9">
            <w:pPr>
              <w:pStyle w:val="Tdec"/>
              <w:rPr>
                <w:rFonts w:ascii="Arial" w:hAnsi="Arial" w:cs="Arial"/>
                <w:sz w:val="19"/>
                <w:szCs w:val="19"/>
              </w:rPr>
            </w:pPr>
            <w:r w:rsidRPr="0090555D">
              <w:rPr>
                <w:rFonts w:ascii="Arial" w:hAnsi="Arial" w:cs="Arial"/>
                <w:sz w:val="19"/>
                <w:szCs w:val="19"/>
              </w:rPr>
              <w:t>2</w:t>
            </w:r>
            <w:r w:rsidR="0090555D" w:rsidRPr="0090555D">
              <w:rPr>
                <w:rFonts w:ascii="Arial" w:hAnsi="Arial" w:cs="Arial"/>
                <w:sz w:val="19"/>
                <w:szCs w:val="19"/>
              </w:rPr>
              <w:t>60</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Benefits paid</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002697" w:rsidP="003A1BD9">
            <w:pPr>
              <w:pStyle w:val="Tdec"/>
              <w:rPr>
                <w:rFonts w:ascii="Arial" w:hAnsi="Arial" w:cs="Arial"/>
                <w:sz w:val="19"/>
                <w:szCs w:val="19"/>
              </w:rPr>
            </w:pPr>
            <w:r w:rsidRPr="00002697">
              <w:rPr>
                <w:rFonts w:ascii="Arial" w:hAnsi="Arial" w:cs="Arial"/>
                <w:sz w:val="19"/>
                <w:szCs w:val="19"/>
              </w:rPr>
              <w:t>(310</w:t>
            </w:r>
            <w:r w:rsidR="0097303B" w:rsidRPr="00002697">
              <w:rPr>
                <w:rFonts w:ascii="Arial" w:hAnsi="Arial" w:cs="Arial"/>
                <w:sz w:val="19"/>
                <w:szCs w:val="19"/>
              </w:rPr>
              <w:t>)</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(300</w:t>
            </w:r>
            <w:r w:rsidR="00143053" w:rsidRPr="0090555D">
              <w:rPr>
                <w:rFonts w:ascii="Arial" w:hAnsi="Arial" w:cs="Arial"/>
                <w:sz w:val="19"/>
                <w:szCs w:val="19"/>
              </w:rPr>
              <w:t>)</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Settlements</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97303B" w:rsidP="003A1BD9">
            <w:pPr>
              <w:pStyle w:val="Tdec"/>
              <w:rPr>
                <w:rFonts w:ascii="Arial" w:hAnsi="Arial" w:cs="Arial"/>
                <w:sz w:val="19"/>
                <w:szCs w:val="19"/>
              </w:rPr>
            </w:pPr>
            <w:r w:rsidRPr="00002697">
              <w:rPr>
                <w:rFonts w:ascii="Arial" w:hAnsi="Arial" w:cs="Arial"/>
                <w:sz w:val="19"/>
                <w:szCs w:val="19"/>
              </w:rPr>
              <w:t>0</w:t>
            </w:r>
          </w:p>
        </w:tc>
        <w:tc>
          <w:tcPr>
            <w:tcW w:w="1134" w:type="dxa"/>
          </w:tcPr>
          <w:p w:rsidR="00143053" w:rsidRPr="0090555D" w:rsidRDefault="00114071" w:rsidP="003A1BD9">
            <w:pPr>
              <w:pStyle w:val="Tdec"/>
              <w:rPr>
                <w:rFonts w:ascii="Arial" w:hAnsi="Arial" w:cs="Arial"/>
                <w:sz w:val="19"/>
                <w:szCs w:val="19"/>
              </w:rPr>
            </w:pPr>
            <w:r w:rsidRPr="0090555D">
              <w:rPr>
                <w:rFonts w:ascii="Arial" w:hAnsi="Arial" w:cs="Arial"/>
                <w:sz w:val="19"/>
                <w:szCs w:val="19"/>
              </w:rPr>
              <w:t>0</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143053" w:rsidP="003A1BD9">
            <w:pPr>
              <w:pStyle w:val="S9"/>
              <w:spacing w:line="240" w:lineRule="auto"/>
              <w:rPr>
                <w:rFonts w:ascii="Arial" w:hAnsi="Arial" w:cs="Arial"/>
                <w:sz w:val="19"/>
                <w:szCs w:val="19"/>
              </w:rPr>
            </w:pPr>
          </w:p>
        </w:tc>
        <w:tc>
          <w:tcPr>
            <w:tcW w:w="1134" w:type="dxa"/>
          </w:tcPr>
          <w:p w:rsidR="00143053" w:rsidRPr="0090555D" w:rsidRDefault="00143053" w:rsidP="003A1BD9">
            <w:pPr>
              <w:pStyle w:val="S9"/>
              <w:spacing w:line="240" w:lineRule="auto"/>
              <w:rPr>
                <w:rFonts w:ascii="Arial" w:hAnsi="Arial" w:cs="Arial"/>
                <w:sz w:val="19"/>
                <w:szCs w:val="19"/>
              </w:rPr>
            </w:pP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At 31 March</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97303B" w:rsidP="003A1BD9">
            <w:pPr>
              <w:pStyle w:val="Tdec"/>
              <w:rPr>
                <w:rFonts w:ascii="Arial" w:hAnsi="Arial" w:cs="Arial"/>
                <w:sz w:val="19"/>
                <w:szCs w:val="19"/>
              </w:rPr>
            </w:pPr>
            <w:r w:rsidRPr="00002697">
              <w:rPr>
                <w:rFonts w:ascii="Arial" w:hAnsi="Arial" w:cs="Arial"/>
                <w:sz w:val="19"/>
                <w:szCs w:val="19"/>
              </w:rPr>
              <w:t>2</w:t>
            </w:r>
            <w:r w:rsidR="00002697" w:rsidRPr="00002697">
              <w:rPr>
                <w:rFonts w:ascii="Arial" w:hAnsi="Arial" w:cs="Arial"/>
                <w:sz w:val="19"/>
                <w:szCs w:val="19"/>
              </w:rPr>
              <w:t>8,830</w:t>
            </w:r>
          </w:p>
        </w:tc>
        <w:tc>
          <w:tcPr>
            <w:tcW w:w="1134" w:type="dxa"/>
          </w:tcPr>
          <w:p w:rsidR="00143053" w:rsidRPr="0090555D" w:rsidRDefault="00296B77" w:rsidP="003A1BD9">
            <w:pPr>
              <w:pStyle w:val="Tdec"/>
              <w:rPr>
                <w:rFonts w:ascii="Arial" w:hAnsi="Arial" w:cs="Arial"/>
                <w:sz w:val="19"/>
                <w:szCs w:val="19"/>
              </w:rPr>
            </w:pPr>
            <w:r w:rsidRPr="0090555D">
              <w:rPr>
                <w:rFonts w:ascii="Arial" w:hAnsi="Arial" w:cs="Arial"/>
                <w:sz w:val="19"/>
                <w:szCs w:val="19"/>
              </w:rPr>
              <w:t>2</w:t>
            </w:r>
            <w:r w:rsidR="0090555D" w:rsidRPr="0090555D">
              <w:rPr>
                <w:rFonts w:ascii="Arial" w:hAnsi="Arial" w:cs="Arial"/>
                <w:sz w:val="19"/>
                <w:szCs w:val="19"/>
              </w:rPr>
              <w:t>4,820</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D9"/>
              <w:spacing w:line="240" w:lineRule="auto"/>
              <w:rPr>
                <w:rFonts w:ascii="Arial" w:hAnsi="Arial" w:cs="Arial"/>
                <w:sz w:val="19"/>
                <w:szCs w:val="19"/>
                <w:highlight w:val="yellow"/>
              </w:rPr>
            </w:pPr>
          </w:p>
        </w:tc>
        <w:tc>
          <w:tcPr>
            <w:tcW w:w="1134" w:type="dxa"/>
          </w:tcPr>
          <w:p w:rsidR="00143053" w:rsidRPr="0090555D" w:rsidRDefault="00143053" w:rsidP="003A1BD9">
            <w:pPr>
              <w:pStyle w:val="D9"/>
              <w:spacing w:line="240" w:lineRule="auto"/>
              <w:rPr>
                <w:rFonts w:ascii="Arial" w:hAnsi="Arial" w:cs="Arial"/>
                <w:sz w:val="19"/>
                <w:szCs w:val="19"/>
              </w:rPr>
            </w:pPr>
          </w:p>
        </w:tc>
      </w:tr>
      <w:tr w:rsidR="00143053" w:rsidRPr="00C46A29" w:rsidTr="00296B77">
        <w:trPr>
          <w:cantSplit/>
        </w:trPr>
        <w:tc>
          <w:tcPr>
            <w:tcW w:w="4706" w:type="dxa"/>
            <w:gridSpan w:val="4"/>
          </w:tcPr>
          <w:p w:rsidR="00143053" w:rsidRPr="002C5113" w:rsidRDefault="00143053" w:rsidP="003A1BD9">
            <w:pPr>
              <w:pStyle w:val="Tindent"/>
              <w:rPr>
                <w:rFonts w:ascii="Arial" w:hAnsi="Arial" w:cs="Arial"/>
                <w:b/>
                <w:sz w:val="19"/>
                <w:szCs w:val="19"/>
              </w:rPr>
            </w:pPr>
            <w:r w:rsidRPr="002C5113">
              <w:rPr>
                <w:rFonts w:ascii="Arial" w:hAnsi="Arial" w:cs="Arial"/>
                <w:b/>
                <w:sz w:val="19"/>
                <w:szCs w:val="19"/>
              </w:rPr>
              <w:t>Expense/(income) recognised in the profit and loss account</w:t>
            </w:r>
          </w:p>
        </w:tc>
        <w:tc>
          <w:tcPr>
            <w:tcW w:w="256" w:type="dxa"/>
            <w:gridSpan w:val="2"/>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90555D" w:rsidRDefault="00143053" w:rsidP="003A1BD9">
            <w:pPr>
              <w:pStyle w:val="Tdec"/>
              <w:rPr>
                <w:rFonts w:ascii="Arial" w:hAnsi="Arial" w:cs="Arial"/>
                <w:sz w:val="19"/>
                <w:szCs w:val="19"/>
              </w:rPr>
            </w:pP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Current service cost</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002697" w:rsidP="003A1BD9">
            <w:pPr>
              <w:pStyle w:val="Tdec"/>
              <w:rPr>
                <w:rFonts w:ascii="Arial" w:hAnsi="Arial" w:cs="Arial"/>
                <w:sz w:val="19"/>
                <w:szCs w:val="19"/>
              </w:rPr>
            </w:pPr>
            <w:r w:rsidRPr="00002697">
              <w:rPr>
                <w:rFonts w:ascii="Arial" w:hAnsi="Arial" w:cs="Arial"/>
                <w:sz w:val="19"/>
                <w:szCs w:val="19"/>
              </w:rPr>
              <w:t>1,160</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950</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Past service cost</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ED2874" w:rsidP="003A1BD9">
            <w:pPr>
              <w:pStyle w:val="Tdec"/>
              <w:rPr>
                <w:rFonts w:ascii="Arial" w:hAnsi="Arial" w:cs="Arial"/>
                <w:sz w:val="19"/>
                <w:szCs w:val="19"/>
              </w:rPr>
            </w:pPr>
            <w:r w:rsidRPr="00002697">
              <w:rPr>
                <w:rFonts w:ascii="Arial" w:hAnsi="Arial" w:cs="Arial"/>
                <w:sz w:val="19"/>
                <w:szCs w:val="19"/>
              </w:rPr>
              <w:t>20</w:t>
            </w:r>
          </w:p>
        </w:tc>
        <w:tc>
          <w:tcPr>
            <w:tcW w:w="1134" w:type="dxa"/>
          </w:tcPr>
          <w:p w:rsidR="00143053" w:rsidRPr="0090555D" w:rsidRDefault="0090555D" w:rsidP="003A1BD9">
            <w:pPr>
              <w:pStyle w:val="Tdec"/>
              <w:rPr>
                <w:rFonts w:ascii="Arial" w:hAnsi="Arial" w:cs="Arial"/>
                <w:sz w:val="19"/>
                <w:szCs w:val="19"/>
              </w:rPr>
            </w:pPr>
            <w:r w:rsidRPr="0090555D">
              <w:rPr>
                <w:rFonts w:ascii="Arial" w:hAnsi="Arial" w:cs="Arial"/>
                <w:sz w:val="19"/>
                <w:szCs w:val="19"/>
              </w:rPr>
              <w:t>20</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Interest cost</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ED2874" w:rsidP="003A1BD9">
            <w:pPr>
              <w:pStyle w:val="Tdec"/>
              <w:rPr>
                <w:rFonts w:ascii="Arial" w:hAnsi="Arial" w:cs="Arial"/>
                <w:sz w:val="19"/>
                <w:szCs w:val="19"/>
              </w:rPr>
            </w:pPr>
            <w:r w:rsidRPr="00002697">
              <w:rPr>
                <w:rFonts w:ascii="Arial" w:hAnsi="Arial" w:cs="Arial"/>
                <w:sz w:val="19"/>
                <w:szCs w:val="19"/>
              </w:rPr>
              <w:t>1,</w:t>
            </w:r>
            <w:r w:rsidR="00002697" w:rsidRPr="00002697">
              <w:rPr>
                <w:rFonts w:ascii="Arial" w:hAnsi="Arial" w:cs="Arial"/>
                <w:sz w:val="19"/>
                <w:szCs w:val="19"/>
              </w:rPr>
              <w:t>310</w:t>
            </w:r>
          </w:p>
        </w:tc>
        <w:tc>
          <w:tcPr>
            <w:tcW w:w="1134" w:type="dxa"/>
          </w:tcPr>
          <w:p w:rsidR="00143053" w:rsidRPr="0090555D" w:rsidRDefault="00143053" w:rsidP="003A1BD9">
            <w:pPr>
              <w:pStyle w:val="Tdec"/>
              <w:rPr>
                <w:rFonts w:ascii="Arial" w:hAnsi="Arial" w:cs="Arial"/>
                <w:sz w:val="19"/>
                <w:szCs w:val="19"/>
              </w:rPr>
            </w:pPr>
            <w:r w:rsidRPr="0090555D">
              <w:rPr>
                <w:rFonts w:ascii="Arial" w:hAnsi="Arial" w:cs="Arial"/>
                <w:sz w:val="19"/>
                <w:szCs w:val="19"/>
              </w:rPr>
              <w:t>1,</w:t>
            </w:r>
            <w:r w:rsidR="0090555D" w:rsidRPr="0090555D">
              <w:rPr>
                <w:rFonts w:ascii="Arial" w:hAnsi="Arial" w:cs="Arial"/>
                <w:sz w:val="19"/>
                <w:szCs w:val="19"/>
              </w:rPr>
              <w:t>500</w:t>
            </w:r>
          </w:p>
        </w:tc>
      </w:tr>
      <w:tr w:rsidR="00143053" w:rsidRPr="00C46A29" w:rsidTr="00143053">
        <w:trPr>
          <w:cantSplit/>
        </w:trPr>
        <w:tc>
          <w:tcPr>
            <w:tcW w:w="4706" w:type="dxa"/>
            <w:gridSpan w:val="4"/>
          </w:tcPr>
          <w:p w:rsidR="00143053" w:rsidRPr="002C5113" w:rsidRDefault="00143053" w:rsidP="003A1BD9">
            <w:pPr>
              <w:pStyle w:val="Tindent"/>
              <w:rPr>
                <w:rFonts w:ascii="Arial" w:hAnsi="Arial" w:cs="Arial"/>
                <w:sz w:val="19"/>
                <w:szCs w:val="19"/>
              </w:rPr>
            </w:pPr>
            <w:r w:rsidRPr="002C5113">
              <w:rPr>
                <w:rFonts w:ascii="Arial" w:hAnsi="Arial" w:cs="Arial"/>
                <w:sz w:val="19"/>
                <w:szCs w:val="19"/>
              </w:rPr>
              <w:t xml:space="preserve">Expected return on defined </w:t>
            </w:r>
            <w:r w:rsidR="00F16068" w:rsidRPr="002C5113">
              <w:rPr>
                <w:rFonts w:ascii="Arial" w:hAnsi="Arial" w:cs="Arial"/>
                <w:sz w:val="19"/>
                <w:szCs w:val="19"/>
              </w:rPr>
              <w:t>benefit</w:t>
            </w:r>
            <w:r w:rsidRPr="002C5113">
              <w:rPr>
                <w:rFonts w:ascii="Arial" w:hAnsi="Arial" w:cs="Arial"/>
                <w:sz w:val="19"/>
                <w:szCs w:val="19"/>
              </w:rPr>
              <w:t xml:space="preserve"> pension plan assets</w:t>
            </w:r>
          </w:p>
        </w:tc>
        <w:tc>
          <w:tcPr>
            <w:tcW w:w="256" w:type="dxa"/>
            <w:gridSpan w:val="2"/>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ED2874" w:rsidRPr="00002697" w:rsidRDefault="00ED2874" w:rsidP="003A1BD9">
            <w:pPr>
              <w:pStyle w:val="Tdec"/>
              <w:rPr>
                <w:rFonts w:ascii="Arial" w:hAnsi="Arial" w:cs="Arial"/>
                <w:sz w:val="19"/>
                <w:szCs w:val="19"/>
              </w:rPr>
            </w:pPr>
          </w:p>
          <w:p w:rsidR="00143053" w:rsidRPr="00002697" w:rsidRDefault="00002697" w:rsidP="003A1BD9">
            <w:pPr>
              <w:pStyle w:val="Tdec"/>
              <w:rPr>
                <w:rFonts w:ascii="Arial" w:hAnsi="Arial" w:cs="Arial"/>
                <w:sz w:val="19"/>
                <w:szCs w:val="19"/>
              </w:rPr>
            </w:pPr>
            <w:r w:rsidRPr="00002697">
              <w:rPr>
                <w:rFonts w:ascii="Arial" w:hAnsi="Arial" w:cs="Arial"/>
                <w:sz w:val="19"/>
                <w:szCs w:val="19"/>
              </w:rPr>
              <w:t>(1,610</w:t>
            </w:r>
            <w:r w:rsidR="00ED2874" w:rsidRPr="00002697">
              <w:rPr>
                <w:rFonts w:ascii="Arial" w:hAnsi="Arial" w:cs="Arial"/>
                <w:sz w:val="19"/>
                <w:szCs w:val="19"/>
              </w:rPr>
              <w:t>)</w:t>
            </w:r>
          </w:p>
        </w:tc>
        <w:tc>
          <w:tcPr>
            <w:tcW w:w="1134" w:type="dxa"/>
          </w:tcPr>
          <w:p w:rsidR="00296B77" w:rsidRPr="0090555D" w:rsidRDefault="00296B77" w:rsidP="003A1BD9">
            <w:pPr>
              <w:pStyle w:val="Tdec"/>
              <w:rPr>
                <w:rFonts w:ascii="Arial" w:hAnsi="Arial" w:cs="Arial"/>
                <w:sz w:val="19"/>
                <w:szCs w:val="19"/>
              </w:rPr>
            </w:pPr>
            <w:r w:rsidRPr="0090555D">
              <w:rPr>
                <w:rFonts w:ascii="Arial" w:hAnsi="Arial" w:cs="Arial"/>
                <w:sz w:val="19"/>
                <w:szCs w:val="19"/>
              </w:rPr>
              <w:t xml:space="preserve"> </w:t>
            </w:r>
          </w:p>
          <w:p w:rsidR="00143053" w:rsidRPr="0090555D" w:rsidRDefault="0090555D" w:rsidP="003A1BD9">
            <w:pPr>
              <w:pStyle w:val="Tdec"/>
              <w:rPr>
                <w:rFonts w:ascii="Arial" w:hAnsi="Arial" w:cs="Arial"/>
                <w:sz w:val="19"/>
                <w:szCs w:val="19"/>
              </w:rPr>
            </w:pPr>
            <w:r w:rsidRPr="0090555D">
              <w:rPr>
                <w:rFonts w:ascii="Arial" w:hAnsi="Arial" w:cs="Arial"/>
                <w:sz w:val="19"/>
                <w:szCs w:val="19"/>
              </w:rPr>
              <w:t>(1,550</w:t>
            </w:r>
            <w:r w:rsidR="00296B77" w:rsidRPr="0090555D">
              <w:rPr>
                <w:rFonts w:ascii="Arial" w:hAnsi="Arial" w:cs="Arial"/>
                <w:sz w:val="19"/>
                <w:szCs w:val="19"/>
              </w:rPr>
              <w:t>)</w:t>
            </w:r>
          </w:p>
        </w:tc>
      </w:tr>
      <w:tr w:rsidR="00143053" w:rsidRPr="00C46A29" w:rsidTr="00143053">
        <w:trPr>
          <w:cantSplit/>
        </w:trPr>
        <w:tc>
          <w:tcPr>
            <w:tcW w:w="3856" w:type="dxa"/>
            <w:gridSpan w:val="2"/>
          </w:tcPr>
          <w:p w:rsidR="00143053" w:rsidRPr="002C5113" w:rsidRDefault="00296B77" w:rsidP="003A1BD9">
            <w:pPr>
              <w:pStyle w:val="Tindent"/>
              <w:rPr>
                <w:rFonts w:ascii="Arial" w:hAnsi="Arial" w:cs="Arial"/>
                <w:sz w:val="19"/>
                <w:szCs w:val="19"/>
              </w:rPr>
            </w:pPr>
            <w:r w:rsidRPr="002C5113">
              <w:rPr>
                <w:rFonts w:ascii="Arial" w:hAnsi="Arial" w:cs="Arial"/>
                <w:sz w:val="19"/>
                <w:szCs w:val="19"/>
              </w:rPr>
              <w:t>Net settlement cost</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ED2874" w:rsidP="003A1BD9">
            <w:pPr>
              <w:pStyle w:val="Tdec"/>
              <w:rPr>
                <w:rFonts w:ascii="Arial" w:hAnsi="Arial" w:cs="Arial"/>
                <w:sz w:val="19"/>
                <w:szCs w:val="19"/>
              </w:rPr>
            </w:pPr>
            <w:r w:rsidRPr="00002697">
              <w:rPr>
                <w:rFonts w:ascii="Arial" w:hAnsi="Arial" w:cs="Arial"/>
                <w:sz w:val="19"/>
                <w:szCs w:val="19"/>
              </w:rPr>
              <w:t>0</w:t>
            </w:r>
          </w:p>
        </w:tc>
        <w:tc>
          <w:tcPr>
            <w:tcW w:w="1134" w:type="dxa"/>
          </w:tcPr>
          <w:p w:rsidR="00143053" w:rsidRPr="0090555D" w:rsidRDefault="00114071" w:rsidP="003A1BD9">
            <w:pPr>
              <w:pStyle w:val="Tdec"/>
              <w:rPr>
                <w:rFonts w:ascii="Arial" w:hAnsi="Arial" w:cs="Arial"/>
                <w:sz w:val="19"/>
                <w:szCs w:val="19"/>
              </w:rPr>
            </w:pPr>
            <w:r w:rsidRPr="0090555D">
              <w:rPr>
                <w:rFonts w:ascii="Arial" w:hAnsi="Arial" w:cs="Arial"/>
                <w:sz w:val="19"/>
                <w:szCs w:val="19"/>
              </w:rPr>
              <w:t>0</w:t>
            </w:r>
          </w:p>
        </w:tc>
      </w:tr>
      <w:tr w:rsidR="00296B77" w:rsidRPr="00C46A29" w:rsidTr="00296B77">
        <w:trPr>
          <w:cantSplit/>
        </w:trPr>
        <w:tc>
          <w:tcPr>
            <w:tcW w:w="3856" w:type="dxa"/>
            <w:gridSpan w:val="2"/>
          </w:tcPr>
          <w:p w:rsidR="00296B77" w:rsidRPr="002C5113" w:rsidRDefault="00296B77" w:rsidP="003A1BD9">
            <w:pPr>
              <w:pStyle w:val="Tindent"/>
              <w:rPr>
                <w:rFonts w:ascii="Arial" w:hAnsi="Arial" w:cs="Arial"/>
                <w:sz w:val="19"/>
                <w:szCs w:val="19"/>
              </w:rPr>
            </w:pPr>
          </w:p>
        </w:tc>
        <w:tc>
          <w:tcPr>
            <w:tcW w:w="1106" w:type="dxa"/>
            <w:gridSpan w:val="4"/>
          </w:tcPr>
          <w:p w:rsidR="00296B77" w:rsidRPr="00C46A29" w:rsidRDefault="00296B77" w:rsidP="003A1BD9">
            <w:pPr>
              <w:pStyle w:val="Tdec"/>
              <w:rPr>
                <w:rFonts w:ascii="Arial" w:hAnsi="Arial" w:cs="Arial"/>
                <w:sz w:val="19"/>
                <w:szCs w:val="19"/>
                <w:highlight w:val="yellow"/>
              </w:rPr>
            </w:pPr>
          </w:p>
        </w:tc>
        <w:tc>
          <w:tcPr>
            <w:tcW w:w="1134" w:type="dxa"/>
          </w:tcPr>
          <w:p w:rsidR="00296B77" w:rsidRPr="00C46A29" w:rsidRDefault="00296B77" w:rsidP="003A1BD9">
            <w:pPr>
              <w:pStyle w:val="Tdec"/>
              <w:rPr>
                <w:rFonts w:ascii="Arial" w:hAnsi="Arial" w:cs="Arial"/>
                <w:sz w:val="19"/>
                <w:szCs w:val="19"/>
                <w:highlight w:val="yellow"/>
              </w:rPr>
            </w:pPr>
          </w:p>
        </w:tc>
        <w:tc>
          <w:tcPr>
            <w:tcW w:w="1134" w:type="dxa"/>
          </w:tcPr>
          <w:p w:rsidR="00296B77" w:rsidRPr="00C46A29" w:rsidRDefault="00296B77" w:rsidP="003A1BD9">
            <w:pPr>
              <w:pStyle w:val="Tdec"/>
              <w:rPr>
                <w:rFonts w:ascii="Arial" w:hAnsi="Arial" w:cs="Arial"/>
                <w:sz w:val="19"/>
                <w:szCs w:val="19"/>
                <w:highlight w:val="yellow"/>
              </w:rPr>
            </w:pPr>
          </w:p>
        </w:tc>
        <w:tc>
          <w:tcPr>
            <w:tcW w:w="1134" w:type="dxa"/>
          </w:tcPr>
          <w:p w:rsidR="00296B77" w:rsidRPr="00002697" w:rsidRDefault="00296B77" w:rsidP="003A1BD9">
            <w:pPr>
              <w:pStyle w:val="S9"/>
              <w:spacing w:line="240" w:lineRule="auto"/>
              <w:rPr>
                <w:rFonts w:ascii="Arial" w:hAnsi="Arial" w:cs="Arial"/>
                <w:sz w:val="19"/>
                <w:szCs w:val="19"/>
              </w:rPr>
            </w:pPr>
          </w:p>
        </w:tc>
        <w:tc>
          <w:tcPr>
            <w:tcW w:w="1134" w:type="dxa"/>
          </w:tcPr>
          <w:p w:rsidR="00296B77" w:rsidRPr="0090555D" w:rsidRDefault="00296B77" w:rsidP="003A1BD9">
            <w:pPr>
              <w:pStyle w:val="S9"/>
              <w:spacing w:line="240" w:lineRule="auto"/>
              <w:rPr>
                <w:rFonts w:ascii="Arial" w:hAnsi="Arial" w:cs="Arial"/>
                <w:sz w:val="19"/>
                <w:szCs w:val="19"/>
              </w:rPr>
            </w:pPr>
          </w:p>
        </w:tc>
      </w:tr>
      <w:tr w:rsidR="00296B77" w:rsidRPr="00C46A29" w:rsidTr="00296B77">
        <w:trPr>
          <w:cantSplit/>
        </w:trPr>
        <w:tc>
          <w:tcPr>
            <w:tcW w:w="3856" w:type="dxa"/>
            <w:gridSpan w:val="2"/>
          </w:tcPr>
          <w:p w:rsidR="00296B77" w:rsidRPr="002C5113" w:rsidRDefault="00296B77" w:rsidP="003A1BD9">
            <w:pPr>
              <w:pStyle w:val="Tindent"/>
              <w:rPr>
                <w:rFonts w:ascii="Arial" w:hAnsi="Arial" w:cs="Arial"/>
                <w:sz w:val="19"/>
                <w:szCs w:val="19"/>
              </w:rPr>
            </w:pPr>
            <w:r w:rsidRPr="002C5113">
              <w:rPr>
                <w:rFonts w:ascii="Arial" w:hAnsi="Arial" w:cs="Arial"/>
                <w:sz w:val="19"/>
                <w:szCs w:val="19"/>
              </w:rPr>
              <w:t>At 31 March</w:t>
            </w:r>
          </w:p>
        </w:tc>
        <w:tc>
          <w:tcPr>
            <w:tcW w:w="1106" w:type="dxa"/>
            <w:gridSpan w:val="4"/>
          </w:tcPr>
          <w:p w:rsidR="00296B77" w:rsidRPr="00C46A29" w:rsidRDefault="00296B77" w:rsidP="003A1BD9">
            <w:pPr>
              <w:pStyle w:val="Tdec"/>
              <w:rPr>
                <w:rFonts w:ascii="Arial" w:hAnsi="Arial" w:cs="Arial"/>
                <w:sz w:val="19"/>
                <w:szCs w:val="19"/>
                <w:highlight w:val="yellow"/>
              </w:rPr>
            </w:pPr>
          </w:p>
        </w:tc>
        <w:tc>
          <w:tcPr>
            <w:tcW w:w="1134" w:type="dxa"/>
          </w:tcPr>
          <w:p w:rsidR="00296B77" w:rsidRPr="00C46A29" w:rsidRDefault="00296B77" w:rsidP="003A1BD9">
            <w:pPr>
              <w:pStyle w:val="Tdec"/>
              <w:rPr>
                <w:rFonts w:ascii="Arial" w:hAnsi="Arial" w:cs="Arial"/>
                <w:sz w:val="19"/>
                <w:szCs w:val="19"/>
                <w:highlight w:val="yellow"/>
              </w:rPr>
            </w:pPr>
          </w:p>
        </w:tc>
        <w:tc>
          <w:tcPr>
            <w:tcW w:w="1134" w:type="dxa"/>
          </w:tcPr>
          <w:p w:rsidR="00296B77" w:rsidRPr="00C46A29" w:rsidRDefault="00296B77" w:rsidP="003A1BD9">
            <w:pPr>
              <w:pStyle w:val="Tdec"/>
              <w:rPr>
                <w:rFonts w:ascii="Arial" w:hAnsi="Arial" w:cs="Arial"/>
                <w:sz w:val="19"/>
                <w:szCs w:val="19"/>
                <w:highlight w:val="yellow"/>
              </w:rPr>
            </w:pPr>
          </w:p>
        </w:tc>
        <w:tc>
          <w:tcPr>
            <w:tcW w:w="1134" w:type="dxa"/>
          </w:tcPr>
          <w:p w:rsidR="00296B77" w:rsidRPr="00002697" w:rsidRDefault="00002697" w:rsidP="003A1BD9">
            <w:pPr>
              <w:pStyle w:val="Tdec"/>
              <w:rPr>
                <w:rFonts w:ascii="Arial" w:hAnsi="Arial" w:cs="Arial"/>
                <w:sz w:val="19"/>
                <w:szCs w:val="19"/>
              </w:rPr>
            </w:pPr>
            <w:r w:rsidRPr="00002697">
              <w:rPr>
                <w:rFonts w:ascii="Arial" w:hAnsi="Arial" w:cs="Arial"/>
                <w:sz w:val="19"/>
                <w:szCs w:val="19"/>
              </w:rPr>
              <w:t>880</w:t>
            </w:r>
          </w:p>
        </w:tc>
        <w:tc>
          <w:tcPr>
            <w:tcW w:w="1134" w:type="dxa"/>
          </w:tcPr>
          <w:p w:rsidR="00296B77" w:rsidRPr="0090555D" w:rsidRDefault="0090555D" w:rsidP="003A1BD9">
            <w:pPr>
              <w:pStyle w:val="Tdec"/>
              <w:rPr>
                <w:rFonts w:ascii="Arial" w:hAnsi="Arial" w:cs="Arial"/>
                <w:sz w:val="19"/>
                <w:szCs w:val="19"/>
              </w:rPr>
            </w:pPr>
            <w:r w:rsidRPr="0090555D">
              <w:rPr>
                <w:rFonts w:ascii="Arial" w:hAnsi="Arial" w:cs="Arial"/>
                <w:sz w:val="19"/>
                <w:szCs w:val="19"/>
              </w:rPr>
              <w:t>920</w:t>
            </w:r>
          </w:p>
        </w:tc>
      </w:tr>
      <w:tr w:rsidR="00296B77" w:rsidRPr="00C46A29" w:rsidTr="00296B77">
        <w:trPr>
          <w:cantSplit/>
        </w:trPr>
        <w:tc>
          <w:tcPr>
            <w:tcW w:w="3856" w:type="dxa"/>
            <w:gridSpan w:val="2"/>
          </w:tcPr>
          <w:p w:rsidR="00296B77" w:rsidRPr="002C5113" w:rsidRDefault="00296B77" w:rsidP="003A1BD9">
            <w:pPr>
              <w:pStyle w:val="Tindent"/>
              <w:rPr>
                <w:rFonts w:ascii="Arial" w:hAnsi="Arial" w:cs="Arial"/>
                <w:sz w:val="19"/>
                <w:szCs w:val="19"/>
              </w:rPr>
            </w:pPr>
          </w:p>
        </w:tc>
        <w:tc>
          <w:tcPr>
            <w:tcW w:w="1106" w:type="dxa"/>
            <w:gridSpan w:val="4"/>
          </w:tcPr>
          <w:p w:rsidR="00296B77" w:rsidRPr="00C46A29" w:rsidRDefault="00296B77" w:rsidP="003A1BD9">
            <w:pPr>
              <w:pStyle w:val="Tdec"/>
              <w:rPr>
                <w:rFonts w:ascii="Arial" w:hAnsi="Arial" w:cs="Arial"/>
                <w:sz w:val="19"/>
                <w:szCs w:val="19"/>
                <w:highlight w:val="yellow"/>
              </w:rPr>
            </w:pPr>
          </w:p>
        </w:tc>
        <w:tc>
          <w:tcPr>
            <w:tcW w:w="1134" w:type="dxa"/>
          </w:tcPr>
          <w:p w:rsidR="00296B77" w:rsidRPr="00C46A29" w:rsidRDefault="00296B77" w:rsidP="003A1BD9">
            <w:pPr>
              <w:pStyle w:val="Tdec"/>
              <w:rPr>
                <w:rFonts w:ascii="Arial" w:hAnsi="Arial" w:cs="Arial"/>
                <w:sz w:val="19"/>
                <w:szCs w:val="19"/>
                <w:highlight w:val="yellow"/>
              </w:rPr>
            </w:pPr>
          </w:p>
        </w:tc>
        <w:tc>
          <w:tcPr>
            <w:tcW w:w="1134" w:type="dxa"/>
          </w:tcPr>
          <w:p w:rsidR="00296B77" w:rsidRPr="00C46A29" w:rsidRDefault="00296B77" w:rsidP="003A1BD9">
            <w:pPr>
              <w:pStyle w:val="Tdec"/>
              <w:rPr>
                <w:rFonts w:ascii="Arial" w:hAnsi="Arial" w:cs="Arial"/>
                <w:sz w:val="19"/>
                <w:szCs w:val="19"/>
                <w:highlight w:val="yellow"/>
              </w:rPr>
            </w:pPr>
          </w:p>
        </w:tc>
        <w:tc>
          <w:tcPr>
            <w:tcW w:w="1134" w:type="dxa"/>
          </w:tcPr>
          <w:p w:rsidR="00296B77" w:rsidRPr="00C46A29" w:rsidRDefault="00296B77" w:rsidP="003A1BD9">
            <w:pPr>
              <w:pStyle w:val="D9"/>
              <w:spacing w:line="240" w:lineRule="auto"/>
              <w:rPr>
                <w:rFonts w:ascii="Arial" w:hAnsi="Arial" w:cs="Arial"/>
                <w:sz w:val="19"/>
                <w:szCs w:val="19"/>
                <w:highlight w:val="yellow"/>
              </w:rPr>
            </w:pPr>
          </w:p>
        </w:tc>
        <w:tc>
          <w:tcPr>
            <w:tcW w:w="1134" w:type="dxa"/>
          </w:tcPr>
          <w:p w:rsidR="00296B77" w:rsidRPr="0090555D" w:rsidRDefault="00296B77" w:rsidP="003A1BD9">
            <w:pPr>
              <w:pStyle w:val="D9"/>
              <w:spacing w:line="240" w:lineRule="auto"/>
              <w:rPr>
                <w:rFonts w:ascii="Arial" w:hAnsi="Arial" w:cs="Arial"/>
                <w:sz w:val="19"/>
                <w:szCs w:val="19"/>
              </w:rPr>
            </w:pPr>
          </w:p>
        </w:tc>
      </w:tr>
      <w:tr w:rsidR="00143053" w:rsidRPr="00C46A29" w:rsidTr="00296B77">
        <w:trPr>
          <w:cantSplit/>
        </w:trPr>
        <w:tc>
          <w:tcPr>
            <w:tcW w:w="4848" w:type="dxa"/>
            <w:gridSpan w:val="5"/>
          </w:tcPr>
          <w:p w:rsidR="00143053" w:rsidRPr="002C5113" w:rsidRDefault="005B78BF" w:rsidP="003A1BD9">
            <w:pPr>
              <w:pStyle w:val="Tindent"/>
              <w:rPr>
                <w:rFonts w:ascii="Arial" w:hAnsi="Arial" w:cs="Arial"/>
                <w:b/>
                <w:sz w:val="19"/>
                <w:szCs w:val="19"/>
              </w:rPr>
            </w:pPr>
            <w:r w:rsidRPr="002C5113">
              <w:rPr>
                <w:sz w:val="19"/>
                <w:szCs w:val="19"/>
              </w:rPr>
              <w:br w:type="page"/>
            </w:r>
            <w:r w:rsidR="00296B77" w:rsidRPr="002C5113">
              <w:rPr>
                <w:rFonts w:ascii="Arial" w:hAnsi="Arial" w:cs="Arial"/>
                <w:b/>
                <w:sz w:val="19"/>
                <w:szCs w:val="19"/>
              </w:rPr>
              <w:t xml:space="preserve">The expense/(income) </w:t>
            </w:r>
            <w:r w:rsidRPr="002C5113">
              <w:rPr>
                <w:rFonts w:ascii="Arial" w:hAnsi="Arial" w:cs="Arial"/>
                <w:b/>
                <w:sz w:val="19"/>
                <w:szCs w:val="19"/>
              </w:rPr>
              <w:t>is</w:t>
            </w:r>
            <w:r w:rsidR="00270CEB" w:rsidRPr="002C5113">
              <w:rPr>
                <w:rFonts w:ascii="Arial" w:hAnsi="Arial" w:cs="Arial"/>
                <w:b/>
                <w:sz w:val="19"/>
                <w:szCs w:val="19"/>
              </w:rPr>
              <w:t xml:space="preserve"> recognised in the following </w:t>
            </w:r>
            <w:r w:rsidR="00296B77" w:rsidRPr="002C5113">
              <w:rPr>
                <w:rFonts w:ascii="Arial" w:hAnsi="Arial" w:cs="Arial"/>
                <w:b/>
                <w:sz w:val="19"/>
                <w:szCs w:val="19"/>
              </w:rPr>
              <w:t>line items in the profit and loss account</w:t>
            </w:r>
          </w:p>
        </w:tc>
        <w:tc>
          <w:tcPr>
            <w:tcW w:w="11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90555D" w:rsidRDefault="00143053" w:rsidP="003A1BD9">
            <w:pPr>
              <w:pStyle w:val="Tdec"/>
              <w:rPr>
                <w:rFonts w:ascii="Arial" w:hAnsi="Arial" w:cs="Arial"/>
                <w:sz w:val="19"/>
                <w:szCs w:val="19"/>
              </w:rPr>
            </w:pPr>
          </w:p>
        </w:tc>
      </w:tr>
      <w:tr w:rsidR="00143053" w:rsidRPr="00C46A29" w:rsidTr="00143053">
        <w:trPr>
          <w:cantSplit/>
        </w:trPr>
        <w:tc>
          <w:tcPr>
            <w:tcW w:w="3856" w:type="dxa"/>
            <w:gridSpan w:val="2"/>
          </w:tcPr>
          <w:p w:rsidR="00143053" w:rsidRPr="002C5113" w:rsidRDefault="00296B77" w:rsidP="003A1BD9">
            <w:pPr>
              <w:pStyle w:val="Tindent"/>
              <w:rPr>
                <w:rFonts w:ascii="Arial" w:hAnsi="Arial" w:cs="Arial"/>
                <w:sz w:val="19"/>
                <w:szCs w:val="19"/>
              </w:rPr>
            </w:pPr>
            <w:r w:rsidRPr="002C5113">
              <w:rPr>
                <w:rFonts w:ascii="Arial" w:hAnsi="Arial" w:cs="Arial"/>
                <w:sz w:val="19"/>
                <w:szCs w:val="19"/>
              </w:rPr>
              <w:t>Operating costs</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002697" w:rsidP="003A1BD9">
            <w:pPr>
              <w:pStyle w:val="Tdec"/>
              <w:rPr>
                <w:rFonts w:ascii="Arial" w:hAnsi="Arial" w:cs="Arial"/>
                <w:sz w:val="19"/>
                <w:szCs w:val="19"/>
              </w:rPr>
            </w:pPr>
            <w:r w:rsidRPr="00002697">
              <w:rPr>
                <w:rFonts w:ascii="Arial" w:hAnsi="Arial" w:cs="Arial"/>
                <w:sz w:val="19"/>
                <w:szCs w:val="19"/>
              </w:rPr>
              <w:t>1,180</w:t>
            </w:r>
          </w:p>
        </w:tc>
        <w:tc>
          <w:tcPr>
            <w:tcW w:w="1134" w:type="dxa"/>
          </w:tcPr>
          <w:p w:rsidR="00143053" w:rsidRPr="00002697" w:rsidRDefault="0090555D" w:rsidP="003A1BD9">
            <w:pPr>
              <w:pStyle w:val="Tdec"/>
              <w:rPr>
                <w:rFonts w:ascii="Arial" w:hAnsi="Arial" w:cs="Arial"/>
                <w:sz w:val="19"/>
                <w:szCs w:val="19"/>
              </w:rPr>
            </w:pPr>
            <w:r w:rsidRPr="00002697">
              <w:rPr>
                <w:rFonts w:ascii="Arial" w:hAnsi="Arial" w:cs="Arial"/>
                <w:sz w:val="19"/>
                <w:szCs w:val="19"/>
              </w:rPr>
              <w:t>970</w:t>
            </w:r>
          </w:p>
        </w:tc>
      </w:tr>
      <w:tr w:rsidR="00143053" w:rsidRPr="00C46A29" w:rsidTr="00143053">
        <w:trPr>
          <w:cantSplit/>
        </w:trPr>
        <w:tc>
          <w:tcPr>
            <w:tcW w:w="3856" w:type="dxa"/>
            <w:gridSpan w:val="2"/>
          </w:tcPr>
          <w:p w:rsidR="00143053" w:rsidRPr="002C5113" w:rsidRDefault="00296B77" w:rsidP="003A1BD9">
            <w:pPr>
              <w:pStyle w:val="Tindent"/>
              <w:rPr>
                <w:rFonts w:ascii="Arial" w:hAnsi="Arial" w:cs="Arial"/>
                <w:sz w:val="19"/>
                <w:szCs w:val="19"/>
              </w:rPr>
            </w:pPr>
            <w:r w:rsidRPr="002C5113">
              <w:rPr>
                <w:rFonts w:ascii="Arial" w:hAnsi="Arial" w:cs="Arial"/>
                <w:sz w:val="19"/>
                <w:szCs w:val="19"/>
              </w:rPr>
              <w:t>Other finance costs</w:t>
            </w:r>
            <w:r w:rsidR="00ED2874" w:rsidRPr="002C5113">
              <w:rPr>
                <w:rFonts w:ascii="Arial" w:hAnsi="Arial" w:cs="Arial"/>
                <w:sz w:val="19"/>
                <w:szCs w:val="19"/>
              </w:rPr>
              <w:t>/income</w:t>
            </w:r>
          </w:p>
        </w:tc>
        <w:tc>
          <w:tcPr>
            <w:tcW w:w="1106" w:type="dxa"/>
            <w:gridSpan w:val="4"/>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02697" w:rsidRDefault="00002697" w:rsidP="003A1BD9">
            <w:pPr>
              <w:pStyle w:val="Tdec"/>
              <w:rPr>
                <w:rFonts w:ascii="Arial" w:hAnsi="Arial" w:cs="Arial"/>
                <w:sz w:val="19"/>
                <w:szCs w:val="19"/>
              </w:rPr>
            </w:pPr>
            <w:r w:rsidRPr="00002697">
              <w:rPr>
                <w:rFonts w:ascii="Arial" w:hAnsi="Arial" w:cs="Arial"/>
                <w:sz w:val="19"/>
                <w:szCs w:val="19"/>
              </w:rPr>
              <w:t>(300</w:t>
            </w:r>
            <w:r w:rsidR="00ED2874" w:rsidRPr="00002697">
              <w:rPr>
                <w:rFonts w:ascii="Arial" w:hAnsi="Arial" w:cs="Arial"/>
                <w:sz w:val="19"/>
                <w:szCs w:val="19"/>
              </w:rPr>
              <w:t>)</w:t>
            </w:r>
          </w:p>
        </w:tc>
        <w:tc>
          <w:tcPr>
            <w:tcW w:w="1134" w:type="dxa"/>
          </w:tcPr>
          <w:p w:rsidR="00143053" w:rsidRPr="00002697" w:rsidRDefault="0090555D" w:rsidP="003A1BD9">
            <w:pPr>
              <w:pStyle w:val="Tdec"/>
              <w:rPr>
                <w:rFonts w:ascii="Arial" w:hAnsi="Arial" w:cs="Arial"/>
                <w:sz w:val="19"/>
                <w:szCs w:val="19"/>
              </w:rPr>
            </w:pPr>
            <w:r w:rsidRPr="00002697">
              <w:rPr>
                <w:rFonts w:ascii="Arial" w:hAnsi="Arial" w:cs="Arial"/>
                <w:sz w:val="19"/>
                <w:szCs w:val="19"/>
              </w:rPr>
              <w:t>(50)</w:t>
            </w:r>
          </w:p>
        </w:tc>
      </w:tr>
      <w:tr w:rsidR="00296B77" w:rsidRPr="00C46A29" w:rsidTr="00296B77">
        <w:trPr>
          <w:cantSplit/>
        </w:trPr>
        <w:tc>
          <w:tcPr>
            <w:tcW w:w="3856" w:type="dxa"/>
            <w:gridSpan w:val="2"/>
          </w:tcPr>
          <w:p w:rsidR="00296B77" w:rsidRPr="00C46A29" w:rsidRDefault="00296B77" w:rsidP="003A1BD9">
            <w:pPr>
              <w:pStyle w:val="Tindent"/>
              <w:rPr>
                <w:rFonts w:ascii="Arial" w:hAnsi="Arial" w:cs="Arial"/>
                <w:sz w:val="19"/>
                <w:szCs w:val="19"/>
                <w:highlight w:val="yellow"/>
              </w:rPr>
            </w:pPr>
          </w:p>
        </w:tc>
        <w:tc>
          <w:tcPr>
            <w:tcW w:w="1106" w:type="dxa"/>
            <w:gridSpan w:val="4"/>
          </w:tcPr>
          <w:p w:rsidR="00296B77" w:rsidRPr="00C46A29" w:rsidRDefault="00296B77" w:rsidP="003A1BD9">
            <w:pPr>
              <w:pStyle w:val="Tdec"/>
              <w:rPr>
                <w:rFonts w:ascii="Arial" w:hAnsi="Arial" w:cs="Arial"/>
                <w:sz w:val="19"/>
                <w:szCs w:val="19"/>
                <w:highlight w:val="yellow"/>
              </w:rPr>
            </w:pPr>
          </w:p>
        </w:tc>
        <w:tc>
          <w:tcPr>
            <w:tcW w:w="1134" w:type="dxa"/>
          </w:tcPr>
          <w:p w:rsidR="00296B77" w:rsidRPr="00C46A29" w:rsidRDefault="00296B77" w:rsidP="003A1BD9">
            <w:pPr>
              <w:pStyle w:val="Tdec"/>
              <w:rPr>
                <w:rFonts w:ascii="Arial" w:hAnsi="Arial" w:cs="Arial"/>
                <w:sz w:val="19"/>
                <w:szCs w:val="19"/>
                <w:highlight w:val="yellow"/>
              </w:rPr>
            </w:pPr>
          </w:p>
        </w:tc>
        <w:tc>
          <w:tcPr>
            <w:tcW w:w="1134" w:type="dxa"/>
          </w:tcPr>
          <w:p w:rsidR="00296B77" w:rsidRPr="00C46A29" w:rsidRDefault="00296B77" w:rsidP="003A1BD9">
            <w:pPr>
              <w:pStyle w:val="Tdec"/>
              <w:rPr>
                <w:rFonts w:ascii="Arial" w:hAnsi="Arial" w:cs="Arial"/>
                <w:sz w:val="19"/>
                <w:szCs w:val="19"/>
                <w:highlight w:val="yellow"/>
              </w:rPr>
            </w:pPr>
          </w:p>
        </w:tc>
        <w:tc>
          <w:tcPr>
            <w:tcW w:w="1134" w:type="dxa"/>
          </w:tcPr>
          <w:p w:rsidR="00296B77" w:rsidRPr="00C46A29" w:rsidRDefault="00296B77" w:rsidP="003A1BD9">
            <w:pPr>
              <w:pStyle w:val="D9"/>
              <w:spacing w:line="240" w:lineRule="auto"/>
              <w:rPr>
                <w:rFonts w:ascii="Arial" w:hAnsi="Arial" w:cs="Arial"/>
                <w:sz w:val="19"/>
                <w:szCs w:val="19"/>
                <w:highlight w:val="yellow"/>
              </w:rPr>
            </w:pPr>
          </w:p>
        </w:tc>
        <w:tc>
          <w:tcPr>
            <w:tcW w:w="1134" w:type="dxa"/>
          </w:tcPr>
          <w:p w:rsidR="00296B77" w:rsidRPr="00C46A29" w:rsidRDefault="00296B77" w:rsidP="003A1BD9">
            <w:pPr>
              <w:pStyle w:val="D9"/>
              <w:spacing w:line="240" w:lineRule="auto"/>
              <w:rPr>
                <w:rFonts w:ascii="Arial" w:hAnsi="Arial" w:cs="Arial"/>
                <w:sz w:val="19"/>
                <w:szCs w:val="19"/>
                <w:highlight w:val="yellow"/>
              </w:rPr>
            </w:pPr>
          </w:p>
        </w:tc>
      </w:tr>
    </w:tbl>
    <w:p w:rsidR="00FB2E5A" w:rsidRPr="00C46A29" w:rsidRDefault="00FB2E5A" w:rsidP="00201B4C">
      <w:pPr>
        <w:spacing w:after="0"/>
        <w:jc w:val="left"/>
        <w:rPr>
          <w:rFonts w:ascii="Arial" w:hAnsi="Arial" w:cs="Arial"/>
          <w:sz w:val="19"/>
          <w:szCs w:val="19"/>
          <w:highlight w:val="yellow"/>
          <w:lang w:val="en-US"/>
        </w:rPr>
      </w:pPr>
    </w:p>
    <w:p w:rsidR="00296B77" w:rsidRDefault="00296B77" w:rsidP="00201B4C">
      <w:pPr>
        <w:spacing w:after="0"/>
        <w:jc w:val="left"/>
        <w:rPr>
          <w:rFonts w:ascii="Arial" w:hAnsi="Arial" w:cs="Arial"/>
          <w:sz w:val="19"/>
          <w:szCs w:val="19"/>
          <w:lang w:val="en-US"/>
        </w:rPr>
      </w:pPr>
      <w:r w:rsidRPr="00002697">
        <w:rPr>
          <w:rFonts w:ascii="Arial" w:hAnsi="Arial" w:cs="Arial"/>
          <w:sz w:val="19"/>
          <w:szCs w:val="19"/>
          <w:lang w:val="en-US"/>
        </w:rPr>
        <w:t>The total amount recognised in the statement of total recog</w:t>
      </w:r>
      <w:r w:rsidR="00002697" w:rsidRPr="00002697">
        <w:rPr>
          <w:rFonts w:ascii="Arial" w:hAnsi="Arial" w:cs="Arial"/>
          <w:sz w:val="19"/>
          <w:szCs w:val="19"/>
          <w:lang w:val="en-US"/>
        </w:rPr>
        <w:t>nised gains and losses is a loss</w:t>
      </w:r>
      <w:r w:rsidRPr="00002697">
        <w:rPr>
          <w:rFonts w:ascii="Arial" w:hAnsi="Arial" w:cs="Arial"/>
          <w:sz w:val="19"/>
          <w:szCs w:val="19"/>
          <w:lang w:val="en-US"/>
        </w:rPr>
        <w:t xml:space="preserve"> of £</w:t>
      </w:r>
      <w:r w:rsidR="00002697" w:rsidRPr="00002697">
        <w:rPr>
          <w:rFonts w:ascii="Arial" w:hAnsi="Arial" w:cs="Arial"/>
          <w:sz w:val="19"/>
          <w:szCs w:val="19"/>
          <w:lang w:val="en-US"/>
        </w:rPr>
        <w:t>1,91</w:t>
      </w:r>
      <w:r w:rsidR="00ED2874" w:rsidRPr="00002697">
        <w:rPr>
          <w:rFonts w:ascii="Arial" w:hAnsi="Arial" w:cs="Arial"/>
          <w:sz w:val="19"/>
          <w:szCs w:val="19"/>
          <w:lang w:val="en-US"/>
        </w:rPr>
        <w:t xml:space="preserve">0,000 </w:t>
      </w:r>
      <w:r w:rsidR="002C5113" w:rsidRPr="00002697">
        <w:rPr>
          <w:rFonts w:ascii="Arial" w:hAnsi="Arial" w:cs="Arial"/>
          <w:sz w:val="19"/>
          <w:szCs w:val="19"/>
          <w:lang w:val="en-US"/>
        </w:rPr>
        <w:t>(</w:t>
      </w:r>
      <w:r w:rsidR="002C5113" w:rsidRPr="002C5113">
        <w:rPr>
          <w:rFonts w:ascii="Arial" w:hAnsi="Arial" w:cs="Arial"/>
          <w:sz w:val="19"/>
          <w:szCs w:val="19"/>
          <w:lang w:val="en-US"/>
        </w:rPr>
        <w:t>2014: £3,270,000</w:t>
      </w:r>
      <w:r w:rsidRPr="002C5113">
        <w:rPr>
          <w:rFonts w:ascii="Arial" w:hAnsi="Arial" w:cs="Arial"/>
          <w:sz w:val="19"/>
          <w:szCs w:val="19"/>
          <w:lang w:val="en-US"/>
        </w:rPr>
        <w:t xml:space="preserve"> gain).</w:t>
      </w:r>
    </w:p>
    <w:p w:rsidR="00FB2E5A" w:rsidRDefault="00FB2E5A" w:rsidP="00201B4C">
      <w:pPr>
        <w:autoSpaceDE w:val="0"/>
        <w:autoSpaceDN w:val="0"/>
        <w:adjustRightInd w:val="0"/>
        <w:spacing w:after="0"/>
        <w:jc w:val="left"/>
        <w:rPr>
          <w:rFonts w:ascii="Arial" w:hAnsi="Arial" w:cs="Arial"/>
          <w:sz w:val="19"/>
          <w:szCs w:val="19"/>
          <w:lang w:val="en-US"/>
        </w:rPr>
      </w:pPr>
    </w:p>
    <w:p w:rsidR="00C20F5C" w:rsidRDefault="00C20F5C" w:rsidP="00201B4C">
      <w:pPr>
        <w:autoSpaceDE w:val="0"/>
        <w:autoSpaceDN w:val="0"/>
        <w:adjustRightInd w:val="0"/>
        <w:spacing w:after="0"/>
        <w:jc w:val="left"/>
        <w:rPr>
          <w:rFonts w:ascii="Arial" w:hAnsi="Arial" w:cs="Arial"/>
          <w:sz w:val="19"/>
          <w:szCs w:val="19"/>
          <w:lang w:val="en-US"/>
        </w:rPr>
      </w:pPr>
    </w:p>
    <w:p w:rsidR="00C20F5C" w:rsidRDefault="00C20F5C" w:rsidP="00201B4C">
      <w:pPr>
        <w:autoSpaceDE w:val="0"/>
        <w:autoSpaceDN w:val="0"/>
        <w:adjustRightInd w:val="0"/>
        <w:spacing w:after="0"/>
        <w:jc w:val="left"/>
        <w:rPr>
          <w:rFonts w:ascii="Arial" w:hAnsi="Arial" w:cs="Arial"/>
          <w:sz w:val="19"/>
          <w:szCs w:val="19"/>
          <w:lang w:val="en-US"/>
        </w:rPr>
      </w:pPr>
    </w:p>
    <w:p w:rsidR="00C20F5C" w:rsidRDefault="00C20F5C" w:rsidP="00201B4C">
      <w:pPr>
        <w:autoSpaceDE w:val="0"/>
        <w:autoSpaceDN w:val="0"/>
        <w:adjustRightInd w:val="0"/>
        <w:spacing w:after="0"/>
        <w:jc w:val="left"/>
        <w:rPr>
          <w:rFonts w:ascii="Arial" w:hAnsi="Arial" w:cs="Arial"/>
          <w:sz w:val="19"/>
          <w:szCs w:val="19"/>
          <w:lang w:val="en-US"/>
        </w:rPr>
      </w:pPr>
    </w:p>
    <w:p w:rsidR="00C20F5C" w:rsidRDefault="00C20F5C" w:rsidP="00201B4C">
      <w:pPr>
        <w:autoSpaceDE w:val="0"/>
        <w:autoSpaceDN w:val="0"/>
        <w:adjustRightInd w:val="0"/>
        <w:spacing w:after="0"/>
        <w:jc w:val="left"/>
        <w:rPr>
          <w:rFonts w:ascii="Arial" w:hAnsi="Arial" w:cs="Arial"/>
          <w:sz w:val="19"/>
          <w:szCs w:val="19"/>
          <w:lang w:val="en-US"/>
        </w:rPr>
      </w:pPr>
    </w:p>
    <w:p w:rsidR="00C20F5C" w:rsidRDefault="00C20F5C" w:rsidP="00201B4C">
      <w:pPr>
        <w:autoSpaceDE w:val="0"/>
        <w:autoSpaceDN w:val="0"/>
        <w:adjustRightInd w:val="0"/>
        <w:spacing w:after="0"/>
        <w:jc w:val="left"/>
        <w:rPr>
          <w:rFonts w:ascii="Arial" w:hAnsi="Arial" w:cs="Arial"/>
          <w:sz w:val="19"/>
          <w:szCs w:val="19"/>
          <w:lang w:val="en-US"/>
        </w:rPr>
      </w:pPr>
    </w:p>
    <w:p w:rsidR="00C20F5C" w:rsidRDefault="00C20F5C" w:rsidP="00201B4C">
      <w:pPr>
        <w:autoSpaceDE w:val="0"/>
        <w:autoSpaceDN w:val="0"/>
        <w:adjustRightInd w:val="0"/>
        <w:spacing w:after="0"/>
        <w:jc w:val="left"/>
        <w:rPr>
          <w:rFonts w:ascii="Arial" w:hAnsi="Arial" w:cs="Arial"/>
          <w:sz w:val="19"/>
          <w:szCs w:val="19"/>
          <w:lang w:val="en-US"/>
        </w:rPr>
      </w:pPr>
    </w:p>
    <w:p w:rsidR="00C20F5C" w:rsidRDefault="003B6147" w:rsidP="00201B4C">
      <w:pPr>
        <w:autoSpaceDE w:val="0"/>
        <w:autoSpaceDN w:val="0"/>
        <w:adjustRightInd w:val="0"/>
        <w:spacing w:after="0"/>
        <w:jc w:val="left"/>
        <w:rPr>
          <w:rFonts w:ascii="Arial" w:hAnsi="Arial" w:cs="Arial"/>
          <w:b/>
          <w:bCs/>
          <w:sz w:val="19"/>
          <w:szCs w:val="19"/>
          <w:lang w:val="en-US"/>
        </w:rPr>
      </w:pPr>
      <w:r>
        <w:rPr>
          <w:rFonts w:ascii="Arial" w:hAnsi="Arial" w:cs="Arial"/>
          <w:b/>
          <w:bCs/>
          <w:sz w:val="19"/>
          <w:szCs w:val="19"/>
          <w:lang w:val="en-US"/>
        </w:rPr>
        <w:lastRenderedPageBreak/>
        <w:t>18 Pension Schemes (continued)</w:t>
      </w:r>
    </w:p>
    <w:p w:rsidR="003B6147" w:rsidRPr="003B6147" w:rsidRDefault="003B6147" w:rsidP="00201B4C">
      <w:pPr>
        <w:autoSpaceDE w:val="0"/>
        <w:autoSpaceDN w:val="0"/>
        <w:adjustRightInd w:val="0"/>
        <w:spacing w:after="0"/>
        <w:jc w:val="left"/>
        <w:rPr>
          <w:rFonts w:ascii="Arial" w:hAnsi="Arial" w:cs="Arial"/>
          <w:b/>
          <w:bCs/>
          <w:sz w:val="19"/>
          <w:szCs w:val="19"/>
          <w:lang w:val="en-US"/>
        </w:rPr>
      </w:pPr>
      <w:r>
        <w:rPr>
          <w:rFonts w:ascii="Arial" w:hAnsi="Arial" w:cs="Arial"/>
          <w:b/>
          <w:bCs/>
          <w:sz w:val="19"/>
          <w:szCs w:val="19"/>
          <w:lang w:val="en-US"/>
        </w:rPr>
        <w:t>Movement in Present Value of Defined Benefit Obligations (continued)</w:t>
      </w:r>
    </w:p>
    <w:p w:rsidR="003B6147" w:rsidRDefault="003B6147" w:rsidP="00201B4C">
      <w:pPr>
        <w:autoSpaceDE w:val="0"/>
        <w:autoSpaceDN w:val="0"/>
        <w:adjustRightInd w:val="0"/>
        <w:spacing w:after="0"/>
        <w:jc w:val="left"/>
        <w:rPr>
          <w:rFonts w:ascii="Arial" w:hAnsi="Arial" w:cs="Arial"/>
          <w:bCs/>
          <w:sz w:val="19"/>
          <w:szCs w:val="19"/>
          <w:lang w:val="en-US"/>
        </w:rPr>
      </w:pPr>
    </w:p>
    <w:p w:rsidR="00F1199C" w:rsidRPr="002C5113" w:rsidRDefault="00F1199C" w:rsidP="00201B4C">
      <w:pPr>
        <w:autoSpaceDE w:val="0"/>
        <w:autoSpaceDN w:val="0"/>
        <w:adjustRightInd w:val="0"/>
        <w:spacing w:after="0"/>
        <w:jc w:val="left"/>
        <w:rPr>
          <w:rFonts w:ascii="Arial" w:hAnsi="Arial" w:cs="Arial"/>
          <w:bCs/>
          <w:sz w:val="19"/>
          <w:szCs w:val="19"/>
          <w:lang w:val="en-US"/>
        </w:rPr>
      </w:pPr>
      <w:r w:rsidRPr="002C5113">
        <w:rPr>
          <w:rFonts w:ascii="Arial" w:hAnsi="Arial" w:cs="Arial"/>
          <w:bCs/>
          <w:sz w:val="19"/>
          <w:szCs w:val="19"/>
          <w:lang w:val="en-US"/>
        </w:rPr>
        <w:t>The fair value of the estimated asset allocation of the Northumberland County Council Pension Fund and the return on those assets were as follows:</w:t>
      </w:r>
    </w:p>
    <w:p w:rsidR="00201B4C" w:rsidRPr="00C46A29" w:rsidRDefault="00201B4C" w:rsidP="00201B4C">
      <w:pPr>
        <w:autoSpaceDE w:val="0"/>
        <w:autoSpaceDN w:val="0"/>
        <w:adjustRightInd w:val="0"/>
        <w:spacing w:after="0"/>
        <w:jc w:val="left"/>
        <w:rPr>
          <w:rFonts w:ascii="Arial" w:hAnsi="Arial" w:cs="Arial"/>
          <w:bCs/>
          <w:sz w:val="19"/>
          <w:szCs w:val="19"/>
          <w:highlight w:val="yellow"/>
          <w:lang w:val="en-US"/>
        </w:rPr>
      </w:pPr>
    </w:p>
    <w:tbl>
      <w:tblPr>
        <w:tblW w:w="9498" w:type="dxa"/>
        <w:tblLayout w:type="fixed"/>
        <w:tblCellMar>
          <w:left w:w="28" w:type="dxa"/>
          <w:right w:w="28" w:type="dxa"/>
        </w:tblCellMar>
        <w:tblLook w:val="0000" w:firstRow="0" w:lastRow="0" w:firstColumn="0" w:lastColumn="0" w:noHBand="0" w:noVBand="0"/>
      </w:tblPr>
      <w:tblGrid>
        <w:gridCol w:w="3828"/>
        <w:gridCol w:w="28"/>
        <w:gridCol w:w="1106"/>
        <w:gridCol w:w="1134"/>
        <w:gridCol w:w="1134"/>
        <w:gridCol w:w="1134"/>
        <w:gridCol w:w="1134"/>
      </w:tblGrid>
      <w:tr w:rsidR="00F1199C" w:rsidRPr="00C46A29" w:rsidTr="00F1199C">
        <w:trPr>
          <w:cantSplit/>
        </w:trPr>
        <w:tc>
          <w:tcPr>
            <w:tcW w:w="3828" w:type="dxa"/>
          </w:tcPr>
          <w:p w:rsidR="00F1199C" w:rsidRPr="00C46A29" w:rsidRDefault="00F1199C" w:rsidP="003A1BD9">
            <w:pPr>
              <w:pStyle w:val="Tindent"/>
              <w:keepLines/>
              <w:rPr>
                <w:rFonts w:ascii="Arial" w:hAnsi="Arial" w:cs="Arial"/>
                <w:b/>
                <w:sz w:val="19"/>
                <w:szCs w:val="19"/>
                <w:highlight w:val="yellow"/>
              </w:rPr>
            </w:pPr>
          </w:p>
        </w:tc>
        <w:tc>
          <w:tcPr>
            <w:tcW w:w="1134" w:type="dxa"/>
            <w:gridSpan w:val="2"/>
          </w:tcPr>
          <w:p w:rsidR="00F1199C" w:rsidRPr="00C46A29" w:rsidRDefault="00F1199C" w:rsidP="003A1BD9">
            <w:pPr>
              <w:pStyle w:val="Thead"/>
              <w:rPr>
                <w:rFonts w:ascii="Arial" w:hAnsi="Arial" w:cs="Arial"/>
                <w:sz w:val="19"/>
                <w:szCs w:val="19"/>
                <w:highlight w:val="yellow"/>
              </w:rPr>
            </w:pPr>
          </w:p>
        </w:tc>
        <w:tc>
          <w:tcPr>
            <w:tcW w:w="1134" w:type="dxa"/>
          </w:tcPr>
          <w:p w:rsidR="00F1199C" w:rsidRPr="00C46A29" w:rsidRDefault="00F1199C" w:rsidP="003A1BD9">
            <w:pPr>
              <w:pStyle w:val="Thead"/>
              <w:rPr>
                <w:rFonts w:ascii="Arial" w:hAnsi="Arial" w:cs="Arial"/>
                <w:sz w:val="19"/>
                <w:szCs w:val="19"/>
                <w:highlight w:val="yellow"/>
              </w:rPr>
            </w:pPr>
          </w:p>
        </w:tc>
        <w:tc>
          <w:tcPr>
            <w:tcW w:w="1134" w:type="dxa"/>
          </w:tcPr>
          <w:p w:rsidR="00F1199C" w:rsidRPr="00C46A29" w:rsidRDefault="00F1199C" w:rsidP="003A1BD9">
            <w:pPr>
              <w:pStyle w:val="Thead"/>
              <w:rPr>
                <w:rFonts w:ascii="Arial" w:hAnsi="Arial" w:cs="Arial"/>
                <w:sz w:val="19"/>
                <w:szCs w:val="19"/>
                <w:highlight w:val="yellow"/>
              </w:rPr>
            </w:pPr>
          </w:p>
        </w:tc>
        <w:tc>
          <w:tcPr>
            <w:tcW w:w="1134" w:type="dxa"/>
          </w:tcPr>
          <w:p w:rsidR="00F1199C" w:rsidRPr="000A30E0" w:rsidRDefault="002C5113" w:rsidP="003A1BD9">
            <w:pPr>
              <w:pStyle w:val="Thead"/>
              <w:rPr>
                <w:rFonts w:ascii="Arial" w:hAnsi="Arial" w:cs="Arial"/>
                <w:sz w:val="19"/>
                <w:szCs w:val="19"/>
              </w:rPr>
            </w:pPr>
            <w:r w:rsidRPr="000A30E0">
              <w:rPr>
                <w:rFonts w:ascii="Arial" w:hAnsi="Arial" w:cs="Arial"/>
                <w:sz w:val="19"/>
                <w:szCs w:val="19"/>
              </w:rPr>
              <w:t>2015</w:t>
            </w:r>
          </w:p>
          <w:p w:rsidR="00F1199C" w:rsidRPr="000A30E0" w:rsidRDefault="00F1199C" w:rsidP="003A1BD9">
            <w:pPr>
              <w:pStyle w:val="Thead"/>
              <w:rPr>
                <w:rFonts w:ascii="Arial" w:hAnsi="Arial" w:cs="Arial"/>
                <w:sz w:val="19"/>
                <w:szCs w:val="19"/>
              </w:rPr>
            </w:pPr>
            <w:r w:rsidRPr="000A30E0">
              <w:rPr>
                <w:rFonts w:ascii="Arial" w:hAnsi="Arial" w:cs="Arial"/>
                <w:sz w:val="19"/>
                <w:szCs w:val="19"/>
              </w:rPr>
              <w:t>Fair value</w:t>
            </w:r>
          </w:p>
          <w:p w:rsidR="00F1199C" w:rsidRPr="000A30E0" w:rsidRDefault="00F1199C" w:rsidP="003A1BD9">
            <w:pPr>
              <w:pStyle w:val="Thead"/>
              <w:rPr>
                <w:rFonts w:ascii="Arial" w:hAnsi="Arial" w:cs="Arial"/>
                <w:sz w:val="19"/>
                <w:szCs w:val="19"/>
              </w:rPr>
            </w:pPr>
            <w:r w:rsidRPr="000A30E0">
              <w:rPr>
                <w:rFonts w:ascii="Arial" w:hAnsi="Arial" w:cs="Arial"/>
                <w:sz w:val="19"/>
                <w:szCs w:val="19"/>
              </w:rPr>
              <w:t>£000</w:t>
            </w:r>
          </w:p>
        </w:tc>
        <w:tc>
          <w:tcPr>
            <w:tcW w:w="1134" w:type="dxa"/>
          </w:tcPr>
          <w:p w:rsidR="00F1199C" w:rsidRPr="002C5113" w:rsidRDefault="002C5113" w:rsidP="003A1BD9">
            <w:pPr>
              <w:pStyle w:val="Thead"/>
              <w:rPr>
                <w:rFonts w:ascii="Arial" w:hAnsi="Arial" w:cs="Arial"/>
                <w:sz w:val="19"/>
                <w:szCs w:val="19"/>
              </w:rPr>
            </w:pPr>
            <w:r w:rsidRPr="002C5113">
              <w:rPr>
                <w:rFonts w:ascii="Arial" w:hAnsi="Arial" w:cs="Arial"/>
                <w:sz w:val="19"/>
                <w:szCs w:val="19"/>
              </w:rPr>
              <w:t>2014</w:t>
            </w:r>
          </w:p>
          <w:p w:rsidR="00F1199C" w:rsidRPr="002C5113" w:rsidRDefault="00F1199C" w:rsidP="003A1BD9">
            <w:pPr>
              <w:pStyle w:val="Thead"/>
              <w:rPr>
                <w:rFonts w:ascii="Arial" w:hAnsi="Arial" w:cs="Arial"/>
                <w:sz w:val="19"/>
                <w:szCs w:val="19"/>
              </w:rPr>
            </w:pPr>
            <w:r w:rsidRPr="002C5113">
              <w:rPr>
                <w:rFonts w:ascii="Arial" w:hAnsi="Arial" w:cs="Arial"/>
                <w:sz w:val="19"/>
                <w:szCs w:val="19"/>
              </w:rPr>
              <w:t>Fair value</w:t>
            </w:r>
          </w:p>
          <w:p w:rsidR="00F1199C" w:rsidRPr="002C5113" w:rsidRDefault="00F1199C" w:rsidP="003A1BD9">
            <w:pPr>
              <w:pStyle w:val="Thead"/>
              <w:rPr>
                <w:rFonts w:ascii="Arial" w:hAnsi="Arial" w:cs="Arial"/>
                <w:sz w:val="19"/>
                <w:szCs w:val="19"/>
              </w:rPr>
            </w:pPr>
            <w:r w:rsidRPr="002C5113">
              <w:rPr>
                <w:rFonts w:ascii="Arial" w:hAnsi="Arial" w:cs="Arial"/>
                <w:sz w:val="19"/>
                <w:szCs w:val="19"/>
              </w:rPr>
              <w:t>£000</w:t>
            </w:r>
          </w:p>
        </w:tc>
      </w:tr>
      <w:tr w:rsidR="00F1199C" w:rsidRPr="00C46A29" w:rsidTr="00F1199C">
        <w:trPr>
          <w:cantSplit/>
        </w:trPr>
        <w:tc>
          <w:tcPr>
            <w:tcW w:w="3828" w:type="dxa"/>
          </w:tcPr>
          <w:p w:rsidR="00F1199C" w:rsidRPr="00C46A29" w:rsidRDefault="00F1199C" w:rsidP="003A1BD9">
            <w:pPr>
              <w:pStyle w:val="B0"/>
              <w:spacing w:line="240" w:lineRule="auto"/>
              <w:rPr>
                <w:rFonts w:ascii="Arial" w:hAnsi="Arial" w:cs="Arial"/>
                <w:sz w:val="19"/>
                <w:szCs w:val="19"/>
                <w:highlight w:val="yellow"/>
              </w:rPr>
            </w:pPr>
          </w:p>
        </w:tc>
        <w:tc>
          <w:tcPr>
            <w:tcW w:w="1134" w:type="dxa"/>
            <w:gridSpan w:val="2"/>
          </w:tcPr>
          <w:p w:rsidR="00F1199C" w:rsidRPr="00C46A29" w:rsidRDefault="00F1199C" w:rsidP="003A1BD9">
            <w:pPr>
              <w:pStyle w:val="B0"/>
              <w:spacing w:line="240" w:lineRule="auto"/>
              <w:rPr>
                <w:rFonts w:ascii="Arial" w:hAnsi="Arial" w:cs="Arial"/>
                <w:sz w:val="19"/>
                <w:szCs w:val="19"/>
                <w:highlight w:val="yellow"/>
              </w:rPr>
            </w:pPr>
          </w:p>
        </w:tc>
        <w:tc>
          <w:tcPr>
            <w:tcW w:w="1134" w:type="dxa"/>
          </w:tcPr>
          <w:p w:rsidR="00F1199C" w:rsidRPr="00C46A29" w:rsidRDefault="00F1199C" w:rsidP="003A1BD9">
            <w:pPr>
              <w:pStyle w:val="B0"/>
              <w:spacing w:line="240" w:lineRule="auto"/>
              <w:rPr>
                <w:rFonts w:ascii="Arial" w:hAnsi="Arial" w:cs="Arial"/>
                <w:sz w:val="19"/>
                <w:szCs w:val="19"/>
                <w:highlight w:val="yellow"/>
              </w:rPr>
            </w:pPr>
          </w:p>
        </w:tc>
        <w:tc>
          <w:tcPr>
            <w:tcW w:w="1134" w:type="dxa"/>
          </w:tcPr>
          <w:p w:rsidR="00F1199C" w:rsidRPr="00C46A29" w:rsidRDefault="00F1199C" w:rsidP="003A1BD9">
            <w:pPr>
              <w:pStyle w:val="B0"/>
              <w:spacing w:line="240" w:lineRule="auto"/>
              <w:rPr>
                <w:rFonts w:ascii="Arial" w:hAnsi="Arial" w:cs="Arial"/>
                <w:sz w:val="19"/>
                <w:szCs w:val="19"/>
                <w:highlight w:val="yellow"/>
              </w:rPr>
            </w:pPr>
          </w:p>
        </w:tc>
        <w:tc>
          <w:tcPr>
            <w:tcW w:w="1134" w:type="dxa"/>
          </w:tcPr>
          <w:p w:rsidR="00F1199C" w:rsidRPr="000A30E0" w:rsidRDefault="00F1199C" w:rsidP="003A1BD9">
            <w:pPr>
              <w:pStyle w:val="B0"/>
              <w:spacing w:line="240" w:lineRule="auto"/>
              <w:rPr>
                <w:rFonts w:ascii="Arial" w:hAnsi="Arial" w:cs="Arial"/>
                <w:sz w:val="19"/>
                <w:szCs w:val="19"/>
              </w:rPr>
            </w:pPr>
          </w:p>
        </w:tc>
        <w:tc>
          <w:tcPr>
            <w:tcW w:w="1134" w:type="dxa"/>
          </w:tcPr>
          <w:p w:rsidR="00F1199C" w:rsidRPr="002C5113" w:rsidRDefault="00F1199C" w:rsidP="003A1BD9">
            <w:pPr>
              <w:pStyle w:val="B0"/>
              <w:spacing w:line="240" w:lineRule="auto"/>
              <w:rPr>
                <w:rFonts w:ascii="Arial" w:hAnsi="Arial" w:cs="Arial"/>
                <w:sz w:val="19"/>
                <w:szCs w:val="19"/>
              </w:rPr>
            </w:pPr>
          </w:p>
        </w:tc>
      </w:tr>
      <w:tr w:rsidR="00143053" w:rsidRPr="00C46A29" w:rsidTr="00143053">
        <w:trPr>
          <w:cantSplit/>
        </w:trPr>
        <w:tc>
          <w:tcPr>
            <w:tcW w:w="3856" w:type="dxa"/>
            <w:gridSpan w:val="2"/>
          </w:tcPr>
          <w:p w:rsidR="00143053" w:rsidRPr="002C5113" w:rsidRDefault="00F1199C" w:rsidP="003A1BD9">
            <w:pPr>
              <w:pStyle w:val="Tindent"/>
              <w:rPr>
                <w:rFonts w:ascii="Arial" w:hAnsi="Arial" w:cs="Arial"/>
                <w:sz w:val="19"/>
                <w:szCs w:val="19"/>
              </w:rPr>
            </w:pPr>
            <w:r w:rsidRPr="002C5113">
              <w:rPr>
                <w:rFonts w:ascii="Arial" w:hAnsi="Arial" w:cs="Arial"/>
                <w:sz w:val="19"/>
                <w:szCs w:val="19"/>
              </w:rPr>
              <w:t>Equities</w:t>
            </w: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0A30E0" w:rsidRPr="000A30E0" w:rsidRDefault="00D63993" w:rsidP="003A1BD9">
            <w:pPr>
              <w:pStyle w:val="Tdec"/>
              <w:rPr>
                <w:rFonts w:ascii="Arial" w:hAnsi="Arial" w:cs="Arial"/>
                <w:sz w:val="19"/>
                <w:szCs w:val="19"/>
              </w:rPr>
            </w:pPr>
            <w:r w:rsidRPr="000A30E0">
              <w:rPr>
                <w:rFonts w:ascii="Arial" w:hAnsi="Arial" w:cs="Arial"/>
                <w:sz w:val="19"/>
                <w:szCs w:val="19"/>
              </w:rPr>
              <w:t>1</w:t>
            </w:r>
            <w:r w:rsidR="000A30E0" w:rsidRPr="000A30E0">
              <w:rPr>
                <w:rFonts w:ascii="Arial" w:hAnsi="Arial" w:cs="Arial"/>
                <w:sz w:val="19"/>
                <w:szCs w:val="19"/>
              </w:rPr>
              <w:t>9,604</w:t>
            </w:r>
          </w:p>
        </w:tc>
        <w:tc>
          <w:tcPr>
            <w:tcW w:w="1134" w:type="dxa"/>
          </w:tcPr>
          <w:p w:rsidR="00143053" w:rsidRPr="002C5113" w:rsidRDefault="00674A93" w:rsidP="003A1BD9">
            <w:pPr>
              <w:pStyle w:val="Tdec"/>
              <w:rPr>
                <w:rFonts w:ascii="Arial" w:hAnsi="Arial" w:cs="Arial"/>
                <w:sz w:val="19"/>
                <w:szCs w:val="19"/>
              </w:rPr>
            </w:pPr>
            <w:r w:rsidRPr="002C5113">
              <w:rPr>
                <w:rFonts w:ascii="Arial" w:hAnsi="Arial" w:cs="Arial"/>
                <w:sz w:val="19"/>
                <w:szCs w:val="19"/>
              </w:rPr>
              <w:t>16,</w:t>
            </w:r>
            <w:r w:rsidR="002C5113" w:rsidRPr="002C5113">
              <w:rPr>
                <w:rFonts w:ascii="Arial" w:hAnsi="Arial" w:cs="Arial"/>
                <w:sz w:val="19"/>
                <w:szCs w:val="19"/>
              </w:rPr>
              <w:t>853</w:t>
            </w:r>
          </w:p>
        </w:tc>
      </w:tr>
      <w:tr w:rsidR="00143053" w:rsidRPr="00C46A29" w:rsidTr="00143053">
        <w:trPr>
          <w:cantSplit/>
        </w:trPr>
        <w:tc>
          <w:tcPr>
            <w:tcW w:w="3856" w:type="dxa"/>
            <w:gridSpan w:val="2"/>
          </w:tcPr>
          <w:p w:rsidR="00143053" w:rsidRPr="002C5113" w:rsidRDefault="00674A93" w:rsidP="003A1BD9">
            <w:pPr>
              <w:pStyle w:val="Tindent"/>
              <w:rPr>
                <w:rFonts w:ascii="Arial" w:hAnsi="Arial" w:cs="Arial"/>
                <w:sz w:val="19"/>
                <w:szCs w:val="19"/>
              </w:rPr>
            </w:pPr>
            <w:r w:rsidRPr="002C5113">
              <w:rPr>
                <w:rFonts w:ascii="Arial" w:hAnsi="Arial" w:cs="Arial"/>
                <w:sz w:val="19"/>
                <w:szCs w:val="19"/>
              </w:rPr>
              <w:t>Gilts</w:t>
            </w: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A30E0" w:rsidRDefault="000A30E0" w:rsidP="003A1BD9">
            <w:pPr>
              <w:pStyle w:val="Tdec"/>
              <w:rPr>
                <w:rFonts w:ascii="Arial" w:hAnsi="Arial" w:cs="Arial"/>
                <w:sz w:val="19"/>
                <w:szCs w:val="19"/>
              </w:rPr>
            </w:pPr>
            <w:r w:rsidRPr="000A30E0">
              <w:rPr>
                <w:rFonts w:ascii="Arial" w:hAnsi="Arial" w:cs="Arial"/>
                <w:sz w:val="19"/>
                <w:szCs w:val="19"/>
              </w:rPr>
              <w:t>5,045</w:t>
            </w:r>
          </w:p>
        </w:tc>
        <w:tc>
          <w:tcPr>
            <w:tcW w:w="1134" w:type="dxa"/>
          </w:tcPr>
          <w:p w:rsidR="00143053" w:rsidRPr="002C5113" w:rsidRDefault="002C5113" w:rsidP="003A1BD9">
            <w:pPr>
              <w:pStyle w:val="Tdec"/>
              <w:rPr>
                <w:rFonts w:ascii="Arial" w:hAnsi="Arial" w:cs="Arial"/>
                <w:sz w:val="19"/>
                <w:szCs w:val="19"/>
              </w:rPr>
            </w:pPr>
            <w:r w:rsidRPr="002C5113">
              <w:rPr>
                <w:rFonts w:ascii="Arial" w:hAnsi="Arial" w:cs="Arial"/>
                <w:sz w:val="19"/>
                <w:szCs w:val="19"/>
              </w:rPr>
              <w:t>4,244</w:t>
            </w:r>
          </w:p>
        </w:tc>
      </w:tr>
      <w:tr w:rsidR="00143053" w:rsidRPr="00C46A29" w:rsidTr="00143053">
        <w:trPr>
          <w:cantSplit/>
        </w:trPr>
        <w:tc>
          <w:tcPr>
            <w:tcW w:w="3856" w:type="dxa"/>
            <w:gridSpan w:val="2"/>
          </w:tcPr>
          <w:p w:rsidR="00143053" w:rsidRPr="002C5113" w:rsidRDefault="00674A93" w:rsidP="003A1BD9">
            <w:pPr>
              <w:pStyle w:val="Tindent"/>
              <w:rPr>
                <w:rFonts w:ascii="Arial" w:hAnsi="Arial" w:cs="Arial"/>
                <w:sz w:val="19"/>
                <w:szCs w:val="19"/>
              </w:rPr>
            </w:pPr>
            <w:r w:rsidRPr="002C5113">
              <w:rPr>
                <w:rFonts w:ascii="Arial" w:hAnsi="Arial" w:cs="Arial"/>
                <w:sz w:val="19"/>
                <w:szCs w:val="19"/>
              </w:rPr>
              <w:t>Bonds</w:t>
            </w: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A30E0" w:rsidRDefault="000A30E0" w:rsidP="003A1BD9">
            <w:pPr>
              <w:pStyle w:val="Tdec"/>
              <w:rPr>
                <w:rFonts w:ascii="Arial" w:hAnsi="Arial" w:cs="Arial"/>
                <w:sz w:val="19"/>
                <w:szCs w:val="19"/>
              </w:rPr>
            </w:pPr>
            <w:r w:rsidRPr="000A30E0">
              <w:rPr>
                <w:rFonts w:ascii="Arial" w:hAnsi="Arial" w:cs="Arial"/>
                <w:sz w:val="19"/>
                <w:szCs w:val="19"/>
              </w:rPr>
              <w:t>2,537</w:t>
            </w:r>
          </w:p>
        </w:tc>
        <w:tc>
          <w:tcPr>
            <w:tcW w:w="1134" w:type="dxa"/>
          </w:tcPr>
          <w:p w:rsidR="00143053" w:rsidRPr="002C5113" w:rsidRDefault="00674A93" w:rsidP="003A1BD9">
            <w:pPr>
              <w:pStyle w:val="Tdec"/>
              <w:rPr>
                <w:rFonts w:ascii="Arial" w:hAnsi="Arial" w:cs="Arial"/>
                <w:sz w:val="19"/>
                <w:szCs w:val="19"/>
              </w:rPr>
            </w:pPr>
            <w:r w:rsidRPr="002C5113">
              <w:rPr>
                <w:rFonts w:ascii="Arial" w:hAnsi="Arial" w:cs="Arial"/>
                <w:sz w:val="19"/>
                <w:szCs w:val="19"/>
              </w:rPr>
              <w:t>2,3</w:t>
            </w:r>
            <w:r w:rsidR="002C5113" w:rsidRPr="002C5113">
              <w:rPr>
                <w:rFonts w:ascii="Arial" w:hAnsi="Arial" w:cs="Arial"/>
                <w:sz w:val="19"/>
                <w:szCs w:val="19"/>
              </w:rPr>
              <w:t>58</w:t>
            </w:r>
          </w:p>
        </w:tc>
      </w:tr>
      <w:tr w:rsidR="00143053" w:rsidRPr="00C46A29" w:rsidTr="00143053">
        <w:trPr>
          <w:cantSplit/>
        </w:trPr>
        <w:tc>
          <w:tcPr>
            <w:tcW w:w="3856" w:type="dxa"/>
            <w:gridSpan w:val="2"/>
          </w:tcPr>
          <w:p w:rsidR="00143053" w:rsidRPr="002C5113" w:rsidRDefault="00674A93" w:rsidP="003A1BD9">
            <w:pPr>
              <w:pStyle w:val="Tindent"/>
              <w:rPr>
                <w:rFonts w:ascii="Arial" w:hAnsi="Arial" w:cs="Arial"/>
                <w:sz w:val="19"/>
                <w:szCs w:val="19"/>
              </w:rPr>
            </w:pPr>
            <w:r w:rsidRPr="002C5113">
              <w:rPr>
                <w:rFonts w:ascii="Arial" w:hAnsi="Arial" w:cs="Arial"/>
                <w:sz w:val="19"/>
                <w:szCs w:val="19"/>
              </w:rPr>
              <w:t>Property</w:t>
            </w: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A30E0" w:rsidRDefault="00D63993" w:rsidP="003A1BD9">
            <w:pPr>
              <w:pStyle w:val="Tdec"/>
              <w:rPr>
                <w:rFonts w:ascii="Arial" w:hAnsi="Arial" w:cs="Arial"/>
                <w:sz w:val="19"/>
                <w:szCs w:val="19"/>
              </w:rPr>
            </w:pPr>
            <w:r w:rsidRPr="000A30E0">
              <w:rPr>
                <w:rFonts w:ascii="Arial" w:hAnsi="Arial" w:cs="Arial"/>
                <w:sz w:val="19"/>
                <w:szCs w:val="19"/>
              </w:rPr>
              <w:t>1,</w:t>
            </w:r>
            <w:r w:rsidR="000A30E0" w:rsidRPr="000A30E0">
              <w:rPr>
                <w:rFonts w:ascii="Arial" w:hAnsi="Arial" w:cs="Arial"/>
                <w:sz w:val="19"/>
                <w:szCs w:val="19"/>
              </w:rPr>
              <w:t>269</w:t>
            </w:r>
          </w:p>
        </w:tc>
        <w:tc>
          <w:tcPr>
            <w:tcW w:w="1134" w:type="dxa"/>
          </w:tcPr>
          <w:p w:rsidR="00143053" w:rsidRPr="002C5113" w:rsidRDefault="00674A93" w:rsidP="003A1BD9">
            <w:pPr>
              <w:pStyle w:val="Tdec"/>
              <w:rPr>
                <w:rFonts w:ascii="Arial" w:hAnsi="Arial" w:cs="Arial"/>
                <w:sz w:val="19"/>
                <w:szCs w:val="19"/>
              </w:rPr>
            </w:pPr>
            <w:r w:rsidRPr="002C5113">
              <w:rPr>
                <w:rFonts w:ascii="Arial" w:hAnsi="Arial" w:cs="Arial"/>
                <w:sz w:val="19"/>
                <w:szCs w:val="19"/>
              </w:rPr>
              <w:t>1,0</w:t>
            </w:r>
            <w:r w:rsidR="002C5113" w:rsidRPr="002C5113">
              <w:rPr>
                <w:rFonts w:ascii="Arial" w:hAnsi="Arial" w:cs="Arial"/>
                <w:sz w:val="19"/>
                <w:szCs w:val="19"/>
              </w:rPr>
              <w:t>92</w:t>
            </w:r>
          </w:p>
        </w:tc>
      </w:tr>
      <w:tr w:rsidR="00143053" w:rsidRPr="00C46A29" w:rsidTr="00143053">
        <w:trPr>
          <w:cantSplit/>
        </w:trPr>
        <w:tc>
          <w:tcPr>
            <w:tcW w:w="3856" w:type="dxa"/>
            <w:gridSpan w:val="2"/>
          </w:tcPr>
          <w:p w:rsidR="00143053" w:rsidRPr="002C5113" w:rsidRDefault="00674A93" w:rsidP="003A1BD9">
            <w:pPr>
              <w:pStyle w:val="Tindent"/>
              <w:rPr>
                <w:rFonts w:ascii="Arial" w:hAnsi="Arial" w:cs="Arial"/>
                <w:sz w:val="19"/>
                <w:szCs w:val="19"/>
              </w:rPr>
            </w:pPr>
            <w:r w:rsidRPr="002C5113">
              <w:rPr>
                <w:rFonts w:ascii="Arial" w:hAnsi="Arial" w:cs="Arial"/>
                <w:sz w:val="19"/>
                <w:szCs w:val="19"/>
              </w:rPr>
              <w:t>Cash</w:t>
            </w: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A30E0" w:rsidRDefault="000A30E0" w:rsidP="003A1BD9">
            <w:pPr>
              <w:pStyle w:val="Tdec"/>
              <w:rPr>
                <w:rFonts w:ascii="Arial" w:hAnsi="Arial" w:cs="Arial"/>
                <w:sz w:val="19"/>
                <w:szCs w:val="19"/>
              </w:rPr>
            </w:pPr>
            <w:r w:rsidRPr="000A30E0">
              <w:rPr>
                <w:rFonts w:ascii="Arial" w:hAnsi="Arial" w:cs="Arial"/>
                <w:sz w:val="19"/>
                <w:szCs w:val="19"/>
              </w:rPr>
              <w:t>29</w:t>
            </w:r>
          </w:p>
        </w:tc>
        <w:tc>
          <w:tcPr>
            <w:tcW w:w="1134" w:type="dxa"/>
          </w:tcPr>
          <w:p w:rsidR="00143053" w:rsidRPr="002C5113" w:rsidRDefault="002C5113" w:rsidP="003A1BD9">
            <w:pPr>
              <w:pStyle w:val="Tdec"/>
              <w:rPr>
                <w:rFonts w:ascii="Arial" w:hAnsi="Arial" w:cs="Arial"/>
                <w:sz w:val="19"/>
                <w:szCs w:val="19"/>
              </w:rPr>
            </w:pPr>
            <w:r w:rsidRPr="002C5113">
              <w:rPr>
                <w:rFonts w:ascii="Arial" w:hAnsi="Arial" w:cs="Arial"/>
                <w:sz w:val="19"/>
                <w:szCs w:val="19"/>
              </w:rPr>
              <w:t>0</w:t>
            </w:r>
          </w:p>
        </w:tc>
      </w:tr>
      <w:tr w:rsidR="00143053" w:rsidRPr="00C46A29" w:rsidTr="00143053">
        <w:trPr>
          <w:cantSplit/>
        </w:trPr>
        <w:tc>
          <w:tcPr>
            <w:tcW w:w="3856" w:type="dxa"/>
            <w:gridSpan w:val="2"/>
          </w:tcPr>
          <w:p w:rsidR="00143053" w:rsidRPr="002C5113" w:rsidRDefault="00674A93" w:rsidP="003A1BD9">
            <w:pPr>
              <w:pStyle w:val="Tindent"/>
              <w:rPr>
                <w:rFonts w:ascii="Arial" w:hAnsi="Arial" w:cs="Arial"/>
                <w:sz w:val="19"/>
                <w:szCs w:val="19"/>
              </w:rPr>
            </w:pPr>
            <w:r w:rsidRPr="002C5113">
              <w:rPr>
                <w:rFonts w:ascii="Arial" w:hAnsi="Arial" w:cs="Arial"/>
                <w:sz w:val="19"/>
                <w:szCs w:val="19"/>
              </w:rPr>
              <w:t>Other</w:t>
            </w: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A30E0" w:rsidRDefault="000A30E0" w:rsidP="003A1BD9">
            <w:pPr>
              <w:pStyle w:val="Tdec"/>
              <w:rPr>
                <w:rFonts w:ascii="Arial" w:hAnsi="Arial" w:cs="Arial"/>
                <w:sz w:val="19"/>
                <w:szCs w:val="19"/>
              </w:rPr>
            </w:pPr>
            <w:r w:rsidRPr="000A30E0">
              <w:rPr>
                <w:rFonts w:ascii="Arial" w:hAnsi="Arial" w:cs="Arial"/>
                <w:sz w:val="19"/>
                <w:szCs w:val="19"/>
              </w:rPr>
              <w:t>346</w:t>
            </w:r>
          </w:p>
        </w:tc>
        <w:tc>
          <w:tcPr>
            <w:tcW w:w="1134" w:type="dxa"/>
          </w:tcPr>
          <w:p w:rsidR="00143053" w:rsidRPr="002C5113" w:rsidRDefault="002C5113" w:rsidP="003A1BD9">
            <w:pPr>
              <w:pStyle w:val="Tdec"/>
              <w:rPr>
                <w:rFonts w:ascii="Arial" w:hAnsi="Arial" w:cs="Arial"/>
                <w:sz w:val="19"/>
                <w:szCs w:val="19"/>
              </w:rPr>
            </w:pPr>
            <w:r w:rsidRPr="002C5113">
              <w:rPr>
                <w:rFonts w:ascii="Arial" w:hAnsi="Arial" w:cs="Arial"/>
                <w:sz w:val="19"/>
                <w:szCs w:val="19"/>
              </w:rPr>
              <w:t>273</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A30E0" w:rsidRDefault="00143053" w:rsidP="003A1BD9">
            <w:pPr>
              <w:pStyle w:val="S9"/>
              <w:spacing w:line="240" w:lineRule="auto"/>
              <w:rPr>
                <w:rFonts w:ascii="Arial" w:hAnsi="Arial" w:cs="Arial"/>
                <w:sz w:val="19"/>
                <w:szCs w:val="19"/>
              </w:rPr>
            </w:pPr>
          </w:p>
        </w:tc>
        <w:tc>
          <w:tcPr>
            <w:tcW w:w="1134" w:type="dxa"/>
          </w:tcPr>
          <w:p w:rsidR="00143053" w:rsidRPr="002C5113" w:rsidRDefault="00143053" w:rsidP="003A1BD9">
            <w:pPr>
              <w:pStyle w:val="S9"/>
              <w:spacing w:line="240" w:lineRule="auto"/>
              <w:rPr>
                <w:rFonts w:ascii="Arial" w:hAnsi="Arial" w:cs="Arial"/>
                <w:sz w:val="19"/>
                <w:szCs w:val="19"/>
              </w:rPr>
            </w:pP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A30E0" w:rsidRDefault="00E412F1" w:rsidP="003A1BD9">
            <w:pPr>
              <w:pStyle w:val="Tdec"/>
              <w:rPr>
                <w:rFonts w:ascii="Arial" w:hAnsi="Arial" w:cs="Arial"/>
                <w:sz w:val="19"/>
                <w:szCs w:val="19"/>
              </w:rPr>
            </w:pPr>
            <w:r w:rsidRPr="000A30E0">
              <w:rPr>
                <w:rFonts w:ascii="Arial" w:hAnsi="Arial" w:cs="Arial"/>
                <w:sz w:val="19"/>
                <w:szCs w:val="19"/>
              </w:rPr>
              <w:t>2</w:t>
            </w:r>
            <w:r w:rsidR="00002697" w:rsidRPr="000A30E0">
              <w:rPr>
                <w:rFonts w:ascii="Arial" w:hAnsi="Arial" w:cs="Arial"/>
                <w:sz w:val="19"/>
                <w:szCs w:val="19"/>
              </w:rPr>
              <w:t>8,830</w:t>
            </w:r>
          </w:p>
        </w:tc>
        <w:tc>
          <w:tcPr>
            <w:tcW w:w="1134" w:type="dxa"/>
          </w:tcPr>
          <w:p w:rsidR="00143053" w:rsidRPr="002C5113" w:rsidRDefault="00674A93" w:rsidP="003A1BD9">
            <w:pPr>
              <w:pStyle w:val="Tdec"/>
              <w:rPr>
                <w:rFonts w:ascii="Arial" w:hAnsi="Arial" w:cs="Arial"/>
                <w:sz w:val="19"/>
                <w:szCs w:val="19"/>
              </w:rPr>
            </w:pPr>
            <w:r w:rsidRPr="002C5113">
              <w:rPr>
                <w:rFonts w:ascii="Arial" w:hAnsi="Arial" w:cs="Arial"/>
                <w:sz w:val="19"/>
                <w:szCs w:val="19"/>
              </w:rPr>
              <w:t>2</w:t>
            </w:r>
            <w:r w:rsidR="002C5113" w:rsidRPr="002C5113">
              <w:rPr>
                <w:rFonts w:ascii="Arial" w:hAnsi="Arial" w:cs="Arial"/>
                <w:sz w:val="19"/>
                <w:szCs w:val="19"/>
              </w:rPr>
              <w:t>4,820</w:t>
            </w:r>
          </w:p>
        </w:tc>
      </w:tr>
      <w:tr w:rsidR="00143053" w:rsidRPr="00C46A29" w:rsidTr="00143053">
        <w:trPr>
          <w:cantSplit/>
        </w:trPr>
        <w:tc>
          <w:tcPr>
            <w:tcW w:w="3856" w:type="dxa"/>
            <w:gridSpan w:val="2"/>
          </w:tcPr>
          <w:p w:rsidR="00143053" w:rsidRPr="002C5113" w:rsidRDefault="00143053" w:rsidP="003A1BD9">
            <w:pPr>
              <w:pStyle w:val="Tindent"/>
              <w:rPr>
                <w:rFonts w:ascii="Arial" w:hAnsi="Arial" w:cs="Arial"/>
                <w:sz w:val="19"/>
                <w:szCs w:val="19"/>
              </w:rPr>
            </w:pP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A30E0" w:rsidRDefault="00143053" w:rsidP="003A1BD9">
            <w:pPr>
              <w:pStyle w:val="D9"/>
              <w:spacing w:line="240" w:lineRule="auto"/>
              <w:rPr>
                <w:rFonts w:ascii="Arial" w:hAnsi="Arial" w:cs="Arial"/>
                <w:sz w:val="19"/>
                <w:szCs w:val="19"/>
              </w:rPr>
            </w:pPr>
          </w:p>
        </w:tc>
        <w:tc>
          <w:tcPr>
            <w:tcW w:w="1134" w:type="dxa"/>
          </w:tcPr>
          <w:p w:rsidR="00143053" w:rsidRPr="002C5113" w:rsidRDefault="00143053" w:rsidP="003A1BD9">
            <w:pPr>
              <w:pStyle w:val="D9"/>
              <w:spacing w:line="240" w:lineRule="auto"/>
              <w:rPr>
                <w:rFonts w:ascii="Arial" w:hAnsi="Arial" w:cs="Arial"/>
                <w:sz w:val="19"/>
                <w:szCs w:val="19"/>
              </w:rPr>
            </w:pPr>
          </w:p>
        </w:tc>
      </w:tr>
      <w:tr w:rsidR="00143053" w:rsidRPr="00C46A29" w:rsidTr="00143053">
        <w:trPr>
          <w:cantSplit/>
        </w:trPr>
        <w:tc>
          <w:tcPr>
            <w:tcW w:w="3856" w:type="dxa"/>
            <w:gridSpan w:val="2"/>
          </w:tcPr>
          <w:p w:rsidR="00143053" w:rsidRPr="002C5113" w:rsidRDefault="00674A93" w:rsidP="003A1BD9">
            <w:pPr>
              <w:pStyle w:val="Tindent"/>
              <w:rPr>
                <w:rFonts w:ascii="Arial" w:hAnsi="Arial" w:cs="Arial"/>
                <w:sz w:val="19"/>
                <w:szCs w:val="19"/>
              </w:rPr>
            </w:pPr>
            <w:r w:rsidRPr="002C5113">
              <w:rPr>
                <w:rFonts w:ascii="Arial" w:hAnsi="Arial" w:cs="Arial"/>
                <w:sz w:val="19"/>
                <w:szCs w:val="19"/>
              </w:rPr>
              <w:t>Actual return on plan assets</w:t>
            </w: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0A30E0" w:rsidRDefault="000A30E0" w:rsidP="003A1BD9">
            <w:pPr>
              <w:pStyle w:val="Tdec"/>
              <w:rPr>
                <w:rFonts w:ascii="Arial" w:hAnsi="Arial" w:cs="Arial"/>
                <w:sz w:val="19"/>
                <w:szCs w:val="19"/>
              </w:rPr>
            </w:pPr>
            <w:r w:rsidRPr="000A30E0">
              <w:rPr>
                <w:rFonts w:ascii="Arial" w:hAnsi="Arial" w:cs="Arial"/>
                <w:sz w:val="19"/>
                <w:szCs w:val="19"/>
              </w:rPr>
              <w:t>3,050</w:t>
            </w:r>
          </w:p>
        </w:tc>
        <w:tc>
          <w:tcPr>
            <w:tcW w:w="1134" w:type="dxa"/>
          </w:tcPr>
          <w:p w:rsidR="00143053" w:rsidRPr="002C5113" w:rsidRDefault="002C5113" w:rsidP="003A1BD9">
            <w:pPr>
              <w:pStyle w:val="Tdec"/>
              <w:rPr>
                <w:rFonts w:ascii="Arial" w:hAnsi="Arial" w:cs="Arial"/>
                <w:sz w:val="19"/>
                <w:szCs w:val="19"/>
              </w:rPr>
            </w:pPr>
            <w:r w:rsidRPr="002C5113">
              <w:rPr>
                <w:rFonts w:ascii="Arial" w:hAnsi="Arial" w:cs="Arial"/>
                <w:sz w:val="19"/>
                <w:szCs w:val="19"/>
              </w:rPr>
              <w:t>300</w:t>
            </w:r>
          </w:p>
        </w:tc>
      </w:tr>
      <w:tr w:rsidR="00143053" w:rsidRPr="00C46A29" w:rsidTr="00143053">
        <w:trPr>
          <w:cantSplit/>
        </w:trPr>
        <w:tc>
          <w:tcPr>
            <w:tcW w:w="3856" w:type="dxa"/>
            <w:gridSpan w:val="2"/>
          </w:tcPr>
          <w:p w:rsidR="00143053" w:rsidRPr="00C46A29" w:rsidRDefault="00143053" w:rsidP="003A1BD9">
            <w:pPr>
              <w:pStyle w:val="Tindent"/>
              <w:rPr>
                <w:rFonts w:ascii="Arial" w:hAnsi="Arial" w:cs="Arial"/>
                <w:sz w:val="19"/>
                <w:szCs w:val="19"/>
                <w:highlight w:val="yellow"/>
              </w:rPr>
            </w:pPr>
          </w:p>
        </w:tc>
        <w:tc>
          <w:tcPr>
            <w:tcW w:w="1106"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Tdec"/>
              <w:rPr>
                <w:rFonts w:ascii="Arial" w:hAnsi="Arial" w:cs="Arial"/>
                <w:sz w:val="19"/>
                <w:szCs w:val="19"/>
                <w:highlight w:val="yellow"/>
              </w:rPr>
            </w:pPr>
          </w:p>
        </w:tc>
        <w:tc>
          <w:tcPr>
            <w:tcW w:w="1134" w:type="dxa"/>
          </w:tcPr>
          <w:p w:rsidR="00143053" w:rsidRPr="00C46A29" w:rsidRDefault="00143053" w:rsidP="003A1BD9">
            <w:pPr>
              <w:pStyle w:val="D9"/>
              <w:spacing w:line="240" w:lineRule="auto"/>
              <w:rPr>
                <w:rFonts w:ascii="Arial" w:hAnsi="Arial" w:cs="Arial"/>
                <w:sz w:val="19"/>
                <w:szCs w:val="19"/>
                <w:highlight w:val="yellow"/>
              </w:rPr>
            </w:pPr>
          </w:p>
        </w:tc>
        <w:tc>
          <w:tcPr>
            <w:tcW w:w="1134" w:type="dxa"/>
          </w:tcPr>
          <w:p w:rsidR="00143053" w:rsidRPr="00C46A29" w:rsidRDefault="00143053" w:rsidP="003A1BD9">
            <w:pPr>
              <w:pStyle w:val="D9"/>
              <w:spacing w:line="240" w:lineRule="auto"/>
              <w:rPr>
                <w:rFonts w:ascii="Arial" w:hAnsi="Arial" w:cs="Arial"/>
                <w:sz w:val="19"/>
                <w:szCs w:val="19"/>
                <w:highlight w:val="yellow"/>
              </w:rPr>
            </w:pPr>
          </w:p>
        </w:tc>
      </w:tr>
    </w:tbl>
    <w:p w:rsidR="00201B4C" w:rsidRPr="00C46A29" w:rsidRDefault="00201B4C" w:rsidP="00201B4C">
      <w:pPr>
        <w:autoSpaceDE w:val="0"/>
        <w:autoSpaceDN w:val="0"/>
        <w:adjustRightInd w:val="0"/>
        <w:spacing w:after="0"/>
        <w:jc w:val="left"/>
        <w:rPr>
          <w:rFonts w:ascii="Arial" w:hAnsi="Arial" w:cs="Arial"/>
          <w:bCs/>
          <w:sz w:val="19"/>
          <w:szCs w:val="19"/>
          <w:highlight w:val="yellow"/>
          <w:lang w:val="en-US"/>
        </w:rPr>
      </w:pPr>
    </w:p>
    <w:p w:rsidR="00674A93" w:rsidRPr="000A30E0" w:rsidRDefault="00674A93" w:rsidP="00201B4C">
      <w:pPr>
        <w:autoSpaceDE w:val="0"/>
        <w:autoSpaceDN w:val="0"/>
        <w:adjustRightInd w:val="0"/>
        <w:spacing w:after="0"/>
        <w:jc w:val="left"/>
        <w:rPr>
          <w:rFonts w:ascii="Arial" w:hAnsi="Arial" w:cs="Arial"/>
          <w:bCs/>
          <w:sz w:val="19"/>
          <w:szCs w:val="19"/>
          <w:lang w:val="en-US"/>
        </w:rPr>
      </w:pPr>
      <w:r w:rsidRPr="000A30E0">
        <w:rPr>
          <w:rFonts w:ascii="Arial" w:hAnsi="Arial" w:cs="Arial"/>
          <w:bCs/>
          <w:sz w:val="19"/>
          <w:szCs w:val="19"/>
          <w:lang w:val="en-US"/>
        </w:rPr>
        <w:t xml:space="preserve">None of the fair values of the assets shown above include any of the </w:t>
      </w:r>
      <w:r w:rsidR="00201B4C" w:rsidRPr="000A30E0">
        <w:rPr>
          <w:rFonts w:ascii="Arial" w:hAnsi="Arial" w:cs="Arial"/>
          <w:bCs/>
          <w:sz w:val="19"/>
          <w:szCs w:val="19"/>
          <w:lang w:val="en-US"/>
        </w:rPr>
        <w:t>Company</w:t>
      </w:r>
      <w:r w:rsidRPr="000A30E0">
        <w:rPr>
          <w:rFonts w:ascii="Arial" w:hAnsi="Arial" w:cs="Arial"/>
          <w:bCs/>
          <w:sz w:val="19"/>
          <w:szCs w:val="19"/>
          <w:lang w:val="en-US"/>
        </w:rPr>
        <w:t xml:space="preserve">’s own financial instruments or any property occupied, or other assets used by the </w:t>
      </w:r>
      <w:r w:rsidR="00201B4C" w:rsidRPr="000A30E0">
        <w:rPr>
          <w:rFonts w:ascii="Arial" w:hAnsi="Arial" w:cs="Arial"/>
          <w:bCs/>
          <w:sz w:val="19"/>
          <w:szCs w:val="19"/>
          <w:lang w:val="en-US"/>
        </w:rPr>
        <w:t>Company</w:t>
      </w:r>
      <w:r w:rsidRPr="000A30E0">
        <w:rPr>
          <w:rFonts w:ascii="Arial" w:hAnsi="Arial" w:cs="Arial"/>
          <w:bCs/>
          <w:sz w:val="19"/>
          <w:szCs w:val="19"/>
          <w:lang w:val="en-US"/>
        </w:rPr>
        <w:t>.</w:t>
      </w:r>
    </w:p>
    <w:p w:rsidR="00201B4C" w:rsidRPr="000A30E0" w:rsidRDefault="00201B4C" w:rsidP="00201B4C">
      <w:pPr>
        <w:autoSpaceDE w:val="0"/>
        <w:autoSpaceDN w:val="0"/>
        <w:adjustRightInd w:val="0"/>
        <w:spacing w:after="0"/>
        <w:jc w:val="left"/>
        <w:rPr>
          <w:rFonts w:ascii="Arial" w:hAnsi="Arial" w:cs="Arial"/>
          <w:bCs/>
          <w:sz w:val="19"/>
          <w:szCs w:val="19"/>
          <w:lang w:val="en-US"/>
        </w:rPr>
      </w:pPr>
    </w:p>
    <w:p w:rsidR="003A1BD9" w:rsidRPr="000A30E0" w:rsidRDefault="00674A93" w:rsidP="00201B4C">
      <w:pPr>
        <w:autoSpaceDE w:val="0"/>
        <w:autoSpaceDN w:val="0"/>
        <w:adjustRightInd w:val="0"/>
        <w:spacing w:after="0"/>
        <w:jc w:val="left"/>
        <w:rPr>
          <w:rFonts w:ascii="Arial" w:hAnsi="Arial" w:cs="Arial"/>
          <w:bCs/>
          <w:sz w:val="19"/>
          <w:szCs w:val="19"/>
          <w:lang w:val="en-US"/>
        </w:rPr>
      </w:pPr>
      <w:r w:rsidRPr="000A30E0">
        <w:rPr>
          <w:rFonts w:ascii="Arial" w:hAnsi="Arial" w:cs="Arial"/>
          <w:bCs/>
          <w:sz w:val="19"/>
          <w:szCs w:val="19"/>
          <w:lang w:val="en-US"/>
        </w:rPr>
        <w:t>Principal actuarial assumptions (expressed as weighted averages) at the year end were as follows:</w:t>
      </w:r>
    </w:p>
    <w:p w:rsidR="00201B4C" w:rsidRPr="00C46A29" w:rsidRDefault="00201B4C" w:rsidP="00201B4C">
      <w:pPr>
        <w:autoSpaceDE w:val="0"/>
        <w:autoSpaceDN w:val="0"/>
        <w:adjustRightInd w:val="0"/>
        <w:spacing w:after="0"/>
        <w:jc w:val="left"/>
        <w:rPr>
          <w:sz w:val="19"/>
          <w:szCs w:val="19"/>
          <w:highlight w:val="yellow"/>
        </w:rPr>
      </w:pPr>
    </w:p>
    <w:tbl>
      <w:tblPr>
        <w:tblW w:w="9498" w:type="dxa"/>
        <w:tblLayout w:type="fixed"/>
        <w:tblCellMar>
          <w:left w:w="28" w:type="dxa"/>
          <w:right w:w="28" w:type="dxa"/>
        </w:tblCellMar>
        <w:tblLook w:val="0000" w:firstRow="0" w:lastRow="0" w:firstColumn="0" w:lastColumn="0" w:noHBand="0" w:noVBand="0"/>
      </w:tblPr>
      <w:tblGrid>
        <w:gridCol w:w="3828"/>
        <w:gridCol w:w="28"/>
        <w:gridCol w:w="992"/>
        <w:gridCol w:w="114"/>
        <w:gridCol w:w="1134"/>
        <w:gridCol w:w="1134"/>
        <w:gridCol w:w="1134"/>
        <w:gridCol w:w="1134"/>
      </w:tblGrid>
      <w:tr w:rsidR="00674A93" w:rsidRPr="002C5113" w:rsidTr="00674A93">
        <w:trPr>
          <w:cantSplit/>
        </w:trPr>
        <w:tc>
          <w:tcPr>
            <w:tcW w:w="3828" w:type="dxa"/>
          </w:tcPr>
          <w:p w:rsidR="00674A93" w:rsidRPr="00C46A29" w:rsidRDefault="00674A93" w:rsidP="003A1BD9">
            <w:pPr>
              <w:pStyle w:val="Tindent"/>
              <w:keepLines/>
              <w:rPr>
                <w:rFonts w:ascii="Arial" w:hAnsi="Arial" w:cs="Arial"/>
                <w:b/>
                <w:sz w:val="19"/>
                <w:szCs w:val="19"/>
                <w:highlight w:val="yellow"/>
              </w:rPr>
            </w:pPr>
          </w:p>
          <w:p w:rsidR="005B78BF" w:rsidRPr="00C46A29" w:rsidRDefault="005B78BF" w:rsidP="003A1BD9">
            <w:pPr>
              <w:pStyle w:val="Tindent"/>
              <w:keepLines/>
              <w:rPr>
                <w:rFonts w:ascii="Arial" w:hAnsi="Arial" w:cs="Arial"/>
                <w:b/>
                <w:sz w:val="19"/>
                <w:szCs w:val="19"/>
                <w:highlight w:val="yellow"/>
              </w:rPr>
            </w:pPr>
          </w:p>
        </w:tc>
        <w:tc>
          <w:tcPr>
            <w:tcW w:w="1134" w:type="dxa"/>
            <w:gridSpan w:val="3"/>
          </w:tcPr>
          <w:p w:rsidR="00674A93" w:rsidRPr="00C46A29" w:rsidRDefault="00674A93" w:rsidP="003A1BD9">
            <w:pPr>
              <w:pStyle w:val="Thead"/>
              <w:rPr>
                <w:rFonts w:ascii="Arial" w:hAnsi="Arial" w:cs="Arial"/>
                <w:sz w:val="19"/>
                <w:szCs w:val="19"/>
                <w:highlight w:val="yellow"/>
              </w:rPr>
            </w:pPr>
          </w:p>
        </w:tc>
        <w:tc>
          <w:tcPr>
            <w:tcW w:w="1134" w:type="dxa"/>
          </w:tcPr>
          <w:p w:rsidR="00674A93" w:rsidRPr="00C46A29" w:rsidRDefault="00674A93" w:rsidP="003A1BD9">
            <w:pPr>
              <w:pStyle w:val="Thead"/>
              <w:rPr>
                <w:rFonts w:ascii="Arial" w:hAnsi="Arial" w:cs="Arial"/>
                <w:sz w:val="19"/>
                <w:szCs w:val="19"/>
                <w:highlight w:val="yellow"/>
              </w:rPr>
            </w:pPr>
          </w:p>
        </w:tc>
        <w:tc>
          <w:tcPr>
            <w:tcW w:w="1134" w:type="dxa"/>
          </w:tcPr>
          <w:p w:rsidR="00674A93" w:rsidRPr="00C46A29" w:rsidRDefault="00674A93" w:rsidP="003A1BD9">
            <w:pPr>
              <w:pStyle w:val="Thead"/>
              <w:rPr>
                <w:rFonts w:ascii="Arial" w:hAnsi="Arial" w:cs="Arial"/>
                <w:sz w:val="19"/>
                <w:szCs w:val="19"/>
                <w:highlight w:val="yellow"/>
              </w:rPr>
            </w:pPr>
          </w:p>
        </w:tc>
        <w:tc>
          <w:tcPr>
            <w:tcW w:w="1134" w:type="dxa"/>
          </w:tcPr>
          <w:p w:rsidR="00674A93" w:rsidRPr="000A30E0" w:rsidRDefault="00674A93" w:rsidP="003A1BD9">
            <w:pPr>
              <w:pStyle w:val="Thead"/>
              <w:rPr>
                <w:rFonts w:ascii="Arial" w:hAnsi="Arial" w:cs="Arial"/>
                <w:sz w:val="19"/>
                <w:szCs w:val="19"/>
              </w:rPr>
            </w:pPr>
            <w:r w:rsidRPr="000A30E0">
              <w:rPr>
                <w:rFonts w:ascii="Arial" w:hAnsi="Arial" w:cs="Arial"/>
                <w:sz w:val="19"/>
                <w:szCs w:val="19"/>
              </w:rPr>
              <w:t>201</w:t>
            </w:r>
            <w:r w:rsidR="002C5113" w:rsidRPr="000A30E0">
              <w:rPr>
                <w:rFonts w:ascii="Arial" w:hAnsi="Arial" w:cs="Arial"/>
                <w:sz w:val="19"/>
                <w:szCs w:val="19"/>
              </w:rPr>
              <w:t>5</w:t>
            </w:r>
          </w:p>
        </w:tc>
        <w:tc>
          <w:tcPr>
            <w:tcW w:w="1134" w:type="dxa"/>
          </w:tcPr>
          <w:p w:rsidR="00674A93" w:rsidRPr="000A30E0" w:rsidRDefault="00674A93" w:rsidP="003A1BD9">
            <w:pPr>
              <w:pStyle w:val="Thead"/>
              <w:rPr>
                <w:rFonts w:ascii="Arial" w:hAnsi="Arial" w:cs="Arial"/>
                <w:sz w:val="19"/>
                <w:szCs w:val="19"/>
              </w:rPr>
            </w:pPr>
            <w:r w:rsidRPr="000A30E0">
              <w:rPr>
                <w:rFonts w:ascii="Arial" w:hAnsi="Arial" w:cs="Arial"/>
                <w:sz w:val="19"/>
                <w:szCs w:val="19"/>
              </w:rPr>
              <w:t>201</w:t>
            </w:r>
            <w:r w:rsidR="002C5113" w:rsidRPr="000A30E0">
              <w:rPr>
                <w:rFonts w:ascii="Arial" w:hAnsi="Arial" w:cs="Arial"/>
                <w:sz w:val="19"/>
                <w:szCs w:val="19"/>
              </w:rPr>
              <w:t>4</w:t>
            </w:r>
          </w:p>
        </w:tc>
      </w:tr>
      <w:tr w:rsidR="00674A93" w:rsidRPr="002C5113" w:rsidTr="00674A93">
        <w:trPr>
          <w:cantSplit/>
        </w:trPr>
        <w:tc>
          <w:tcPr>
            <w:tcW w:w="3828" w:type="dxa"/>
          </w:tcPr>
          <w:p w:rsidR="00674A93" w:rsidRPr="00C46A29" w:rsidRDefault="00674A93" w:rsidP="003A1BD9">
            <w:pPr>
              <w:pStyle w:val="B0"/>
              <w:spacing w:line="240" w:lineRule="auto"/>
              <w:rPr>
                <w:rFonts w:ascii="Arial" w:hAnsi="Arial" w:cs="Arial"/>
                <w:sz w:val="19"/>
                <w:szCs w:val="19"/>
                <w:highlight w:val="yellow"/>
              </w:rPr>
            </w:pPr>
          </w:p>
        </w:tc>
        <w:tc>
          <w:tcPr>
            <w:tcW w:w="1134" w:type="dxa"/>
            <w:gridSpan w:val="3"/>
          </w:tcPr>
          <w:p w:rsidR="00674A93" w:rsidRPr="00C46A29" w:rsidRDefault="00674A93" w:rsidP="003A1BD9">
            <w:pPr>
              <w:pStyle w:val="B0"/>
              <w:spacing w:line="240" w:lineRule="auto"/>
              <w:rPr>
                <w:rFonts w:ascii="Arial" w:hAnsi="Arial" w:cs="Arial"/>
                <w:sz w:val="19"/>
                <w:szCs w:val="19"/>
                <w:highlight w:val="yellow"/>
              </w:rPr>
            </w:pPr>
          </w:p>
        </w:tc>
        <w:tc>
          <w:tcPr>
            <w:tcW w:w="1134" w:type="dxa"/>
          </w:tcPr>
          <w:p w:rsidR="00674A93" w:rsidRPr="00C46A29" w:rsidRDefault="00674A93" w:rsidP="003A1BD9">
            <w:pPr>
              <w:pStyle w:val="B0"/>
              <w:spacing w:line="240" w:lineRule="auto"/>
              <w:rPr>
                <w:rFonts w:ascii="Arial" w:hAnsi="Arial" w:cs="Arial"/>
                <w:sz w:val="19"/>
                <w:szCs w:val="19"/>
                <w:highlight w:val="yellow"/>
              </w:rPr>
            </w:pPr>
          </w:p>
        </w:tc>
        <w:tc>
          <w:tcPr>
            <w:tcW w:w="1134" w:type="dxa"/>
          </w:tcPr>
          <w:p w:rsidR="00674A93" w:rsidRPr="00C46A29" w:rsidRDefault="00674A93" w:rsidP="003A1BD9">
            <w:pPr>
              <w:pStyle w:val="B0"/>
              <w:spacing w:line="240" w:lineRule="auto"/>
              <w:rPr>
                <w:rFonts w:ascii="Arial" w:hAnsi="Arial" w:cs="Arial"/>
                <w:sz w:val="19"/>
                <w:szCs w:val="19"/>
                <w:highlight w:val="yellow"/>
              </w:rPr>
            </w:pPr>
          </w:p>
        </w:tc>
        <w:tc>
          <w:tcPr>
            <w:tcW w:w="1134" w:type="dxa"/>
          </w:tcPr>
          <w:p w:rsidR="00674A93" w:rsidRPr="000A30E0" w:rsidRDefault="00674A93" w:rsidP="003A1BD9">
            <w:pPr>
              <w:pStyle w:val="B0"/>
              <w:spacing w:line="240" w:lineRule="auto"/>
              <w:rPr>
                <w:rFonts w:ascii="Arial" w:hAnsi="Arial" w:cs="Arial"/>
                <w:sz w:val="19"/>
                <w:szCs w:val="19"/>
              </w:rPr>
            </w:pPr>
          </w:p>
        </w:tc>
        <w:tc>
          <w:tcPr>
            <w:tcW w:w="1134" w:type="dxa"/>
          </w:tcPr>
          <w:p w:rsidR="00674A93" w:rsidRPr="000A30E0" w:rsidRDefault="00674A93" w:rsidP="003A1BD9">
            <w:pPr>
              <w:pStyle w:val="B0"/>
              <w:spacing w:line="240" w:lineRule="auto"/>
              <w:rPr>
                <w:rFonts w:ascii="Arial" w:hAnsi="Arial" w:cs="Arial"/>
                <w:sz w:val="19"/>
                <w:szCs w:val="19"/>
              </w:rPr>
            </w:pPr>
          </w:p>
        </w:tc>
      </w:tr>
      <w:tr w:rsidR="00674A93" w:rsidRPr="002C5113" w:rsidTr="00674A93">
        <w:trPr>
          <w:cantSplit/>
        </w:trPr>
        <w:tc>
          <w:tcPr>
            <w:tcW w:w="4848" w:type="dxa"/>
            <w:gridSpan w:val="3"/>
          </w:tcPr>
          <w:p w:rsidR="00674A93" w:rsidRPr="002C5113" w:rsidRDefault="00674A93" w:rsidP="003A1BD9">
            <w:pPr>
              <w:pStyle w:val="Tindent"/>
              <w:rPr>
                <w:rFonts w:ascii="Arial" w:hAnsi="Arial" w:cs="Arial"/>
                <w:sz w:val="19"/>
                <w:szCs w:val="19"/>
              </w:rPr>
            </w:pPr>
            <w:r w:rsidRPr="002C5113">
              <w:rPr>
                <w:rFonts w:ascii="Arial" w:hAnsi="Arial" w:cs="Arial"/>
                <w:sz w:val="19"/>
                <w:szCs w:val="19"/>
              </w:rPr>
              <w:t>Discount rate applied to scheme liabilities</w:t>
            </w: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0A30E0" w:rsidRDefault="000A30E0" w:rsidP="003A1BD9">
            <w:pPr>
              <w:pStyle w:val="Tdec"/>
              <w:rPr>
                <w:rFonts w:ascii="Arial" w:hAnsi="Arial" w:cs="Arial"/>
                <w:sz w:val="19"/>
                <w:szCs w:val="19"/>
              </w:rPr>
            </w:pPr>
            <w:r w:rsidRPr="000A30E0">
              <w:rPr>
                <w:rFonts w:ascii="Arial" w:hAnsi="Arial" w:cs="Arial"/>
                <w:sz w:val="19"/>
                <w:szCs w:val="19"/>
              </w:rPr>
              <w:t>3.3</w:t>
            </w:r>
            <w:r w:rsidR="00E412F1" w:rsidRPr="000A30E0">
              <w:rPr>
                <w:rFonts w:ascii="Arial" w:hAnsi="Arial" w:cs="Arial"/>
                <w:sz w:val="19"/>
                <w:szCs w:val="19"/>
              </w:rPr>
              <w:t>%</w:t>
            </w:r>
          </w:p>
        </w:tc>
        <w:tc>
          <w:tcPr>
            <w:tcW w:w="1134" w:type="dxa"/>
          </w:tcPr>
          <w:p w:rsidR="00674A93" w:rsidRPr="000A30E0" w:rsidRDefault="002C5113" w:rsidP="003A1BD9">
            <w:pPr>
              <w:pStyle w:val="Tdec"/>
              <w:rPr>
                <w:rFonts w:ascii="Arial" w:hAnsi="Arial" w:cs="Arial"/>
                <w:sz w:val="19"/>
                <w:szCs w:val="19"/>
              </w:rPr>
            </w:pPr>
            <w:r w:rsidRPr="000A30E0">
              <w:rPr>
                <w:rFonts w:ascii="Arial" w:hAnsi="Arial" w:cs="Arial"/>
                <w:sz w:val="19"/>
                <w:szCs w:val="19"/>
              </w:rPr>
              <w:t>4.3</w:t>
            </w:r>
            <w:r w:rsidR="00674A93" w:rsidRPr="000A30E0">
              <w:rPr>
                <w:rFonts w:ascii="Arial" w:hAnsi="Arial" w:cs="Arial"/>
                <w:sz w:val="19"/>
                <w:szCs w:val="19"/>
              </w:rPr>
              <w:t>%</w:t>
            </w:r>
          </w:p>
        </w:tc>
      </w:tr>
      <w:tr w:rsidR="00674A93" w:rsidRPr="002C5113" w:rsidTr="00674A93">
        <w:trPr>
          <w:cantSplit/>
        </w:trPr>
        <w:tc>
          <w:tcPr>
            <w:tcW w:w="4848" w:type="dxa"/>
            <w:gridSpan w:val="3"/>
          </w:tcPr>
          <w:p w:rsidR="00674A93" w:rsidRPr="002C5113" w:rsidRDefault="00674A93" w:rsidP="003A1BD9">
            <w:pPr>
              <w:pStyle w:val="Tindent"/>
              <w:rPr>
                <w:rFonts w:ascii="Arial" w:hAnsi="Arial" w:cs="Arial"/>
                <w:sz w:val="19"/>
                <w:szCs w:val="19"/>
              </w:rPr>
            </w:pPr>
            <w:r w:rsidRPr="002C5113">
              <w:rPr>
                <w:rFonts w:ascii="Arial" w:hAnsi="Arial" w:cs="Arial"/>
                <w:sz w:val="19"/>
                <w:szCs w:val="19"/>
              </w:rPr>
              <w:t>Future salary increase</w:t>
            </w: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0A30E0" w:rsidRDefault="000A30E0" w:rsidP="003A1BD9">
            <w:pPr>
              <w:pStyle w:val="Tdec"/>
              <w:rPr>
                <w:rFonts w:ascii="Arial" w:hAnsi="Arial" w:cs="Arial"/>
                <w:sz w:val="19"/>
                <w:szCs w:val="19"/>
              </w:rPr>
            </w:pPr>
            <w:r w:rsidRPr="000A30E0">
              <w:rPr>
                <w:rFonts w:ascii="Arial" w:hAnsi="Arial" w:cs="Arial"/>
                <w:sz w:val="19"/>
                <w:szCs w:val="19"/>
              </w:rPr>
              <w:t>3.4</w:t>
            </w:r>
            <w:r w:rsidR="00E412F1" w:rsidRPr="000A30E0">
              <w:rPr>
                <w:rFonts w:ascii="Arial" w:hAnsi="Arial" w:cs="Arial"/>
                <w:sz w:val="19"/>
                <w:szCs w:val="19"/>
              </w:rPr>
              <w:t>%</w:t>
            </w:r>
          </w:p>
        </w:tc>
        <w:tc>
          <w:tcPr>
            <w:tcW w:w="1134" w:type="dxa"/>
          </w:tcPr>
          <w:p w:rsidR="00674A93" w:rsidRPr="000A30E0" w:rsidRDefault="002C5113" w:rsidP="003A1BD9">
            <w:pPr>
              <w:pStyle w:val="Tdec"/>
              <w:rPr>
                <w:rFonts w:ascii="Arial" w:hAnsi="Arial" w:cs="Arial"/>
                <w:sz w:val="19"/>
                <w:szCs w:val="19"/>
              </w:rPr>
            </w:pPr>
            <w:r w:rsidRPr="000A30E0">
              <w:rPr>
                <w:rFonts w:ascii="Arial" w:hAnsi="Arial" w:cs="Arial"/>
                <w:sz w:val="19"/>
                <w:szCs w:val="19"/>
              </w:rPr>
              <w:t>3.9</w:t>
            </w:r>
            <w:r w:rsidR="00674A93" w:rsidRPr="000A30E0">
              <w:rPr>
                <w:rFonts w:ascii="Arial" w:hAnsi="Arial" w:cs="Arial"/>
                <w:sz w:val="19"/>
                <w:szCs w:val="19"/>
              </w:rPr>
              <w:t>%</w:t>
            </w:r>
          </w:p>
        </w:tc>
      </w:tr>
      <w:tr w:rsidR="00674A93" w:rsidRPr="002C5113" w:rsidTr="00674A93">
        <w:trPr>
          <w:cantSplit/>
        </w:trPr>
        <w:tc>
          <w:tcPr>
            <w:tcW w:w="4848" w:type="dxa"/>
            <w:gridSpan w:val="3"/>
          </w:tcPr>
          <w:p w:rsidR="00674A93" w:rsidRPr="002C5113" w:rsidRDefault="00674A93" w:rsidP="003A1BD9">
            <w:pPr>
              <w:pStyle w:val="Tindent"/>
              <w:rPr>
                <w:rFonts w:ascii="Arial" w:hAnsi="Arial" w:cs="Arial"/>
                <w:sz w:val="19"/>
                <w:szCs w:val="19"/>
              </w:rPr>
            </w:pPr>
            <w:r w:rsidRPr="002C5113">
              <w:rPr>
                <w:rFonts w:ascii="Arial" w:hAnsi="Arial" w:cs="Arial"/>
                <w:sz w:val="19"/>
                <w:szCs w:val="19"/>
              </w:rPr>
              <w:t xml:space="preserve">Rate of </w:t>
            </w:r>
            <w:r w:rsidR="00F16068" w:rsidRPr="002C5113">
              <w:rPr>
                <w:rFonts w:ascii="Arial" w:hAnsi="Arial" w:cs="Arial"/>
                <w:sz w:val="19"/>
                <w:szCs w:val="19"/>
              </w:rPr>
              <w:t>increases</w:t>
            </w:r>
            <w:r w:rsidRPr="002C5113">
              <w:rPr>
                <w:rFonts w:ascii="Arial" w:hAnsi="Arial" w:cs="Arial"/>
                <w:sz w:val="19"/>
                <w:szCs w:val="19"/>
              </w:rPr>
              <w:t xml:space="preserve"> in pensions in payment</w:t>
            </w: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0A30E0" w:rsidRDefault="000A30E0" w:rsidP="003A1BD9">
            <w:pPr>
              <w:pStyle w:val="Tdec"/>
              <w:rPr>
                <w:rFonts w:ascii="Arial" w:hAnsi="Arial" w:cs="Arial"/>
                <w:sz w:val="19"/>
                <w:szCs w:val="19"/>
              </w:rPr>
            </w:pPr>
            <w:r w:rsidRPr="000A30E0">
              <w:rPr>
                <w:rFonts w:ascii="Arial" w:hAnsi="Arial" w:cs="Arial"/>
                <w:sz w:val="19"/>
                <w:szCs w:val="19"/>
              </w:rPr>
              <w:t>1.9</w:t>
            </w:r>
            <w:r w:rsidR="00E412F1" w:rsidRPr="000A30E0">
              <w:rPr>
                <w:rFonts w:ascii="Arial" w:hAnsi="Arial" w:cs="Arial"/>
                <w:sz w:val="19"/>
                <w:szCs w:val="19"/>
              </w:rPr>
              <w:t>%</w:t>
            </w:r>
          </w:p>
        </w:tc>
        <w:tc>
          <w:tcPr>
            <w:tcW w:w="1134" w:type="dxa"/>
          </w:tcPr>
          <w:p w:rsidR="00674A93" w:rsidRPr="000A30E0" w:rsidRDefault="002C5113" w:rsidP="003A1BD9">
            <w:pPr>
              <w:pStyle w:val="Tdec"/>
              <w:rPr>
                <w:rFonts w:ascii="Arial" w:hAnsi="Arial" w:cs="Arial"/>
                <w:sz w:val="19"/>
                <w:szCs w:val="19"/>
              </w:rPr>
            </w:pPr>
            <w:r w:rsidRPr="000A30E0">
              <w:rPr>
                <w:rFonts w:ascii="Arial" w:hAnsi="Arial" w:cs="Arial"/>
                <w:sz w:val="19"/>
                <w:szCs w:val="19"/>
              </w:rPr>
              <w:t>2.4</w:t>
            </w:r>
            <w:r w:rsidR="00674A93" w:rsidRPr="000A30E0">
              <w:rPr>
                <w:rFonts w:ascii="Arial" w:hAnsi="Arial" w:cs="Arial"/>
                <w:sz w:val="19"/>
                <w:szCs w:val="19"/>
              </w:rPr>
              <w:t>%</w:t>
            </w:r>
          </w:p>
        </w:tc>
      </w:tr>
      <w:tr w:rsidR="00674A93" w:rsidRPr="002C5113" w:rsidTr="00674A93">
        <w:trPr>
          <w:cantSplit/>
        </w:trPr>
        <w:tc>
          <w:tcPr>
            <w:tcW w:w="4848" w:type="dxa"/>
            <w:gridSpan w:val="3"/>
          </w:tcPr>
          <w:p w:rsidR="00674A93" w:rsidRDefault="00674A93" w:rsidP="003A1BD9">
            <w:pPr>
              <w:pStyle w:val="Tindent"/>
              <w:rPr>
                <w:rFonts w:ascii="Arial" w:hAnsi="Arial" w:cs="Arial"/>
                <w:sz w:val="19"/>
                <w:szCs w:val="19"/>
              </w:rPr>
            </w:pPr>
            <w:r w:rsidRPr="002C5113">
              <w:rPr>
                <w:rFonts w:ascii="Arial" w:hAnsi="Arial" w:cs="Arial"/>
                <w:sz w:val="19"/>
                <w:szCs w:val="19"/>
              </w:rPr>
              <w:t>Rate of interest deferred pensions</w:t>
            </w:r>
          </w:p>
          <w:p w:rsidR="000A30E0" w:rsidRPr="002C5113" w:rsidRDefault="000A30E0" w:rsidP="003A1BD9">
            <w:pPr>
              <w:pStyle w:val="Tindent"/>
              <w:rPr>
                <w:rFonts w:ascii="Arial" w:hAnsi="Arial" w:cs="Arial"/>
                <w:sz w:val="19"/>
                <w:szCs w:val="19"/>
              </w:rPr>
            </w:pPr>
            <w:r>
              <w:rPr>
                <w:rFonts w:ascii="Arial" w:hAnsi="Arial" w:cs="Arial"/>
                <w:sz w:val="19"/>
                <w:szCs w:val="19"/>
              </w:rPr>
              <w:t>Pension accounts evaluation rate</w:t>
            </w: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0A30E0" w:rsidRDefault="000A30E0" w:rsidP="003A1BD9">
            <w:pPr>
              <w:pStyle w:val="Tdec"/>
              <w:rPr>
                <w:rFonts w:ascii="Arial" w:hAnsi="Arial" w:cs="Arial"/>
                <w:sz w:val="19"/>
                <w:szCs w:val="19"/>
              </w:rPr>
            </w:pPr>
            <w:r w:rsidRPr="000A30E0">
              <w:rPr>
                <w:rFonts w:ascii="Arial" w:hAnsi="Arial" w:cs="Arial"/>
                <w:sz w:val="19"/>
                <w:szCs w:val="19"/>
              </w:rPr>
              <w:t>1.9</w:t>
            </w:r>
            <w:r w:rsidR="00E412F1" w:rsidRPr="000A30E0">
              <w:rPr>
                <w:rFonts w:ascii="Arial" w:hAnsi="Arial" w:cs="Arial"/>
                <w:sz w:val="19"/>
                <w:szCs w:val="19"/>
              </w:rPr>
              <w:t>%</w:t>
            </w:r>
          </w:p>
          <w:p w:rsidR="000A30E0" w:rsidRPr="000A30E0" w:rsidRDefault="000A30E0" w:rsidP="003A1BD9">
            <w:pPr>
              <w:pStyle w:val="Tdec"/>
              <w:rPr>
                <w:rFonts w:ascii="Arial" w:hAnsi="Arial" w:cs="Arial"/>
                <w:sz w:val="19"/>
                <w:szCs w:val="19"/>
              </w:rPr>
            </w:pPr>
            <w:r w:rsidRPr="000A30E0">
              <w:rPr>
                <w:rFonts w:ascii="Arial" w:hAnsi="Arial" w:cs="Arial"/>
                <w:sz w:val="19"/>
                <w:szCs w:val="19"/>
              </w:rPr>
              <w:t>1.9%</w:t>
            </w:r>
          </w:p>
        </w:tc>
        <w:tc>
          <w:tcPr>
            <w:tcW w:w="1134" w:type="dxa"/>
          </w:tcPr>
          <w:p w:rsidR="00674A93" w:rsidRPr="000A30E0" w:rsidRDefault="002C5113" w:rsidP="003A1BD9">
            <w:pPr>
              <w:pStyle w:val="Tdec"/>
              <w:rPr>
                <w:rFonts w:ascii="Arial" w:hAnsi="Arial" w:cs="Arial"/>
                <w:sz w:val="19"/>
                <w:szCs w:val="19"/>
              </w:rPr>
            </w:pPr>
            <w:r w:rsidRPr="000A30E0">
              <w:rPr>
                <w:rFonts w:ascii="Arial" w:hAnsi="Arial" w:cs="Arial"/>
                <w:sz w:val="19"/>
                <w:szCs w:val="19"/>
              </w:rPr>
              <w:t>2.4</w:t>
            </w:r>
            <w:r w:rsidR="00674A93" w:rsidRPr="000A30E0">
              <w:rPr>
                <w:rFonts w:ascii="Arial" w:hAnsi="Arial" w:cs="Arial"/>
                <w:sz w:val="19"/>
                <w:szCs w:val="19"/>
              </w:rPr>
              <w:t>%</w:t>
            </w:r>
          </w:p>
          <w:p w:rsidR="000A30E0" w:rsidRPr="000A30E0" w:rsidRDefault="000A30E0" w:rsidP="003A1BD9">
            <w:pPr>
              <w:pStyle w:val="Tdec"/>
              <w:rPr>
                <w:rFonts w:ascii="Arial" w:hAnsi="Arial" w:cs="Arial"/>
                <w:sz w:val="19"/>
                <w:szCs w:val="19"/>
              </w:rPr>
            </w:pPr>
            <w:r w:rsidRPr="000A30E0">
              <w:rPr>
                <w:rFonts w:ascii="Arial" w:hAnsi="Arial" w:cs="Arial"/>
                <w:sz w:val="19"/>
                <w:szCs w:val="19"/>
              </w:rPr>
              <w:t>n/a</w:t>
            </w:r>
          </w:p>
        </w:tc>
      </w:tr>
      <w:tr w:rsidR="00674A93" w:rsidRPr="002C5113" w:rsidTr="00674A93">
        <w:trPr>
          <w:cantSplit/>
        </w:trPr>
        <w:tc>
          <w:tcPr>
            <w:tcW w:w="4848" w:type="dxa"/>
            <w:gridSpan w:val="3"/>
          </w:tcPr>
          <w:p w:rsidR="00674A93" w:rsidRPr="002C5113" w:rsidRDefault="00674A93" w:rsidP="003A1BD9">
            <w:pPr>
              <w:pStyle w:val="Tindent"/>
              <w:rPr>
                <w:rFonts w:ascii="Arial" w:hAnsi="Arial" w:cs="Arial"/>
                <w:sz w:val="19"/>
                <w:szCs w:val="19"/>
              </w:rPr>
            </w:pPr>
            <w:r w:rsidRPr="002C5113">
              <w:rPr>
                <w:rFonts w:ascii="Arial" w:hAnsi="Arial" w:cs="Arial"/>
                <w:sz w:val="19"/>
                <w:szCs w:val="19"/>
              </w:rPr>
              <w:t>Inflation increase</w:t>
            </w: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E56D25" w:rsidRDefault="00674A93" w:rsidP="003A1BD9">
            <w:pPr>
              <w:pStyle w:val="Tdec"/>
              <w:rPr>
                <w:rFonts w:ascii="Arial" w:hAnsi="Arial" w:cs="Arial"/>
                <w:sz w:val="19"/>
                <w:szCs w:val="19"/>
              </w:rPr>
            </w:pPr>
          </w:p>
        </w:tc>
        <w:tc>
          <w:tcPr>
            <w:tcW w:w="1134" w:type="dxa"/>
          </w:tcPr>
          <w:p w:rsidR="00674A93" w:rsidRPr="00E56D25" w:rsidRDefault="00674A93" w:rsidP="003A1BD9">
            <w:pPr>
              <w:pStyle w:val="Tdec"/>
              <w:rPr>
                <w:rFonts w:ascii="Arial" w:hAnsi="Arial" w:cs="Arial"/>
                <w:sz w:val="19"/>
                <w:szCs w:val="19"/>
              </w:rPr>
            </w:pPr>
          </w:p>
        </w:tc>
      </w:tr>
      <w:tr w:rsidR="00674A93" w:rsidRPr="002C5113" w:rsidTr="00674A93">
        <w:trPr>
          <w:cantSplit/>
        </w:trPr>
        <w:tc>
          <w:tcPr>
            <w:tcW w:w="4848" w:type="dxa"/>
            <w:gridSpan w:val="3"/>
          </w:tcPr>
          <w:p w:rsidR="00674A93" w:rsidRPr="002C5113" w:rsidRDefault="00674A93" w:rsidP="003A1BD9">
            <w:pPr>
              <w:pStyle w:val="Tindent"/>
              <w:numPr>
                <w:ilvl w:val="0"/>
                <w:numId w:val="22"/>
              </w:numPr>
              <w:rPr>
                <w:rFonts w:ascii="Arial" w:hAnsi="Arial" w:cs="Arial"/>
                <w:sz w:val="19"/>
                <w:szCs w:val="19"/>
              </w:rPr>
            </w:pPr>
            <w:r w:rsidRPr="002C5113">
              <w:rPr>
                <w:rFonts w:ascii="Arial" w:hAnsi="Arial" w:cs="Arial"/>
                <w:sz w:val="19"/>
                <w:szCs w:val="19"/>
              </w:rPr>
              <w:t>RPI</w:t>
            </w: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E56D25" w:rsidRDefault="00E56D25" w:rsidP="003A1BD9">
            <w:pPr>
              <w:pStyle w:val="Tdec"/>
              <w:rPr>
                <w:rFonts w:ascii="Arial" w:hAnsi="Arial" w:cs="Arial"/>
                <w:sz w:val="19"/>
                <w:szCs w:val="19"/>
              </w:rPr>
            </w:pPr>
            <w:r w:rsidRPr="00E56D25">
              <w:rPr>
                <w:rFonts w:ascii="Arial" w:hAnsi="Arial" w:cs="Arial"/>
                <w:sz w:val="19"/>
                <w:szCs w:val="19"/>
              </w:rPr>
              <w:t>3.0</w:t>
            </w:r>
            <w:r w:rsidR="00E412F1" w:rsidRPr="00E56D25">
              <w:rPr>
                <w:rFonts w:ascii="Arial" w:hAnsi="Arial" w:cs="Arial"/>
                <w:sz w:val="19"/>
                <w:szCs w:val="19"/>
              </w:rPr>
              <w:t>%</w:t>
            </w:r>
          </w:p>
        </w:tc>
        <w:tc>
          <w:tcPr>
            <w:tcW w:w="1134" w:type="dxa"/>
          </w:tcPr>
          <w:p w:rsidR="00674A93" w:rsidRPr="00E56D25" w:rsidRDefault="002C5113" w:rsidP="003A1BD9">
            <w:pPr>
              <w:pStyle w:val="Tdec"/>
              <w:rPr>
                <w:rFonts w:ascii="Arial" w:hAnsi="Arial" w:cs="Arial"/>
                <w:sz w:val="19"/>
                <w:szCs w:val="19"/>
              </w:rPr>
            </w:pPr>
            <w:r w:rsidRPr="00E56D25">
              <w:rPr>
                <w:rFonts w:ascii="Arial" w:hAnsi="Arial" w:cs="Arial"/>
                <w:sz w:val="19"/>
                <w:szCs w:val="19"/>
              </w:rPr>
              <w:t>3.4</w:t>
            </w:r>
            <w:r w:rsidR="00674A93" w:rsidRPr="00E56D25">
              <w:rPr>
                <w:rFonts w:ascii="Arial" w:hAnsi="Arial" w:cs="Arial"/>
                <w:sz w:val="19"/>
                <w:szCs w:val="19"/>
              </w:rPr>
              <w:t>%</w:t>
            </w:r>
          </w:p>
        </w:tc>
      </w:tr>
      <w:tr w:rsidR="00674A93" w:rsidRPr="002C5113" w:rsidTr="00674A93">
        <w:trPr>
          <w:cantSplit/>
        </w:trPr>
        <w:tc>
          <w:tcPr>
            <w:tcW w:w="4848" w:type="dxa"/>
            <w:gridSpan w:val="3"/>
          </w:tcPr>
          <w:p w:rsidR="00674A93" w:rsidRPr="002C5113" w:rsidRDefault="00674A93" w:rsidP="003A1BD9">
            <w:pPr>
              <w:pStyle w:val="Tindent"/>
              <w:numPr>
                <w:ilvl w:val="0"/>
                <w:numId w:val="22"/>
              </w:numPr>
              <w:rPr>
                <w:rFonts w:ascii="Arial" w:hAnsi="Arial" w:cs="Arial"/>
                <w:sz w:val="19"/>
                <w:szCs w:val="19"/>
              </w:rPr>
            </w:pPr>
            <w:r w:rsidRPr="002C5113">
              <w:rPr>
                <w:rFonts w:ascii="Arial" w:hAnsi="Arial" w:cs="Arial"/>
                <w:sz w:val="19"/>
                <w:szCs w:val="19"/>
              </w:rPr>
              <w:t>CPI</w:t>
            </w: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E56D25" w:rsidRDefault="00E56D25" w:rsidP="003A1BD9">
            <w:pPr>
              <w:pStyle w:val="Tdec"/>
              <w:rPr>
                <w:rFonts w:ascii="Arial" w:hAnsi="Arial" w:cs="Arial"/>
                <w:sz w:val="19"/>
                <w:szCs w:val="19"/>
              </w:rPr>
            </w:pPr>
            <w:r w:rsidRPr="00E56D25">
              <w:rPr>
                <w:rFonts w:ascii="Arial" w:hAnsi="Arial" w:cs="Arial"/>
                <w:sz w:val="19"/>
                <w:szCs w:val="19"/>
              </w:rPr>
              <w:t>1.9</w:t>
            </w:r>
            <w:r w:rsidR="00E412F1" w:rsidRPr="00E56D25">
              <w:rPr>
                <w:rFonts w:ascii="Arial" w:hAnsi="Arial" w:cs="Arial"/>
                <w:sz w:val="19"/>
                <w:szCs w:val="19"/>
              </w:rPr>
              <w:t>%</w:t>
            </w:r>
          </w:p>
        </w:tc>
        <w:tc>
          <w:tcPr>
            <w:tcW w:w="1134" w:type="dxa"/>
          </w:tcPr>
          <w:p w:rsidR="00674A93" w:rsidRPr="00E56D25" w:rsidRDefault="002C5113" w:rsidP="003A1BD9">
            <w:pPr>
              <w:pStyle w:val="Tdec"/>
              <w:rPr>
                <w:rFonts w:ascii="Arial" w:hAnsi="Arial" w:cs="Arial"/>
                <w:sz w:val="19"/>
                <w:szCs w:val="19"/>
              </w:rPr>
            </w:pPr>
            <w:r w:rsidRPr="00E56D25">
              <w:rPr>
                <w:rFonts w:ascii="Arial" w:hAnsi="Arial" w:cs="Arial"/>
                <w:sz w:val="19"/>
                <w:szCs w:val="19"/>
              </w:rPr>
              <w:t>2.4</w:t>
            </w:r>
            <w:r w:rsidR="00674A93" w:rsidRPr="00E56D25">
              <w:rPr>
                <w:rFonts w:ascii="Arial" w:hAnsi="Arial" w:cs="Arial"/>
                <w:sz w:val="19"/>
                <w:szCs w:val="19"/>
              </w:rPr>
              <w:t>%</w:t>
            </w:r>
          </w:p>
        </w:tc>
      </w:tr>
      <w:tr w:rsidR="00674A93" w:rsidRPr="002C5113" w:rsidTr="00674A93">
        <w:trPr>
          <w:cantSplit/>
        </w:trPr>
        <w:tc>
          <w:tcPr>
            <w:tcW w:w="3856" w:type="dxa"/>
            <w:gridSpan w:val="2"/>
          </w:tcPr>
          <w:p w:rsidR="00674A93" w:rsidRPr="002C5113" w:rsidRDefault="00674A93" w:rsidP="003A1BD9">
            <w:pPr>
              <w:pStyle w:val="Tindent"/>
              <w:rPr>
                <w:rFonts w:ascii="Arial" w:hAnsi="Arial" w:cs="Arial"/>
                <w:sz w:val="19"/>
                <w:szCs w:val="19"/>
              </w:rPr>
            </w:pPr>
          </w:p>
        </w:tc>
        <w:tc>
          <w:tcPr>
            <w:tcW w:w="1106" w:type="dxa"/>
            <w:gridSpan w:val="2"/>
          </w:tcPr>
          <w:p w:rsidR="00674A93" w:rsidRPr="002C5113" w:rsidRDefault="00674A93" w:rsidP="003A1BD9">
            <w:pPr>
              <w:pStyle w:val="Tdec"/>
              <w:rPr>
                <w:rFonts w:ascii="Arial" w:hAnsi="Arial" w:cs="Arial"/>
                <w:sz w:val="19"/>
                <w:szCs w:val="19"/>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D9"/>
              <w:spacing w:line="240" w:lineRule="auto"/>
              <w:rPr>
                <w:rFonts w:ascii="Arial" w:hAnsi="Arial" w:cs="Arial"/>
                <w:sz w:val="19"/>
                <w:szCs w:val="19"/>
                <w:highlight w:val="yellow"/>
              </w:rPr>
            </w:pPr>
          </w:p>
        </w:tc>
        <w:tc>
          <w:tcPr>
            <w:tcW w:w="1134" w:type="dxa"/>
          </w:tcPr>
          <w:p w:rsidR="00674A93" w:rsidRPr="002C5113" w:rsidRDefault="00674A93" w:rsidP="003A1BD9">
            <w:pPr>
              <w:pStyle w:val="D9"/>
              <w:spacing w:line="240" w:lineRule="auto"/>
              <w:rPr>
                <w:rFonts w:ascii="Arial" w:hAnsi="Arial" w:cs="Arial"/>
                <w:sz w:val="19"/>
                <w:szCs w:val="19"/>
              </w:rPr>
            </w:pPr>
          </w:p>
        </w:tc>
      </w:tr>
      <w:tr w:rsidR="00674A93" w:rsidRPr="002C5113" w:rsidTr="00674A93">
        <w:trPr>
          <w:cantSplit/>
        </w:trPr>
        <w:tc>
          <w:tcPr>
            <w:tcW w:w="4848" w:type="dxa"/>
            <w:gridSpan w:val="3"/>
          </w:tcPr>
          <w:p w:rsidR="00674A93" w:rsidRPr="002C5113" w:rsidRDefault="00674A93" w:rsidP="003A1BD9">
            <w:pPr>
              <w:pStyle w:val="Tindent"/>
              <w:rPr>
                <w:rFonts w:ascii="Arial" w:hAnsi="Arial" w:cs="Arial"/>
                <w:b/>
                <w:sz w:val="19"/>
                <w:szCs w:val="19"/>
              </w:rPr>
            </w:pPr>
            <w:r w:rsidRPr="002C5113">
              <w:rPr>
                <w:rFonts w:ascii="Arial" w:hAnsi="Arial" w:cs="Arial"/>
                <w:b/>
                <w:sz w:val="19"/>
                <w:szCs w:val="19"/>
              </w:rPr>
              <w:t>Valuation Assumptions</w:t>
            </w: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2C5113" w:rsidRDefault="00674A93" w:rsidP="003A1BD9">
            <w:pPr>
              <w:pStyle w:val="Tdec"/>
              <w:rPr>
                <w:rFonts w:ascii="Arial" w:hAnsi="Arial" w:cs="Arial"/>
                <w:sz w:val="19"/>
                <w:szCs w:val="19"/>
              </w:rPr>
            </w:pPr>
          </w:p>
        </w:tc>
      </w:tr>
      <w:tr w:rsidR="00674A93" w:rsidRPr="002C5113" w:rsidTr="00674A93">
        <w:trPr>
          <w:cantSplit/>
        </w:trPr>
        <w:tc>
          <w:tcPr>
            <w:tcW w:w="4848" w:type="dxa"/>
            <w:gridSpan w:val="3"/>
          </w:tcPr>
          <w:p w:rsidR="00674A93" w:rsidRPr="002C5113" w:rsidRDefault="00674A93" w:rsidP="003A1BD9">
            <w:pPr>
              <w:pStyle w:val="Tindent"/>
              <w:rPr>
                <w:rFonts w:ascii="Arial" w:hAnsi="Arial" w:cs="Arial"/>
                <w:sz w:val="19"/>
                <w:szCs w:val="19"/>
              </w:rPr>
            </w:pP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2C5113" w:rsidRDefault="00674A93" w:rsidP="003A1BD9">
            <w:pPr>
              <w:pStyle w:val="Tdec"/>
              <w:rPr>
                <w:rFonts w:ascii="Arial" w:hAnsi="Arial" w:cs="Arial"/>
                <w:sz w:val="19"/>
                <w:szCs w:val="19"/>
              </w:rPr>
            </w:pPr>
          </w:p>
        </w:tc>
      </w:tr>
      <w:tr w:rsidR="00674A93" w:rsidRPr="002C5113" w:rsidTr="00674A93">
        <w:trPr>
          <w:cantSplit/>
        </w:trPr>
        <w:tc>
          <w:tcPr>
            <w:tcW w:w="4848" w:type="dxa"/>
            <w:gridSpan w:val="3"/>
          </w:tcPr>
          <w:p w:rsidR="00674A93" w:rsidRPr="002C5113" w:rsidRDefault="000A12DA" w:rsidP="003A1BD9">
            <w:pPr>
              <w:pStyle w:val="Tindent"/>
              <w:rPr>
                <w:rFonts w:ascii="Arial" w:hAnsi="Arial" w:cs="Arial"/>
                <w:sz w:val="19"/>
                <w:szCs w:val="19"/>
              </w:rPr>
            </w:pPr>
            <w:r w:rsidRPr="002C5113">
              <w:rPr>
                <w:rFonts w:ascii="Arial" w:hAnsi="Arial" w:cs="Arial"/>
                <w:sz w:val="19"/>
                <w:szCs w:val="19"/>
              </w:rPr>
              <w:t>Expected return on assets:</w:t>
            </w: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2C5113" w:rsidRDefault="00674A93" w:rsidP="003A1BD9">
            <w:pPr>
              <w:pStyle w:val="Tdec"/>
              <w:rPr>
                <w:rFonts w:ascii="Arial" w:hAnsi="Arial" w:cs="Arial"/>
                <w:sz w:val="19"/>
                <w:szCs w:val="19"/>
              </w:rPr>
            </w:pPr>
          </w:p>
        </w:tc>
      </w:tr>
      <w:tr w:rsidR="00674A93" w:rsidRPr="00743922" w:rsidTr="00743922">
        <w:trPr>
          <w:cantSplit/>
        </w:trPr>
        <w:tc>
          <w:tcPr>
            <w:tcW w:w="4848" w:type="dxa"/>
            <w:gridSpan w:val="3"/>
          </w:tcPr>
          <w:p w:rsidR="00674A93" w:rsidRPr="002C5113" w:rsidRDefault="000A12DA" w:rsidP="003A1BD9">
            <w:pPr>
              <w:pStyle w:val="Tindent"/>
              <w:rPr>
                <w:rFonts w:ascii="Arial" w:hAnsi="Arial" w:cs="Arial"/>
                <w:sz w:val="19"/>
                <w:szCs w:val="19"/>
              </w:rPr>
            </w:pPr>
            <w:r w:rsidRPr="002C5113">
              <w:rPr>
                <w:rFonts w:ascii="Arial" w:hAnsi="Arial" w:cs="Arial"/>
                <w:sz w:val="19"/>
                <w:szCs w:val="19"/>
              </w:rPr>
              <w:t>Equities</w:t>
            </w: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shd w:val="clear" w:color="auto" w:fill="auto"/>
          </w:tcPr>
          <w:p w:rsidR="00674A93" w:rsidRPr="00743922" w:rsidRDefault="00E412F1" w:rsidP="003A1BD9">
            <w:pPr>
              <w:pStyle w:val="Tdec"/>
              <w:rPr>
                <w:rFonts w:ascii="Arial" w:hAnsi="Arial" w:cs="Arial"/>
                <w:sz w:val="19"/>
                <w:szCs w:val="19"/>
              </w:rPr>
            </w:pPr>
            <w:r w:rsidRPr="00743922">
              <w:rPr>
                <w:rFonts w:ascii="Arial" w:hAnsi="Arial" w:cs="Arial"/>
                <w:sz w:val="19"/>
                <w:szCs w:val="19"/>
              </w:rPr>
              <w:t>7.6%</w:t>
            </w:r>
          </w:p>
        </w:tc>
        <w:tc>
          <w:tcPr>
            <w:tcW w:w="1134" w:type="dxa"/>
            <w:shd w:val="clear" w:color="auto" w:fill="auto"/>
          </w:tcPr>
          <w:p w:rsidR="00674A93" w:rsidRPr="00743922" w:rsidRDefault="002C5113" w:rsidP="003A1BD9">
            <w:pPr>
              <w:pStyle w:val="Tdec"/>
              <w:rPr>
                <w:rFonts w:ascii="Arial" w:hAnsi="Arial" w:cs="Arial"/>
                <w:sz w:val="19"/>
                <w:szCs w:val="19"/>
              </w:rPr>
            </w:pPr>
            <w:r w:rsidRPr="00743922">
              <w:rPr>
                <w:rFonts w:ascii="Arial" w:hAnsi="Arial" w:cs="Arial"/>
                <w:sz w:val="19"/>
                <w:szCs w:val="19"/>
              </w:rPr>
              <w:t>7.6</w:t>
            </w:r>
            <w:r w:rsidR="000A12DA" w:rsidRPr="00743922">
              <w:rPr>
                <w:rFonts w:ascii="Arial" w:hAnsi="Arial" w:cs="Arial"/>
                <w:sz w:val="19"/>
                <w:szCs w:val="19"/>
              </w:rPr>
              <w:t>%</w:t>
            </w:r>
          </w:p>
        </w:tc>
      </w:tr>
      <w:tr w:rsidR="00674A93" w:rsidRPr="00743922" w:rsidTr="00743922">
        <w:trPr>
          <w:cantSplit/>
        </w:trPr>
        <w:tc>
          <w:tcPr>
            <w:tcW w:w="4848" w:type="dxa"/>
            <w:gridSpan w:val="3"/>
          </w:tcPr>
          <w:p w:rsidR="00674A93" w:rsidRPr="002C5113" w:rsidRDefault="000A12DA" w:rsidP="003A1BD9">
            <w:pPr>
              <w:pStyle w:val="Tindent"/>
              <w:rPr>
                <w:rFonts w:ascii="Arial" w:hAnsi="Arial" w:cs="Arial"/>
                <w:sz w:val="19"/>
                <w:szCs w:val="19"/>
              </w:rPr>
            </w:pPr>
            <w:r w:rsidRPr="002C5113">
              <w:rPr>
                <w:rFonts w:ascii="Arial" w:hAnsi="Arial" w:cs="Arial"/>
                <w:sz w:val="19"/>
                <w:szCs w:val="19"/>
              </w:rPr>
              <w:t>Government bonds</w:t>
            </w: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shd w:val="clear" w:color="auto" w:fill="auto"/>
          </w:tcPr>
          <w:p w:rsidR="00674A93" w:rsidRPr="00743922" w:rsidRDefault="00E412F1" w:rsidP="003A1BD9">
            <w:pPr>
              <w:pStyle w:val="Tdec"/>
              <w:rPr>
                <w:rFonts w:ascii="Arial" w:hAnsi="Arial" w:cs="Arial"/>
                <w:sz w:val="19"/>
                <w:szCs w:val="19"/>
              </w:rPr>
            </w:pPr>
            <w:r w:rsidRPr="00743922">
              <w:rPr>
                <w:rFonts w:ascii="Arial" w:hAnsi="Arial" w:cs="Arial"/>
                <w:sz w:val="19"/>
                <w:szCs w:val="19"/>
              </w:rPr>
              <w:t>3.4%</w:t>
            </w:r>
          </w:p>
        </w:tc>
        <w:tc>
          <w:tcPr>
            <w:tcW w:w="1134" w:type="dxa"/>
            <w:shd w:val="clear" w:color="auto" w:fill="auto"/>
          </w:tcPr>
          <w:p w:rsidR="00674A93" w:rsidRPr="00743922" w:rsidRDefault="002C5113" w:rsidP="003A1BD9">
            <w:pPr>
              <w:pStyle w:val="Tdec"/>
              <w:rPr>
                <w:rFonts w:ascii="Arial" w:hAnsi="Arial" w:cs="Arial"/>
                <w:sz w:val="19"/>
                <w:szCs w:val="19"/>
              </w:rPr>
            </w:pPr>
            <w:r w:rsidRPr="00743922">
              <w:rPr>
                <w:rFonts w:ascii="Arial" w:hAnsi="Arial" w:cs="Arial"/>
                <w:sz w:val="19"/>
                <w:szCs w:val="19"/>
              </w:rPr>
              <w:t>3.4</w:t>
            </w:r>
            <w:r w:rsidR="000A12DA" w:rsidRPr="00743922">
              <w:rPr>
                <w:rFonts w:ascii="Arial" w:hAnsi="Arial" w:cs="Arial"/>
                <w:sz w:val="19"/>
                <w:szCs w:val="19"/>
              </w:rPr>
              <w:t>%</w:t>
            </w:r>
          </w:p>
        </w:tc>
      </w:tr>
      <w:tr w:rsidR="00674A93" w:rsidRPr="00743922" w:rsidTr="00743922">
        <w:trPr>
          <w:cantSplit/>
        </w:trPr>
        <w:tc>
          <w:tcPr>
            <w:tcW w:w="4848" w:type="dxa"/>
            <w:gridSpan w:val="3"/>
          </w:tcPr>
          <w:p w:rsidR="00674A93" w:rsidRPr="002C5113" w:rsidRDefault="00F16068" w:rsidP="003A1BD9">
            <w:pPr>
              <w:pStyle w:val="Tindent"/>
              <w:rPr>
                <w:rFonts w:ascii="Arial" w:hAnsi="Arial" w:cs="Arial"/>
                <w:sz w:val="19"/>
                <w:szCs w:val="19"/>
              </w:rPr>
            </w:pPr>
            <w:r w:rsidRPr="002C5113">
              <w:rPr>
                <w:rFonts w:ascii="Arial" w:hAnsi="Arial" w:cs="Arial"/>
                <w:sz w:val="19"/>
                <w:szCs w:val="19"/>
              </w:rPr>
              <w:t>Corporate</w:t>
            </w:r>
            <w:r w:rsidR="000A12DA" w:rsidRPr="002C5113">
              <w:rPr>
                <w:rFonts w:ascii="Arial" w:hAnsi="Arial" w:cs="Arial"/>
                <w:sz w:val="19"/>
                <w:szCs w:val="19"/>
              </w:rPr>
              <w:t xml:space="preserve"> bonds</w:t>
            </w: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shd w:val="clear" w:color="auto" w:fill="auto"/>
          </w:tcPr>
          <w:p w:rsidR="00674A93" w:rsidRPr="00743922" w:rsidRDefault="00E412F1" w:rsidP="003A1BD9">
            <w:pPr>
              <w:pStyle w:val="Tdec"/>
              <w:rPr>
                <w:rFonts w:ascii="Arial" w:hAnsi="Arial" w:cs="Arial"/>
                <w:sz w:val="19"/>
                <w:szCs w:val="19"/>
              </w:rPr>
            </w:pPr>
            <w:r w:rsidRPr="00743922">
              <w:rPr>
                <w:rFonts w:ascii="Arial" w:hAnsi="Arial" w:cs="Arial"/>
                <w:sz w:val="19"/>
                <w:szCs w:val="19"/>
              </w:rPr>
              <w:t>4.0%</w:t>
            </w:r>
          </w:p>
        </w:tc>
        <w:tc>
          <w:tcPr>
            <w:tcW w:w="1134" w:type="dxa"/>
            <w:shd w:val="clear" w:color="auto" w:fill="auto"/>
          </w:tcPr>
          <w:p w:rsidR="00674A93" w:rsidRPr="00743922" w:rsidRDefault="002C5113" w:rsidP="003A1BD9">
            <w:pPr>
              <w:pStyle w:val="Tdec"/>
              <w:rPr>
                <w:rFonts w:ascii="Arial" w:hAnsi="Arial" w:cs="Arial"/>
                <w:sz w:val="19"/>
                <w:szCs w:val="19"/>
              </w:rPr>
            </w:pPr>
            <w:r w:rsidRPr="00743922">
              <w:rPr>
                <w:rFonts w:ascii="Arial" w:hAnsi="Arial" w:cs="Arial"/>
                <w:sz w:val="19"/>
                <w:szCs w:val="19"/>
              </w:rPr>
              <w:t>4.0</w:t>
            </w:r>
            <w:r w:rsidR="000A12DA" w:rsidRPr="00743922">
              <w:rPr>
                <w:rFonts w:ascii="Arial" w:hAnsi="Arial" w:cs="Arial"/>
                <w:sz w:val="19"/>
                <w:szCs w:val="19"/>
              </w:rPr>
              <w:t>%</w:t>
            </w:r>
          </w:p>
        </w:tc>
      </w:tr>
      <w:tr w:rsidR="00674A93" w:rsidRPr="00743922" w:rsidTr="00743922">
        <w:trPr>
          <w:cantSplit/>
        </w:trPr>
        <w:tc>
          <w:tcPr>
            <w:tcW w:w="4848" w:type="dxa"/>
            <w:gridSpan w:val="3"/>
          </w:tcPr>
          <w:p w:rsidR="00674A93" w:rsidRPr="002C5113" w:rsidRDefault="000A12DA" w:rsidP="003A1BD9">
            <w:pPr>
              <w:pStyle w:val="Tindent"/>
              <w:rPr>
                <w:rFonts w:ascii="Arial" w:hAnsi="Arial" w:cs="Arial"/>
                <w:sz w:val="19"/>
                <w:szCs w:val="19"/>
              </w:rPr>
            </w:pPr>
            <w:r w:rsidRPr="002C5113">
              <w:rPr>
                <w:rFonts w:ascii="Arial" w:hAnsi="Arial" w:cs="Arial"/>
                <w:sz w:val="19"/>
                <w:szCs w:val="19"/>
              </w:rPr>
              <w:t>Property</w:t>
            </w: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shd w:val="clear" w:color="auto" w:fill="auto"/>
          </w:tcPr>
          <w:p w:rsidR="00674A93" w:rsidRPr="00743922" w:rsidRDefault="00E412F1" w:rsidP="003A1BD9">
            <w:pPr>
              <w:pStyle w:val="Tdec"/>
              <w:rPr>
                <w:rFonts w:ascii="Arial" w:hAnsi="Arial" w:cs="Arial"/>
                <w:sz w:val="19"/>
                <w:szCs w:val="19"/>
              </w:rPr>
            </w:pPr>
            <w:r w:rsidRPr="00743922">
              <w:rPr>
                <w:rFonts w:ascii="Arial" w:hAnsi="Arial" w:cs="Arial"/>
                <w:sz w:val="19"/>
                <w:szCs w:val="19"/>
              </w:rPr>
              <w:t>6.9%</w:t>
            </w:r>
          </w:p>
        </w:tc>
        <w:tc>
          <w:tcPr>
            <w:tcW w:w="1134" w:type="dxa"/>
            <w:shd w:val="clear" w:color="auto" w:fill="auto"/>
          </w:tcPr>
          <w:p w:rsidR="00674A93" w:rsidRPr="00743922" w:rsidRDefault="002C5113" w:rsidP="003A1BD9">
            <w:pPr>
              <w:pStyle w:val="Tdec"/>
              <w:rPr>
                <w:rFonts w:ascii="Arial" w:hAnsi="Arial" w:cs="Arial"/>
                <w:sz w:val="19"/>
                <w:szCs w:val="19"/>
              </w:rPr>
            </w:pPr>
            <w:r w:rsidRPr="00743922">
              <w:rPr>
                <w:rFonts w:ascii="Arial" w:hAnsi="Arial" w:cs="Arial"/>
                <w:sz w:val="19"/>
                <w:szCs w:val="19"/>
              </w:rPr>
              <w:t>6.9</w:t>
            </w:r>
            <w:r w:rsidR="000A12DA" w:rsidRPr="00743922">
              <w:rPr>
                <w:rFonts w:ascii="Arial" w:hAnsi="Arial" w:cs="Arial"/>
                <w:sz w:val="19"/>
                <w:szCs w:val="19"/>
              </w:rPr>
              <w:t>%</w:t>
            </w:r>
          </w:p>
        </w:tc>
      </w:tr>
      <w:tr w:rsidR="00674A93" w:rsidRPr="00743922" w:rsidTr="00743922">
        <w:trPr>
          <w:cantSplit/>
        </w:trPr>
        <w:tc>
          <w:tcPr>
            <w:tcW w:w="4848" w:type="dxa"/>
            <w:gridSpan w:val="3"/>
          </w:tcPr>
          <w:p w:rsidR="00674A93" w:rsidRPr="002C5113" w:rsidRDefault="000A12DA" w:rsidP="003A1BD9">
            <w:pPr>
              <w:pStyle w:val="Tindent"/>
              <w:rPr>
                <w:rFonts w:ascii="Arial" w:hAnsi="Arial" w:cs="Arial"/>
                <w:sz w:val="19"/>
                <w:szCs w:val="19"/>
              </w:rPr>
            </w:pPr>
            <w:r w:rsidRPr="002C5113">
              <w:rPr>
                <w:rFonts w:ascii="Arial" w:hAnsi="Arial" w:cs="Arial"/>
                <w:sz w:val="19"/>
                <w:szCs w:val="19"/>
              </w:rPr>
              <w:t>Cash</w:t>
            </w:r>
          </w:p>
        </w:tc>
        <w:tc>
          <w:tcPr>
            <w:tcW w:w="11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tcPr>
          <w:p w:rsidR="00674A93" w:rsidRPr="00C46A29" w:rsidRDefault="00674A93" w:rsidP="003A1BD9">
            <w:pPr>
              <w:pStyle w:val="Tdec"/>
              <w:rPr>
                <w:rFonts w:ascii="Arial" w:hAnsi="Arial" w:cs="Arial"/>
                <w:sz w:val="19"/>
                <w:szCs w:val="19"/>
                <w:highlight w:val="yellow"/>
              </w:rPr>
            </w:pPr>
          </w:p>
        </w:tc>
        <w:tc>
          <w:tcPr>
            <w:tcW w:w="1134" w:type="dxa"/>
            <w:shd w:val="clear" w:color="auto" w:fill="auto"/>
          </w:tcPr>
          <w:p w:rsidR="00674A93" w:rsidRPr="00743922" w:rsidRDefault="00E412F1" w:rsidP="003A1BD9">
            <w:pPr>
              <w:pStyle w:val="Tdec"/>
              <w:rPr>
                <w:rFonts w:ascii="Arial" w:hAnsi="Arial" w:cs="Arial"/>
                <w:sz w:val="19"/>
                <w:szCs w:val="19"/>
              </w:rPr>
            </w:pPr>
            <w:r w:rsidRPr="00743922">
              <w:rPr>
                <w:rFonts w:ascii="Arial" w:hAnsi="Arial" w:cs="Arial"/>
                <w:sz w:val="19"/>
                <w:szCs w:val="19"/>
              </w:rPr>
              <w:t>0.9%</w:t>
            </w:r>
          </w:p>
        </w:tc>
        <w:tc>
          <w:tcPr>
            <w:tcW w:w="1134" w:type="dxa"/>
            <w:shd w:val="clear" w:color="auto" w:fill="auto"/>
          </w:tcPr>
          <w:p w:rsidR="00674A93" w:rsidRPr="00743922" w:rsidRDefault="000A12DA" w:rsidP="003A1BD9">
            <w:pPr>
              <w:pStyle w:val="Tdec"/>
              <w:rPr>
                <w:rFonts w:ascii="Arial" w:hAnsi="Arial" w:cs="Arial"/>
                <w:sz w:val="19"/>
                <w:szCs w:val="19"/>
              </w:rPr>
            </w:pPr>
            <w:r w:rsidRPr="00743922">
              <w:rPr>
                <w:rFonts w:ascii="Arial" w:hAnsi="Arial" w:cs="Arial"/>
                <w:sz w:val="19"/>
                <w:szCs w:val="19"/>
              </w:rPr>
              <w:t>0.9%</w:t>
            </w:r>
          </w:p>
        </w:tc>
      </w:tr>
    </w:tbl>
    <w:p w:rsidR="00201B4C" w:rsidRPr="00C46A29" w:rsidRDefault="00201B4C" w:rsidP="00201B4C">
      <w:pPr>
        <w:autoSpaceDE w:val="0"/>
        <w:autoSpaceDN w:val="0"/>
        <w:adjustRightInd w:val="0"/>
        <w:spacing w:after="0"/>
        <w:jc w:val="left"/>
        <w:rPr>
          <w:rFonts w:ascii="Arial" w:hAnsi="Arial" w:cs="Arial"/>
          <w:bCs/>
          <w:sz w:val="19"/>
          <w:szCs w:val="19"/>
          <w:highlight w:val="yellow"/>
          <w:lang w:val="en-US"/>
        </w:rPr>
      </w:pPr>
    </w:p>
    <w:p w:rsidR="000A12DA" w:rsidRPr="005300DC" w:rsidRDefault="000A12DA" w:rsidP="00201B4C">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The assumptions relating to longevity underlying the pension liabilities at the balance sheet date are based on standard actuarial mortality tables and include an allowance for future improvements in longevity.  The assumptions are equivalent to expecting a 65 year old to live for a number of years as follows:</w:t>
      </w:r>
    </w:p>
    <w:p w:rsidR="00201B4C" w:rsidRPr="005300DC" w:rsidRDefault="00201B4C" w:rsidP="00201B4C">
      <w:pPr>
        <w:autoSpaceDE w:val="0"/>
        <w:autoSpaceDN w:val="0"/>
        <w:adjustRightInd w:val="0"/>
        <w:spacing w:after="0"/>
        <w:jc w:val="left"/>
        <w:rPr>
          <w:rFonts w:ascii="Arial" w:hAnsi="Arial" w:cs="Arial"/>
          <w:bCs/>
          <w:sz w:val="19"/>
          <w:szCs w:val="19"/>
          <w:lang w:val="en-US"/>
        </w:rPr>
      </w:pPr>
    </w:p>
    <w:p w:rsidR="000A12DA" w:rsidRDefault="000A12DA" w:rsidP="00201B4C">
      <w:pPr>
        <w:autoSpaceDE w:val="0"/>
        <w:autoSpaceDN w:val="0"/>
        <w:adjustRightInd w:val="0"/>
        <w:spacing w:after="0"/>
        <w:jc w:val="left"/>
        <w:rPr>
          <w:rFonts w:ascii="Arial" w:hAnsi="Arial" w:cs="Arial"/>
          <w:bCs/>
          <w:sz w:val="19"/>
          <w:szCs w:val="19"/>
          <w:lang w:val="en-US"/>
        </w:rPr>
      </w:pPr>
      <w:r w:rsidRPr="005300DC">
        <w:rPr>
          <w:rFonts w:ascii="Arial" w:hAnsi="Arial" w:cs="Arial"/>
          <w:bCs/>
          <w:sz w:val="19"/>
          <w:szCs w:val="19"/>
          <w:lang w:val="en-US"/>
        </w:rPr>
        <w:t>Life expectancy from age 65 (years):</w:t>
      </w:r>
    </w:p>
    <w:p w:rsidR="00B15EC2" w:rsidRDefault="00B15EC2" w:rsidP="00201B4C">
      <w:pPr>
        <w:autoSpaceDE w:val="0"/>
        <w:autoSpaceDN w:val="0"/>
        <w:adjustRightInd w:val="0"/>
        <w:spacing w:after="0"/>
        <w:jc w:val="left"/>
        <w:rPr>
          <w:rFonts w:ascii="Arial" w:hAnsi="Arial" w:cs="Arial"/>
          <w:bCs/>
          <w:sz w:val="19"/>
          <w:szCs w:val="19"/>
          <w:lang w:val="en-US"/>
        </w:rPr>
      </w:pPr>
    </w:p>
    <w:p w:rsidR="00B15EC2" w:rsidRDefault="00B15EC2" w:rsidP="00201B4C">
      <w:pPr>
        <w:autoSpaceDE w:val="0"/>
        <w:autoSpaceDN w:val="0"/>
        <w:adjustRightInd w:val="0"/>
        <w:spacing w:after="0"/>
        <w:jc w:val="left"/>
        <w:rPr>
          <w:rFonts w:ascii="Arial" w:hAnsi="Arial" w:cs="Arial"/>
          <w:bCs/>
          <w:sz w:val="19"/>
          <w:szCs w:val="19"/>
          <w:lang w:val="en-US"/>
        </w:rPr>
      </w:pPr>
    </w:p>
    <w:p w:rsidR="002C5113" w:rsidRDefault="002C5113" w:rsidP="00201B4C">
      <w:pPr>
        <w:autoSpaceDE w:val="0"/>
        <w:autoSpaceDN w:val="0"/>
        <w:adjustRightInd w:val="0"/>
        <w:spacing w:after="0"/>
        <w:jc w:val="left"/>
        <w:rPr>
          <w:rFonts w:ascii="Arial" w:hAnsi="Arial" w:cs="Arial"/>
          <w:bCs/>
          <w:sz w:val="19"/>
          <w:szCs w:val="19"/>
          <w:lang w:val="en-US"/>
        </w:rPr>
      </w:pPr>
    </w:p>
    <w:p w:rsidR="002C5113" w:rsidRDefault="002C5113" w:rsidP="00201B4C">
      <w:pPr>
        <w:autoSpaceDE w:val="0"/>
        <w:autoSpaceDN w:val="0"/>
        <w:adjustRightInd w:val="0"/>
        <w:spacing w:after="0"/>
        <w:jc w:val="left"/>
        <w:rPr>
          <w:rFonts w:ascii="Arial" w:hAnsi="Arial" w:cs="Arial"/>
          <w:bCs/>
          <w:sz w:val="19"/>
          <w:szCs w:val="19"/>
          <w:lang w:val="en-US"/>
        </w:rPr>
      </w:pPr>
    </w:p>
    <w:p w:rsidR="00B15EC2" w:rsidRDefault="00B15EC2" w:rsidP="00201B4C">
      <w:pPr>
        <w:autoSpaceDE w:val="0"/>
        <w:autoSpaceDN w:val="0"/>
        <w:adjustRightInd w:val="0"/>
        <w:spacing w:after="0"/>
        <w:jc w:val="left"/>
        <w:rPr>
          <w:rFonts w:ascii="Arial" w:hAnsi="Arial" w:cs="Arial"/>
          <w:bCs/>
          <w:sz w:val="19"/>
          <w:szCs w:val="19"/>
          <w:lang w:val="en-US"/>
        </w:rPr>
      </w:pPr>
    </w:p>
    <w:p w:rsidR="00201B4C" w:rsidRDefault="00743922" w:rsidP="00201B4C">
      <w:pPr>
        <w:autoSpaceDE w:val="0"/>
        <w:autoSpaceDN w:val="0"/>
        <w:adjustRightInd w:val="0"/>
        <w:spacing w:after="0"/>
        <w:jc w:val="left"/>
        <w:rPr>
          <w:rFonts w:ascii="Arial" w:hAnsi="Arial" w:cs="Arial"/>
          <w:b/>
          <w:bCs/>
          <w:sz w:val="19"/>
          <w:szCs w:val="19"/>
          <w:lang w:val="en-US"/>
        </w:rPr>
      </w:pPr>
      <w:r>
        <w:rPr>
          <w:rFonts w:ascii="Arial" w:hAnsi="Arial" w:cs="Arial"/>
          <w:b/>
          <w:bCs/>
          <w:sz w:val="19"/>
          <w:szCs w:val="19"/>
          <w:lang w:val="en-US"/>
        </w:rPr>
        <w:lastRenderedPageBreak/>
        <w:t>18 Pension Schemes (continued)</w:t>
      </w:r>
    </w:p>
    <w:p w:rsidR="00743922" w:rsidRPr="00743922" w:rsidRDefault="00743922" w:rsidP="00201B4C">
      <w:pPr>
        <w:autoSpaceDE w:val="0"/>
        <w:autoSpaceDN w:val="0"/>
        <w:adjustRightInd w:val="0"/>
        <w:spacing w:after="0"/>
        <w:jc w:val="left"/>
        <w:rPr>
          <w:rFonts w:ascii="Arial" w:hAnsi="Arial" w:cs="Arial"/>
          <w:b/>
          <w:bCs/>
          <w:sz w:val="19"/>
          <w:szCs w:val="19"/>
          <w:lang w:val="en-US"/>
        </w:rPr>
      </w:pPr>
      <w:r>
        <w:rPr>
          <w:rFonts w:ascii="Arial" w:hAnsi="Arial" w:cs="Arial"/>
          <w:b/>
          <w:bCs/>
          <w:sz w:val="19"/>
          <w:szCs w:val="19"/>
          <w:lang w:val="en-US"/>
        </w:rPr>
        <w:t>Movement in Present Value of Defined Benefit Obligations (continued)</w:t>
      </w:r>
    </w:p>
    <w:p w:rsidR="00743922" w:rsidRDefault="00743922" w:rsidP="00201B4C">
      <w:pPr>
        <w:autoSpaceDE w:val="0"/>
        <w:autoSpaceDN w:val="0"/>
        <w:adjustRightInd w:val="0"/>
        <w:spacing w:after="0"/>
        <w:jc w:val="left"/>
        <w:rPr>
          <w:rFonts w:ascii="Arial" w:hAnsi="Arial" w:cs="Arial"/>
          <w:bCs/>
          <w:sz w:val="19"/>
          <w:szCs w:val="19"/>
          <w:lang w:val="en-US"/>
        </w:rPr>
      </w:pPr>
    </w:p>
    <w:p w:rsidR="00743922" w:rsidRPr="00070D17" w:rsidRDefault="00743922" w:rsidP="00201B4C">
      <w:pPr>
        <w:autoSpaceDE w:val="0"/>
        <w:autoSpaceDN w:val="0"/>
        <w:adjustRightInd w:val="0"/>
        <w:spacing w:after="0"/>
        <w:jc w:val="left"/>
        <w:rPr>
          <w:rFonts w:ascii="Arial" w:hAnsi="Arial" w:cs="Arial"/>
          <w:bCs/>
          <w:sz w:val="19"/>
          <w:szCs w:val="19"/>
          <w:lang w:val="en-US"/>
        </w:rPr>
      </w:pPr>
    </w:p>
    <w:tbl>
      <w:tblPr>
        <w:tblW w:w="9498" w:type="dxa"/>
        <w:tblLayout w:type="fixed"/>
        <w:tblCellMar>
          <w:left w:w="28" w:type="dxa"/>
          <w:right w:w="28" w:type="dxa"/>
        </w:tblCellMar>
        <w:tblLook w:val="0000" w:firstRow="0" w:lastRow="0" w:firstColumn="0" w:lastColumn="0" w:noHBand="0" w:noVBand="0"/>
      </w:tblPr>
      <w:tblGrid>
        <w:gridCol w:w="3828"/>
        <w:gridCol w:w="28"/>
        <w:gridCol w:w="1106"/>
        <w:gridCol w:w="1134"/>
        <w:gridCol w:w="1134"/>
        <w:gridCol w:w="1134"/>
        <w:gridCol w:w="1134"/>
      </w:tblGrid>
      <w:tr w:rsidR="000A12DA" w:rsidRPr="00C46A29" w:rsidTr="00383740">
        <w:trPr>
          <w:cantSplit/>
        </w:trPr>
        <w:tc>
          <w:tcPr>
            <w:tcW w:w="3828" w:type="dxa"/>
          </w:tcPr>
          <w:p w:rsidR="000A12DA" w:rsidRPr="00070D17" w:rsidRDefault="000A12DA" w:rsidP="003A1BD9">
            <w:pPr>
              <w:pStyle w:val="Tindent"/>
              <w:keepLines/>
              <w:rPr>
                <w:rFonts w:ascii="Arial" w:hAnsi="Arial" w:cs="Arial"/>
                <w:b/>
                <w:sz w:val="19"/>
                <w:szCs w:val="19"/>
              </w:rPr>
            </w:pPr>
          </w:p>
        </w:tc>
        <w:tc>
          <w:tcPr>
            <w:tcW w:w="1134" w:type="dxa"/>
            <w:gridSpan w:val="2"/>
          </w:tcPr>
          <w:p w:rsidR="000A12DA" w:rsidRPr="00070D17" w:rsidRDefault="000A12DA" w:rsidP="003A1BD9">
            <w:pPr>
              <w:pStyle w:val="Thead"/>
              <w:rPr>
                <w:rFonts w:ascii="Arial" w:hAnsi="Arial" w:cs="Arial"/>
                <w:sz w:val="19"/>
                <w:szCs w:val="19"/>
              </w:rPr>
            </w:pPr>
          </w:p>
        </w:tc>
        <w:tc>
          <w:tcPr>
            <w:tcW w:w="2268" w:type="dxa"/>
            <w:gridSpan w:val="2"/>
          </w:tcPr>
          <w:p w:rsidR="000A12DA" w:rsidRPr="00C46A29" w:rsidRDefault="000A12DA" w:rsidP="003A1BD9">
            <w:pPr>
              <w:pStyle w:val="Thead"/>
              <w:jc w:val="center"/>
              <w:rPr>
                <w:rFonts w:ascii="Arial" w:hAnsi="Arial" w:cs="Arial"/>
                <w:sz w:val="19"/>
                <w:szCs w:val="19"/>
                <w:highlight w:val="yellow"/>
              </w:rPr>
            </w:pPr>
            <w:r w:rsidRPr="002C5113">
              <w:rPr>
                <w:rFonts w:ascii="Arial" w:hAnsi="Arial" w:cs="Arial"/>
                <w:sz w:val="19"/>
                <w:szCs w:val="19"/>
              </w:rPr>
              <w:t>Males</w:t>
            </w:r>
          </w:p>
        </w:tc>
        <w:tc>
          <w:tcPr>
            <w:tcW w:w="2268" w:type="dxa"/>
            <w:gridSpan w:val="2"/>
          </w:tcPr>
          <w:p w:rsidR="000A12DA" w:rsidRPr="00C46A29" w:rsidRDefault="000A12DA" w:rsidP="003A1BD9">
            <w:pPr>
              <w:pStyle w:val="Thead"/>
              <w:jc w:val="center"/>
              <w:rPr>
                <w:rFonts w:ascii="Arial" w:hAnsi="Arial" w:cs="Arial"/>
                <w:sz w:val="19"/>
                <w:szCs w:val="19"/>
                <w:highlight w:val="yellow"/>
              </w:rPr>
            </w:pPr>
            <w:r w:rsidRPr="002C5113">
              <w:rPr>
                <w:rFonts w:ascii="Arial" w:hAnsi="Arial" w:cs="Arial"/>
                <w:sz w:val="19"/>
                <w:szCs w:val="19"/>
              </w:rPr>
              <w:t>Females</w:t>
            </w:r>
          </w:p>
        </w:tc>
      </w:tr>
      <w:tr w:rsidR="000A12DA" w:rsidRPr="00C46A29" w:rsidTr="002C5113">
        <w:trPr>
          <w:cantSplit/>
        </w:trPr>
        <w:tc>
          <w:tcPr>
            <w:tcW w:w="3828" w:type="dxa"/>
          </w:tcPr>
          <w:p w:rsidR="000A12DA" w:rsidRPr="00C46A29" w:rsidRDefault="000A12DA" w:rsidP="003A1BD9">
            <w:pPr>
              <w:pStyle w:val="Tindent"/>
              <w:keepLines/>
              <w:rPr>
                <w:rFonts w:ascii="Arial" w:hAnsi="Arial" w:cs="Arial"/>
                <w:b/>
                <w:sz w:val="19"/>
                <w:szCs w:val="19"/>
                <w:highlight w:val="yellow"/>
              </w:rPr>
            </w:pPr>
          </w:p>
        </w:tc>
        <w:tc>
          <w:tcPr>
            <w:tcW w:w="1134" w:type="dxa"/>
            <w:gridSpan w:val="2"/>
          </w:tcPr>
          <w:p w:rsidR="000A12DA" w:rsidRPr="00C46A29" w:rsidRDefault="000A12DA" w:rsidP="003A1BD9">
            <w:pPr>
              <w:pStyle w:val="Thead"/>
              <w:rPr>
                <w:rFonts w:ascii="Arial" w:hAnsi="Arial" w:cs="Arial"/>
                <w:sz w:val="19"/>
                <w:szCs w:val="19"/>
                <w:highlight w:val="yellow"/>
              </w:rPr>
            </w:pPr>
          </w:p>
        </w:tc>
        <w:tc>
          <w:tcPr>
            <w:tcW w:w="1134" w:type="dxa"/>
          </w:tcPr>
          <w:p w:rsidR="000A12DA" w:rsidRPr="000A30E0" w:rsidRDefault="000A12DA" w:rsidP="003A1BD9">
            <w:pPr>
              <w:pStyle w:val="Thead"/>
              <w:rPr>
                <w:rFonts w:ascii="Arial" w:hAnsi="Arial" w:cs="Arial"/>
                <w:sz w:val="19"/>
                <w:szCs w:val="19"/>
              </w:rPr>
            </w:pPr>
            <w:r w:rsidRPr="000A30E0">
              <w:rPr>
                <w:rFonts w:ascii="Arial" w:hAnsi="Arial" w:cs="Arial"/>
                <w:sz w:val="19"/>
                <w:szCs w:val="19"/>
              </w:rPr>
              <w:t>201</w:t>
            </w:r>
            <w:r w:rsidR="002C5113" w:rsidRPr="000A30E0">
              <w:rPr>
                <w:rFonts w:ascii="Arial" w:hAnsi="Arial" w:cs="Arial"/>
                <w:sz w:val="19"/>
                <w:szCs w:val="19"/>
              </w:rPr>
              <w:t>5</w:t>
            </w:r>
          </w:p>
        </w:tc>
        <w:tc>
          <w:tcPr>
            <w:tcW w:w="1134" w:type="dxa"/>
          </w:tcPr>
          <w:p w:rsidR="000A12DA" w:rsidRPr="000A30E0" w:rsidRDefault="000A12DA" w:rsidP="003A1BD9">
            <w:pPr>
              <w:pStyle w:val="Thead"/>
              <w:rPr>
                <w:rFonts w:ascii="Arial" w:hAnsi="Arial" w:cs="Arial"/>
                <w:sz w:val="19"/>
                <w:szCs w:val="19"/>
              </w:rPr>
            </w:pPr>
            <w:r w:rsidRPr="000A30E0">
              <w:rPr>
                <w:rFonts w:ascii="Arial" w:hAnsi="Arial" w:cs="Arial"/>
                <w:sz w:val="19"/>
                <w:szCs w:val="19"/>
              </w:rPr>
              <w:t>201</w:t>
            </w:r>
            <w:r w:rsidR="002C5113" w:rsidRPr="000A30E0">
              <w:rPr>
                <w:rFonts w:ascii="Arial" w:hAnsi="Arial" w:cs="Arial"/>
                <w:sz w:val="19"/>
                <w:szCs w:val="19"/>
              </w:rPr>
              <w:t>4</w:t>
            </w:r>
          </w:p>
        </w:tc>
        <w:tc>
          <w:tcPr>
            <w:tcW w:w="1134" w:type="dxa"/>
          </w:tcPr>
          <w:p w:rsidR="000A12DA" w:rsidRPr="000A30E0" w:rsidRDefault="000A12DA" w:rsidP="003A1BD9">
            <w:pPr>
              <w:pStyle w:val="Thead"/>
              <w:rPr>
                <w:rFonts w:ascii="Arial" w:hAnsi="Arial" w:cs="Arial"/>
                <w:sz w:val="19"/>
                <w:szCs w:val="19"/>
              </w:rPr>
            </w:pPr>
            <w:r w:rsidRPr="000A30E0">
              <w:rPr>
                <w:rFonts w:ascii="Arial" w:hAnsi="Arial" w:cs="Arial"/>
                <w:sz w:val="19"/>
                <w:szCs w:val="19"/>
              </w:rPr>
              <w:t>201</w:t>
            </w:r>
            <w:r w:rsidR="002C5113" w:rsidRPr="000A30E0">
              <w:rPr>
                <w:rFonts w:ascii="Arial" w:hAnsi="Arial" w:cs="Arial"/>
                <w:sz w:val="19"/>
                <w:szCs w:val="19"/>
              </w:rPr>
              <w:t>5</w:t>
            </w:r>
          </w:p>
        </w:tc>
        <w:tc>
          <w:tcPr>
            <w:tcW w:w="1134" w:type="dxa"/>
            <w:shd w:val="clear" w:color="auto" w:fill="auto"/>
          </w:tcPr>
          <w:p w:rsidR="000A12DA" w:rsidRPr="000A30E0" w:rsidRDefault="000A12DA" w:rsidP="003A1BD9">
            <w:pPr>
              <w:pStyle w:val="Thead"/>
              <w:rPr>
                <w:rFonts w:ascii="Arial" w:hAnsi="Arial" w:cs="Arial"/>
                <w:sz w:val="19"/>
                <w:szCs w:val="19"/>
              </w:rPr>
            </w:pPr>
            <w:r w:rsidRPr="000A30E0">
              <w:rPr>
                <w:rFonts w:ascii="Arial" w:hAnsi="Arial" w:cs="Arial"/>
                <w:sz w:val="19"/>
                <w:szCs w:val="19"/>
              </w:rPr>
              <w:t>201</w:t>
            </w:r>
            <w:r w:rsidR="002C5113" w:rsidRPr="000A30E0">
              <w:rPr>
                <w:rFonts w:ascii="Arial" w:hAnsi="Arial" w:cs="Arial"/>
                <w:sz w:val="19"/>
                <w:szCs w:val="19"/>
              </w:rPr>
              <w:t>4</w:t>
            </w:r>
          </w:p>
        </w:tc>
      </w:tr>
      <w:tr w:rsidR="000A12DA" w:rsidRPr="00C46A29" w:rsidTr="00383740">
        <w:trPr>
          <w:cantSplit/>
        </w:trPr>
        <w:tc>
          <w:tcPr>
            <w:tcW w:w="3828" w:type="dxa"/>
          </w:tcPr>
          <w:p w:rsidR="000A12DA" w:rsidRPr="00C46A29" w:rsidRDefault="000A12DA" w:rsidP="003A1BD9">
            <w:pPr>
              <w:pStyle w:val="B0"/>
              <w:spacing w:line="240" w:lineRule="auto"/>
              <w:rPr>
                <w:rFonts w:ascii="Arial" w:hAnsi="Arial" w:cs="Arial"/>
                <w:sz w:val="19"/>
                <w:szCs w:val="19"/>
                <w:highlight w:val="yellow"/>
              </w:rPr>
            </w:pPr>
          </w:p>
        </w:tc>
        <w:tc>
          <w:tcPr>
            <w:tcW w:w="1134" w:type="dxa"/>
            <w:gridSpan w:val="2"/>
          </w:tcPr>
          <w:p w:rsidR="000A12DA" w:rsidRPr="00C46A29" w:rsidRDefault="000A12DA" w:rsidP="003A1BD9">
            <w:pPr>
              <w:pStyle w:val="B0"/>
              <w:spacing w:line="240" w:lineRule="auto"/>
              <w:rPr>
                <w:rFonts w:ascii="Arial" w:hAnsi="Arial" w:cs="Arial"/>
                <w:sz w:val="19"/>
                <w:szCs w:val="19"/>
                <w:highlight w:val="yellow"/>
              </w:rPr>
            </w:pPr>
          </w:p>
        </w:tc>
        <w:tc>
          <w:tcPr>
            <w:tcW w:w="1134" w:type="dxa"/>
          </w:tcPr>
          <w:p w:rsidR="000A12DA" w:rsidRPr="000A30E0" w:rsidRDefault="000A12DA" w:rsidP="003A1BD9">
            <w:pPr>
              <w:pStyle w:val="B0"/>
              <w:spacing w:line="240" w:lineRule="auto"/>
              <w:rPr>
                <w:rFonts w:ascii="Arial" w:hAnsi="Arial" w:cs="Arial"/>
                <w:sz w:val="19"/>
                <w:szCs w:val="19"/>
              </w:rPr>
            </w:pPr>
          </w:p>
        </w:tc>
        <w:tc>
          <w:tcPr>
            <w:tcW w:w="1134" w:type="dxa"/>
          </w:tcPr>
          <w:p w:rsidR="000A12DA" w:rsidRPr="000A30E0" w:rsidRDefault="000A12DA" w:rsidP="003A1BD9">
            <w:pPr>
              <w:pStyle w:val="B0"/>
              <w:spacing w:line="240" w:lineRule="auto"/>
              <w:rPr>
                <w:rFonts w:ascii="Arial" w:hAnsi="Arial" w:cs="Arial"/>
                <w:sz w:val="19"/>
                <w:szCs w:val="19"/>
              </w:rPr>
            </w:pPr>
          </w:p>
        </w:tc>
        <w:tc>
          <w:tcPr>
            <w:tcW w:w="1134" w:type="dxa"/>
          </w:tcPr>
          <w:p w:rsidR="000A12DA" w:rsidRPr="000A30E0" w:rsidRDefault="000A12DA" w:rsidP="003A1BD9">
            <w:pPr>
              <w:pStyle w:val="B0"/>
              <w:spacing w:line="240" w:lineRule="auto"/>
              <w:rPr>
                <w:rFonts w:ascii="Arial" w:hAnsi="Arial" w:cs="Arial"/>
                <w:sz w:val="19"/>
                <w:szCs w:val="19"/>
              </w:rPr>
            </w:pPr>
          </w:p>
        </w:tc>
        <w:tc>
          <w:tcPr>
            <w:tcW w:w="1134" w:type="dxa"/>
          </w:tcPr>
          <w:p w:rsidR="000A12DA" w:rsidRPr="000A30E0" w:rsidRDefault="000A12DA" w:rsidP="003A1BD9">
            <w:pPr>
              <w:pStyle w:val="B0"/>
              <w:spacing w:line="240" w:lineRule="auto"/>
              <w:rPr>
                <w:rFonts w:ascii="Arial" w:hAnsi="Arial" w:cs="Arial"/>
                <w:sz w:val="19"/>
                <w:szCs w:val="19"/>
              </w:rPr>
            </w:pPr>
          </w:p>
        </w:tc>
      </w:tr>
      <w:tr w:rsidR="000A12DA" w:rsidRPr="00C46A29" w:rsidTr="00383740">
        <w:trPr>
          <w:cantSplit/>
        </w:trPr>
        <w:tc>
          <w:tcPr>
            <w:tcW w:w="3856" w:type="dxa"/>
            <w:gridSpan w:val="2"/>
          </w:tcPr>
          <w:p w:rsidR="000A12DA" w:rsidRPr="002C5113" w:rsidRDefault="000A12DA" w:rsidP="003A1BD9">
            <w:pPr>
              <w:pStyle w:val="Tindent"/>
              <w:rPr>
                <w:rFonts w:ascii="Arial" w:hAnsi="Arial" w:cs="Arial"/>
                <w:sz w:val="19"/>
                <w:szCs w:val="19"/>
              </w:rPr>
            </w:pPr>
            <w:r w:rsidRPr="002C5113">
              <w:rPr>
                <w:rFonts w:ascii="Arial" w:hAnsi="Arial" w:cs="Arial"/>
                <w:sz w:val="19"/>
                <w:szCs w:val="19"/>
              </w:rPr>
              <w:t>Retiring today</w:t>
            </w:r>
          </w:p>
        </w:tc>
        <w:tc>
          <w:tcPr>
            <w:tcW w:w="1106" w:type="dxa"/>
          </w:tcPr>
          <w:p w:rsidR="000A12DA" w:rsidRPr="00C46A29" w:rsidRDefault="000A12DA" w:rsidP="003A1BD9">
            <w:pPr>
              <w:pStyle w:val="Tdec"/>
              <w:rPr>
                <w:rFonts w:ascii="Arial" w:hAnsi="Arial" w:cs="Arial"/>
                <w:sz w:val="19"/>
                <w:szCs w:val="19"/>
                <w:highlight w:val="yellow"/>
              </w:rPr>
            </w:pPr>
          </w:p>
        </w:tc>
        <w:tc>
          <w:tcPr>
            <w:tcW w:w="1134" w:type="dxa"/>
          </w:tcPr>
          <w:p w:rsidR="000A12DA" w:rsidRPr="000A30E0" w:rsidRDefault="00E412F1" w:rsidP="003A1BD9">
            <w:pPr>
              <w:pStyle w:val="Tdec"/>
              <w:rPr>
                <w:rFonts w:ascii="Arial" w:hAnsi="Arial" w:cs="Arial"/>
                <w:sz w:val="19"/>
                <w:szCs w:val="19"/>
              </w:rPr>
            </w:pPr>
            <w:r w:rsidRPr="000A30E0">
              <w:rPr>
                <w:rFonts w:ascii="Arial" w:hAnsi="Arial" w:cs="Arial"/>
                <w:sz w:val="19"/>
                <w:szCs w:val="19"/>
              </w:rPr>
              <w:t>2</w:t>
            </w:r>
            <w:r w:rsidR="000A30E0" w:rsidRPr="000A30E0">
              <w:rPr>
                <w:rFonts w:ascii="Arial" w:hAnsi="Arial" w:cs="Arial"/>
                <w:sz w:val="19"/>
                <w:szCs w:val="19"/>
              </w:rPr>
              <w:t>3.0</w:t>
            </w:r>
          </w:p>
        </w:tc>
        <w:tc>
          <w:tcPr>
            <w:tcW w:w="1134" w:type="dxa"/>
          </w:tcPr>
          <w:p w:rsidR="000A12DA" w:rsidRPr="000A30E0" w:rsidRDefault="000A12DA" w:rsidP="003A1BD9">
            <w:pPr>
              <w:pStyle w:val="Tdec"/>
              <w:rPr>
                <w:rFonts w:ascii="Arial" w:hAnsi="Arial" w:cs="Arial"/>
                <w:sz w:val="19"/>
                <w:szCs w:val="19"/>
              </w:rPr>
            </w:pPr>
            <w:r w:rsidRPr="000A30E0">
              <w:rPr>
                <w:rFonts w:ascii="Arial" w:hAnsi="Arial" w:cs="Arial"/>
                <w:sz w:val="19"/>
                <w:szCs w:val="19"/>
              </w:rPr>
              <w:t>22.</w:t>
            </w:r>
            <w:r w:rsidR="002C5113" w:rsidRPr="000A30E0">
              <w:rPr>
                <w:rFonts w:ascii="Arial" w:hAnsi="Arial" w:cs="Arial"/>
                <w:sz w:val="19"/>
                <w:szCs w:val="19"/>
              </w:rPr>
              <w:t>9</w:t>
            </w:r>
          </w:p>
        </w:tc>
        <w:tc>
          <w:tcPr>
            <w:tcW w:w="1134" w:type="dxa"/>
          </w:tcPr>
          <w:p w:rsidR="000A12DA" w:rsidRPr="000A30E0" w:rsidRDefault="00E412F1" w:rsidP="003A1BD9">
            <w:pPr>
              <w:pStyle w:val="Tdec"/>
              <w:rPr>
                <w:rFonts w:ascii="Arial" w:hAnsi="Arial" w:cs="Arial"/>
                <w:sz w:val="19"/>
                <w:szCs w:val="19"/>
              </w:rPr>
            </w:pPr>
            <w:r w:rsidRPr="000A30E0">
              <w:rPr>
                <w:rFonts w:ascii="Arial" w:hAnsi="Arial" w:cs="Arial"/>
                <w:sz w:val="19"/>
                <w:szCs w:val="19"/>
              </w:rPr>
              <w:t>25.</w:t>
            </w:r>
            <w:r w:rsidR="000A30E0" w:rsidRPr="000A30E0">
              <w:rPr>
                <w:rFonts w:ascii="Arial" w:hAnsi="Arial" w:cs="Arial"/>
                <w:sz w:val="19"/>
                <w:szCs w:val="19"/>
              </w:rPr>
              <w:t>5</w:t>
            </w:r>
          </w:p>
        </w:tc>
        <w:tc>
          <w:tcPr>
            <w:tcW w:w="1134" w:type="dxa"/>
          </w:tcPr>
          <w:p w:rsidR="000A12DA" w:rsidRPr="000A30E0" w:rsidRDefault="002C5113" w:rsidP="003A1BD9">
            <w:pPr>
              <w:pStyle w:val="Tdec"/>
              <w:rPr>
                <w:rFonts w:ascii="Arial" w:hAnsi="Arial" w:cs="Arial"/>
                <w:sz w:val="19"/>
                <w:szCs w:val="19"/>
              </w:rPr>
            </w:pPr>
            <w:r w:rsidRPr="000A30E0">
              <w:rPr>
                <w:rFonts w:ascii="Arial" w:hAnsi="Arial" w:cs="Arial"/>
                <w:sz w:val="19"/>
                <w:szCs w:val="19"/>
              </w:rPr>
              <w:t>25.4</w:t>
            </w:r>
          </w:p>
        </w:tc>
      </w:tr>
      <w:tr w:rsidR="000A12DA" w:rsidRPr="00C46A29" w:rsidTr="00383740">
        <w:trPr>
          <w:cantSplit/>
        </w:trPr>
        <w:tc>
          <w:tcPr>
            <w:tcW w:w="3856" w:type="dxa"/>
            <w:gridSpan w:val="2"/>
          </w:tcPr>
          <w:p w:rsidR="000A12DA" w:rsidRPr="002C5113" w:rsidRDefault="000A12DA" w:rsidP="003A1BD9">
            <w:pPr>
              <w:pStyle w:val="Tindent"/>
              <w:rPr>
                <w:rFonts w:ascii="Arial" w:hAnsi="Arial" w:cs="Arial"/>
                <w:sz w:val="19"/>
                <w:szCs w:val="19"/>
              </w:rPr>
            </w:pPr>
            <w:r w:rsidRPr="002C5113">
              <w:rPr>
                <w:rFonts w:ascii="Arial" w:hAnsi="Arial" w:cs="Arial"/>
                <w:sz w:val="19"/>
                <w:szCs w:val="19"/>
              </w:rPr>
              <w:t>Retiring in 20 years</w:t>
            </w:r>
          </w:p>
        </w:tc>
        <w:tc>
          <w:tcPr>
            <w:tcW w:w="1106" w:type="dxa"/>
          </w:tcPr>
          <w:p w:rsidR="000A12DA" w:rsidRPr="00C46A29" w:rsidRDefault="000A12DA" w:rsidP="003A1BD9">
            <w:pPr>
              <w:pStyle w:val="Tdec"/>
              <w:rPr>
                <w:rFonts w:ascii="Arial" w:hAnsi="Arial" w:cs="Arial"/>
                <w:sz w:val="19"/>
                <w:szCs w:val="19"/>
                <w:highlight w:val="yellow"/>
              </w:rPr>
            </w:pPr>
          </w:p>
        </w:tc>
        <w:tc>
          <w:tcPr>
            <w:tcW w:w="1134" w:type="dxa"/>
          </w:tcPr>
          <w:p w:rsidR="000A12DA" w:rsidRPr="000A30E0" w:rsidRDefault="00E412F1" w:rsidP="003A1BD9">
            <w:pPr>
              <w:pStyle w:val="Tdec"/>
              <w:rPr>
                <w:rFonts w:ascii="Arial" w:hAnsi="Arial" w:cs="Arial"/>
                <w:sz w:val="19"/>
                <w:szCs w:val="19"/>
              </w:rPr>
            </w:pPr>
            <w:r w:rsidRPr="000A30E0">
              <w:rPr>
                <w:rFonts w:ascii="Arial" w:hAnsi="Arial" w:cs="Arial"/>
                <w:sz w:val="19"/>
                <w:szCs w:val="19"/>
              </w:rPr>
              <w:t>25.</w:t>
            </w:r>
            <w:r w:rsidR="000A30E0" w:rsidRPr="000A30E0">
              <w:rPr>
                <w:rFonts w:ascii="Arial" w:hAnsi="Arial" w:cs="Arial"/>
                <w:sz w:val="19"/>
                <w:szCs w:val="19"/>
              </w:rPr>
              <w:t>2</w:t>
            </w:r>
          </w:p>
        </w:tc>
        <w:tc>
          <w:tcPr>
            <w:tcW w:w="1134" w:type="dxa"/>
          </w:tcPr>
          <w:p w:rsidR="000A12DA" w:rsidRPr="000A30E0" w:rsidRDefault="000A12DA" w:rsidP="003A1BD9">
            <w:pPr>
              <w:pStyle w:val="Tdec"/>
              <w:rPr>
                <w:rFonts w:ascii="Arial" w:hAnsi="Arial" w:cs="Arial"/>
                <w:sz w:val="19"/>
                <w:szCs w:val="19"/>
              </w:rPr>
            </w:pPr>
            <w:r w:rsidRPr="000A30E0">
              <w:rPr>
                <w:rFonts w:ascii="Arial" w:hAnsi="Arial" w:cs="Arial"/>
                <w:sz w:val="19"/>
                <w:szCs w:val="19"/>
              </w:rPr>
              <w:t>2</w:t>
            </w:r>
            <w:r w:rsidR="002C5113" w:rsidRPr="000A30E0">
              <w:rPr>
                <w:rFonts w:ascii="Arial" w:hAnsi="Arial" w:cs="Arial"/>
                <w:sz w:val="19"/>
                <w:szCs w:val="19"/>
              </w:rPr>
              <w:t>5.1</w:t>
            </w:r>
          </w:p>
        </w:tc>
        <w:tc>
          <w:tcPr>
            <w:tcW w:w="1134" w:type="dxa"/>
          </w:tcPr>
          <w:p w:rsidR="000A12DA" w:rsidRPr="000A30E0" w:rsidRDefault="00E412F1" w:rsidP="003A1BD9">
            <w:pPr>
              <w:pStyle w:val="Tdec"/>
              <w:rPr>
                <w:rFonts w:ascii="Arial" w:hAnsi="Arial" w:cs="Arial"/>
                <w:sz w:val="19"/>
                <w:szCs w:val="19"/>
              </w:rPr>
            </w:pPr>
            <w:r w:rsidRPr="000A30E0">
              <w:rPr>
                <w:rFonts w:ascii="Arial" w:hAnsi="Arial" w:cs="Arial"/>
                <w:sz w:val="19"/>
                <w:szCs w:val="19"/>
              </w:rPr>
              <w:t>27.</w:t>
            </w:r>
            <w:r w:rsidR="000A30E0" w:rsidRPr="000A30E0">
              <w:rPr>
                <w:rFonts w:ascii="Arial" w:hAnsi="Arial" w:cs="Arial"/>
                <w:sz w:val="19"/>
                <w:szCs w:val="19"/>
              </w:rPr>
              <w:t>8</w:t>
            </w:r>
          </w:p>
        </w:tc>
        <w:tc>
          <w:tcPr>
            <w:tcW w:w="1134" w:type="dxa"/>
          </w:tcPr>
          <w:p w:rsidR="000A12DA" w:rsidRPr="000A30E0" w:rsidRDefault="002C5113" w:rsidP="003A1BD9">
            <w:pPr>
              <w:pStyle w:val="Tdec"/>
              <w:rPr>
                <w:rFonts w:ascii="Arial" w:hAnsi="Arial" w:cs="Arial"/>
                <w:sz w:val="19"/>
                <w:szCs w:val="19"/>
              </w:rPr>
            </w:pPr>
            <w:r w:rsidRPr="000A30E0">
              <w:rPr>
                <w:rFonts w:ascii="Arial" w:hAnsi="Arial" w:cs="Arial"/>
                <w:sz w:val="19"/>
                <w:szCs w:val="19"/>
              </w:rPr>
              <w:t>27.7</w:t>
            </w:r>
          </w:p>
        </w:tc>
      </w:tr>
    </w:tbl>
    <w:p w:rsidR="000A12DA" w:rsidRPr="00C46A29" w:rsidRDefault="000A12DA" w:rsidP="003A1BD9">
      <w:pPr>
        <w:autoSpaceDE w:val="0"/>
        <w:autoSpaceDN w:val="0"/>
        <w:adjustRightInd w:val="0"/>
        <w:ind w:left="567"/>
        <w:jc w:val="left"/>
        <w:rPr>
          <w:rFonts w:ascii="Arial" w:hAnsi="Arial" w:cs="Arial"/>
          <w:bCs/>
          <w:sz w:val="19"/>
          <w:szCs w:val="19"/>
          <w:highlight w:val="yellow"/>
          <w:lang w:val="en-US"/>
        </w:rPr>
      </w:pPr>
    </w:p>
    <w:p w:rsidR="00383740" w:rsidRPr="000A30E0" w:rsidRDefault="00383740" w:rsidP="00201B4C">
      <w:pPr>
        <w:spacing w:after="0"/>
        <w:jc w:val="left"/>
        <w:rPr>
          <w:rFonts w:ascii="Arial" w:hAnsi="Arial" w:cs="Arial"/>
          <w:bCs/>
          <w:sz w:val="19"/>
          <w:szCs w:val="19"/>
          <w:lang w:val="en-US"/>
        </w:rPr>
      </w:pPr>
      <w:r w:rsidRPr="000A30E0">
        <w:rPr>
          <w:rFonts w:ascii="Arial" w:hAnsi="Arial" w:cs="Arial"/>
          <w:bCs/>
          <w:sz w:val="19"/>
          <w:szCs w:val="19"/>
          <w:lang w:val="en-US"/>
        </w:rPr>
        <w:t>The assumptions used by the actuary are the best estimates chosen from a range of possible actuarial assumptions which, due to the timescale covered, may not necessarily be borne out in practice.</w:t>
      </w:r>
    </w:p>
    <w:p w:rsidR="00201B4C" w:rsidRPr="00C46A29" w:rsidRDefault="00201B4C" w:rsidP="00201B4C">
      <w:pPr>
        <w:spacing w:after="0"/>
        <w:jc w:val="left"/>
        <w:rPr>
          <w:rFonts w:ascii="Arial" w:hAnsi="Arial" w:cs="Arial"/>
          <w:sz w:val="19"/>
          <w:szCs w:val="19"/>
          <w:highlight w:val="yellow"/>
          <w:lang w:val="en-US"/>
        </w:rPr>
      </w:pPr>
    </w:p>
    <w:p w:rsidR="00383740" w:rsidRPr="000A30E0" w:rsidRDefault="00201B4C" w:rsidP="00201B4C">
      <w:pPr>
        <w:autoSpaceDE w:val="0"/>
        <w:autoSpaceDN w:val="0"/>
        <w:adjustRightInd w:val="0"/>
        <w:jc w:val="left"/>
        <w:rPr>
          <w:rFonts w:ascii="Arial" w:hAnsi="Arial" w:cs="Arial"/>
          <w:b/>
          <w:bCs/>
          <w:szCs w:val="19"/>
          <w:lang w:val="en-US"/>
        </w:rPr>
      </w:pPr>
      <w:r w:rsidRPr="000A30E0">
        <w:rPr>
          <w:rFonts w:ascii="Arial" w:hAnsi="Arial" w:cs="Arial"/>
          <w:b/>
          <w:bCs/>
          <w:szCs w:val="19"/>
          <w:lang w:val="en-US"/>
        </w:rPr>
        <w:t>History of P</w:t>
      </w:r>
      <w:r w:rsidR="00383740" w:rsidRPr="000A30E0">
        <w:rPr>
          <w:rFonts w:ascii="Arial" w:hAnsi="Arial" w:cs="Arial"/>
          <w:b/>
          <w:bCs/>
          <w:szCs w:val="19"/>
          <w:lang w:val="en-US"/>
        </w:rPr>
        <w:t>lans</w:t>
      </w:r>
    </w:p>
    <w:p w:rsidR="00383740" w:rsidRPr="000A30E0" w:rsidRDefault="00383740" w:rsidP="00201B4C">
      <w:pPr>
        <w:autoSpaceDE w:val="0"/>
        <w:autoSpaceDN w:val="0"/>
        <w:adjustRightInd w:val="0"/>
        <w:jc w:val="left"/>
        <w:rPr>
          <w:rFonts w:ascii="Arial" w:hAnsi="Arial" w:cs="Arial"/>
          <w:bCs/>
          <w:sz w:val="19"/>
          <w:szCs w:val="19"/>
          <w:lang w:val="en-US"/>
        </w:rPr>
      </w:pPr>
      <w:r w:rsidRPr="000A30E0">
        <w:rPr>
          <w:rFonts w:ascii="Arial" w:hAnsi="Arial" w:cs="Arial"/>
          <w:bCs/>
          <w:sz w:val="19"/>
          <w:szCs w:val="19"/>
          <w:lang w:val="en-US"/>
        </w:rPr>
        <w:t>The history of the plans f</w:t>
      </w:r>
      <w:r w:rsidR="00743922">
        <w:rPr>
          <w:rFonts w:ascii="Arial" w:hAnsi="Arial" w:cs="Arial"/>
          <w:bCs/>
          <w:sz w:val="19"/>
          <w:szCs w:val="19"/>
          <w:lang w:val="en-US"/>
        </w:rPr>
        <w:t>or the current and prior years</w:t>
      </w:r>
      <w:r w:rsidRPr="000A30E0">
        <w:rPr>
          <w:rFonts w:ascii="Arial" w:hAnsi="Arial" w:cs="Arial"/>
          <w:bCs/>
          <w:sz w:val="19"/>
          <w:szCs w:val="19"/>
          <w:lang w:val="en-US"/>
        </w:rPr>
        <w:t xml:space="preserve"> is as follows:</w:t>
      </w:r>
    </w:p>
    <w:p w:rsidR="00383740" w:rsidRPr="000A30E0" w:rsidRDefault="00383740" w:rsidP="00201B4C">
      <w:pPr>
        <w:autoSpaceDE w:val="0"/>
        <w:autoSpaceDN w:val="0"/>
        <w:adjustRightInd w:val="0"/>
        <w:jc w:val="left"/>
        <w:rPr>
          <w:rFonts w:ascii="Arial" w:hAnsi="Arial" w:cs="Arial"/>
          <w:b/>
          <w:bCs/>
          <w:szCs w:val="19"/>
          <w:lang w:val="en-US"/>
        </w:rPr>
      </w:pPr>
      <w:r w:rsidRPr="000A30E0">
        <w:rPr>
          <w:rFonts w:ascii="Arial" w:hAnsi="Arial" w:cs="Arial"/>
          <w:b/>
          <w:bCs/>
          <w:szCs w:val="19"/>
          <w:lang w:val="en-US"/>
        </w:rPr>
        <w:t>Balance sheet</w:t>
      </w:r>
    </w:p>
    <w:tbl>
      <w:tblPr>
        <w:tblW w:w="9498" w:type="dxa"/>
        <w:tblLayout w:type="fixed"/>
        <w:tblCellMar>
          <w:left w:w="28" w:type="dxa"/>
          <w:right w:w="28" w:type="dxa"/>
        </w:tblCellMar>
        <w:tblLook w:val="0000" w:firstRow="0" w:lastRow="0" w:firstColumn="0" w:lastColumn="0" w:noHBand="0" w:noVBand="0"/>
      </w:tblPr>
      <w:tblGrid>
        <w:gridCol w:w="3828"/>
        <w:gridCol w:w="28"/>
        <w:gridCol w:w="1106"/>
        <w:gridCol w:w="1134"/>
        <w:gridCol w:w="1134"/>
        <w:gridCol w:w="1134"/>
        <w:gridCol w:w="1134"/>
      </w:tblGrid>
      <w:tr w:rsidR="00383740" w:rsidRPr="000A30E0" w:rsidTr="00383740">
        <w:trPr>
          <w:cantSplit/>
        </w:trPr>
        <w:tc>
          <w:tcPr>
            <w:tcW w:w="3828" w:type="dxa"/>
          </w:tcPr>
          <w:p w:rsidR="00383740" w:rsidRPr="000A30E0" w:rsidRDefault="00383740" w:rsidP="003A1BD9">
            <w:pPr>
              <w:pStyle w:val="Tindent"/>
              <w:keepLines/>
              <w:rPr>
                <w:rFonts w:ascii="Arial" w:hAnsi="Arial" w:cs="Arial"/>
                <w:b/>
                <w:sz w:val="19"/>
                <w:szCs w:val="19"/>
              </w:rPr>
            </w:pPr>
          </w:p>
        </w:tc>
        <w:tc>
          <w:tcPr>
            <w:tcW w:w="1134" w:type="dxa"/>
            <w:gridSpan w:val="2"/>
          </w:tcPr>
          <w:p w:rsidR="00114071" w:rsidRPr="000A30E0" w:rsidRDefault="00114071" w:rsidP="003A1BD9">
            <w:pPr>
              <w:pStyle w:val="Thead"/>
              <w:rPr>
                <w:rFonts w:ascii="Arial" w:hAnsi="Arial" w:cs="Arial"/>
                <w:sz w:val="19"/>
                <w:szCs w:val="19"/>
              </w:rPr>
            </w:pPr>
            <w:r w:rsidRPr="000A30E0">
              <w:rPr>
                <w:rFonts w:ascii="Arial" w:hAnsi="Arial" w:cs="Arial"/>
                <w:sz w:val="19"/>
                <w:szCs w:val="19"/>
              </w:rPr>
              <w:t>31 March</w:t>
            </w:r>
          </w:p>
          <w:p w:rsidR="00383740" w:rsidRPr="000A30E0" w:rsidRDefault="002C5113" w:rsidP="003A1BD9">
            <w:pPr>
              <w:pStyle w:val="Thead"/>
              <w:rPr>
                <w:rFonts w:ascii="Arial" w:hAnsi="Arial" w:cs="Arial"/>
                <w:sz w:val="19"/>
                <w:szCs w:val="19"/>
              </w:rPr>
            </w:pPr>
            <w:r w:rsidRPr="000A30E0">
              <w:rPr>
                <w:rFonts w:ascii="Arial" w:hAnsi="Arial" w:cs="Arial"/>
                <w:sz w:val="19"/>
                <w:szCs w:val="19"/>
              </w:rPr>
              <w:t>2015</w:t>
            </w:r>
          </w:p>
          <w:p w:rsidR="00383740" w:rsidRPr="000A30E0" w:rsidRDefault="00383740" w:rsidP="003A1BD9">
            <w:pPr>
              <w:pStyle w:val="Thead"/>
              <w:rPr>
                <w:rFonts w:ascii="Arial" w:hAnsi="Arial" w:cs="Arial"/>
                <w:sz w:val="19"/>
                <w:szCs w:val="19"/>
              </w:rPr>
            </w:pPr>
            <w:r w:rsidRPr="000A30E0">
              <w:rPr>
                <w:rFonts w:ascii="Arial" w:hAnsi="Arial" w:cs="Arial"/>
                <w:sz w:val="19"/>
                <w:szCs w:val="19"/>
              </w:rPr>
              <w:t>£000</w:t>
            </w:r>
          </w:p>
        </w:tc>
        <w:tc>
          <w:tcPr>
            <w:tcW w:w="1134" w:type="dxa"/>
          </w:tcPr>
          <w:p w:rsidR="00114071" w:rsidRPr="000A30E0" w:rsidRDefault="00114071" w:rsidP="003A1BD9">
            <w:pPr>
              <w:pStyle w:val="Thead"/>
              <w:rPr>
                <w:rFonts w:ascii="Arial" w:hAnsi="Arial" w:cs="Arial"/>
                <w:sz w:val="19"/>
                <w:szCs w:val="19"/>
              </w:rPr>
            </w:pPr>
            <w:r w:rsidRPr="000A30E0">
              <w:rPr>
                <w:rFonts w:ascii="Arial" w:hAnsi="Arial" w:cs="Arial"/>
                <w:sz w:val="19"/>
                <w:szCs w:val="19"/>
              </w:rPr>
              <w:t>31 March</w:t>
            </w:r>
          </w:p>
          <w:p w:rsidR="00383740" w:rsidRPr="000A30E0" w:rsidRDefault="002C5113" w:rsidP="003A1BD9">
            <w:pPr>
              <w:pStyle w:val="Thead"/>
              <w:rPr>
                <w:rFonts w:ascii="Arial" w:hAnsi="Arial" w:cs="Arial"/>
                <w:sz w:val="19"/>
                <w:szCs w:val="19"/>
              </w:rPr>
            </w:pPr>
            <w:r w:rsidRPr="000A30E0">
              <w:rPr>
                <w:rFonts w:ascii="Arial" w:hAnsi="Arial" w:cs="Arial"/>
                <w:sz w:val="19"/>
                <w:szCs w:val="19"/>
              </w:rPr>
              <w:t>2014</w:t>
            </w:r>
          </w:p>
          <w:p w:rsidR="00383740" w:rsidRPr="000A30E0" w:rsidRDefault="00383740" w:rsidP="003A1BD9">
            <w:pPr>
              <w:pStyle w:val="Thead"/>
              <w:rPr>
                <w:rFonts w:ascii="Arial" w:hAnsi="Arial" w:cs="Arial"/>
                <w:sz w:val="19"/>
                <w:szCs w:val="19"/>
              </w:rPr>
            </w:pPr>
            <w:r w:rsidRPr="000A30E0">
              <w:rPr>
                <w:rFonts w:ascii="Arial" w:hAnsi="Arial" w:cs="Arial"/>
                <w:sz w:val="19"/>
                <w:szCs w:val="19"/>
              </w:rPr>
              <w:t>£000</w:t>
            </w:r>
          </w:p>
        </w:tc>
        <w:tc>
          <w:tcPr>
            <w:tcW w:w="1134" w:type="dxa"/>
          </w:tcPr>
          <w:p w:rsidR="00114071" w:rsidRPr="000A30E0" w:rsidRDefault="00114071" w:rsidP="003A1BD9">
            <w:pPr>
              <w:pStyle w:val="Thead"/>
              <w:rPr>
                <w:rFonts w:ascii="Arial" w:hAnsi="Arial" w:cs="Arial"/>
                <w:sz w:val="19"/>
                <w:szCs w:val="19"/>
              </w:rPr>
            </w:pPr>
            <w:r w:rsidRPr="000A30E0">
              <w:rPr>
                <w:rFonts w:ascii="Arial" w:hAnsi="Arial" w:cs="Arial"/>
                <w:sz w:val="19"/>
                <w:szCs w:val="19"/>
              </w:rPr>
              <w:t>31 March</w:t>
            </w:r>
          </w:p>
          <w:p w:rsidR="00383740" w:rsidRPr="000A30E0" w:rsidRDefault="002C5113" w:rsidP="003A1BD9">
            <w:pPr>
              <w:pStyle w:val="Thead"/>
              <w:rPr>
                <w:rFonts w:ascii="Arial" w:hAnsi="Arial" w:cs="Arial"/>
                <w:sz w:val="19"/>
                <w:szCs w:val="19"/>
              </w:rPr>
            </w:pPr>
            <w:r w:rsidRPr="000A30E0">
              <w:rPr>
                <w:rFonts w:ascii="Arial" w:hAnsi="Arial" w:cs="Arial"/>
                <w:sz w:val="19"/>
                <w:szCs w:val="19"/>
              </w:rPr>
              <w:t>2013</w:t>
            </w:r>
          </w:p>
          <w:p w:rsidR="00383740" w:rsidRPr="000A30E0" w:rsidRDefault="00383740" w:rsidP="003A1BD9">
            <w:pPr>
              <w:pStyle w:val="Thead"/>
              <w:rPr>
                <w:rFonts w:ascii="Arial" w:hAnsi="Arial" w:cs="Arial"/>
                <w:sz w:val="19"/>
                <w:szCs w:val="19"/>
              </w:rPr>
            </w:pPr>
            <w:r w:rsidRPr="000A30E0">
              <w:rPr>
                <w:rFonts w:ascii="Arial" w:hAnsi="Arial" w:cs="Arial"/>
                <w:sz w:val="19"/>
                <w:szCs w:val="19"/>
              </w:rPr>
              <w:t>£000</w:t>
            </w:r>
          </w:p>
        </w:tc>
        <w:tc>
          <w:tcPr>
            <w:tcW w:w="1134" w:type="dxa"/>
          </w:tcPr>
          <w:p w:rsidR="00114071" w:rsidRPr="000A30E0" w:rsidRDefault="00114071" w:rsidP="003A1BD9">
            <w:pPr>
              <w:pStyle w:val="Thead"/>
              <w:rPr>
                <w:rFonts w:ascii="Arial" w:hAnsi="Arial" w:cs="Arial"/>
                <w:sz w:val="19"/>
                <w:szCs w:val="19"/>
              </w:rPr>
            </w:pPr>
            <w:r w:rsidRPr="000A30E0">
              <w:rPr>
                <w:rFonts w:ascii="Arial" w:hAnsi="Arial" w:cs="Arial"/>
                <w:sz w:val="19"/>
                <w:szCs w:val="19"/>
              </w:rPr>
              <w:t>31 March</w:t>
            </w:r>
          </w:p>
          <w:p w:rsidR="00383740" w:rsidRPr="000A30E0" w:rsidRDefault="002C5113" w:rsidP="003A1BD9">
            <w:pPr>
              <w:pStyle w:val="Thead"/>
              <w:rPr>
                <w:rFonts w:ascii="Arial" w:hAnsi="Arial" w:cs="Arial"/>
                <w:sz w:val="19"/>
                <w:szCs w:val="19"/>
              </w:rPr>
            </w:pPr>
            <w:r w:rsidRPr="000A30E0">
              <w:rPr>
                <w:rFonts w:ascii="Arial" w:hAnsi="Arial" w:cs="Arial"/>
                <w:sz w:val="19"/>
                <w:szCs w:val="19"/>
              </w:rPr>
              <w:t>2012</w:t>
            </w:r>
          </w:p>
          <w:p w:rsidR="00383740" w:rsidRPr="000A30E0" w:rsidRDefault="00383740" w:rsidP="003A1BD9">
            <w:pPr>
              <w:pStyle w:val="Thead"/>
              <w:rPr>
                <w:rFonts w:ascii="Arial" w:hAnsi="Arial" w:cs="Arial"/>
                <w:sz w:val="19"/>
                <w:szCs w:val="19"/>
              </w:rPr>
            </w:pPr>
            <w:r w:rsidRPr="000A30E0">
              <w:rPr>
                <w:rFonts w:ascii="Arial" w:hAnsi="Arial" w:cs="Arial"/>
                <w:sz w:val="19"/>
                <w:szCs w:val="19"/>
              </w:rPr>
              <w:t>£000</w:t>
            </w:r>
          </w:p>
        </w:tc>
        <w:tc>
          <w:tcPr>
            <w:tcW w:w="1134" w:type="dxa"/>
          </w:tcPr>
          <w:p w:rsidR="00114071" w:rsidRPr="000A30E0" w:rsidRDefault="00114071" w:rsidP="003A1BD9">
            <w:pPr>
              <w:pStyle w:val="Thead"/>
              <w:rPr>
                <w:rFonts w:ascii="Arial" w:hAnsi="Arial" w:cs="Arial"/>
                <w:sz w:val="19"/>
                <w:szCs w:val="19"/>
              </w:rPr>
            </w:pPr>
            <w:r w:rsidRPr="000A30E0">
              <w:rPr>
                <w:rFonts w:ascii="Arial" w:hAnsi="Arial" w:cs="Arial"/>
                <w:sz w:val="19"/>
                <w:szCs w:val="19"/>
              </w:rPr>
              <w:t>31 March</w:t>
            </w:r>
          </w:p>
          <w:p w:rsidR="00383740" w:rsidRPr="000A30E0" w:rsidRDefault="002C5113" w:rsidP="003A1BD9">
            <w:pPr>
              <w:pStyle w:val="Thead"/>
              <w:rPr>
                <w:rFonts w:ascii="Arial" w:hAnsi="Arial" w:cs="Arial"/>
                <w:sz w:val="19"/>
                <w:szCs w:val="19"/>
              </w:rPr>
            </w:pPr>
            <w:r w:rsidRPr="000A30E0">
              <w:rPr>
                <w:rFonts w:ascii="Arial" w:hAnsi="Arial" w:cs="Arial"/>
                <w:sz w:val="19"/>
                <w:szCs w:val="19"/>
              </w:rPr>
              <w:t>2011</w:t>
            </w:r>
          </w:p>
          <w:p w:rsidR="00383740" w:rsidRPr="000A30E0" w:rsidRDefault="00383740" w:rsidP="003A1BD9">
            <w:pPr>
              <w:pStyle w:val="Thead"/>
              <w:rPr>
                <w:rFonts w:ascii="Arial" w:hAnsi="Arial" w:cs="Arial"/>
                <w:sz w:val="19"/>
                <w:szCs w:val="19"/>
              </w:rPr>
            </w:pPr>
            <w:r w:rsidRPr="000A30E0">
              <w:rPr>
                <w:rFonts w:ascii="Arial" w:hAnsi="Arial" w:cs="Arial"/>
                <w:sz w:val="19"/>
                <w:szCs w:val="19"/>
              </w:rPr>
              <w:t>£000</w:t>
            </w:r>
          </w:p>
        </w:tc>
      </w:tr>
      <w:tr w:rsidR="00383740" w:rsidRPr="000A30E0" w:rsidTr="00383740">
        <w:trPr>
          <w:cantSplit/>
        </w:trPr>
        <w:tc>
          <w:tcPr>
            <w:tcW w:w="3828" w:type="dxa"/>
          </w:tcPr>
          <w:p w:rsidR="00383740" w:rsidRPr="000A30E0" w:rsidRDefault="00383740" w:rsidP="003A1BD9">
            <w:pPr>
              <w:pStyle w:val="B0"/>
              <w:spacing w:line="240" w:lineRule="auto"/>
              <w:rPr>
                <w:rFonts w:ascii="Arial" w:hAnsi="Arial" w:cs="Arial"/>
                <w:sz w:val="19"/>
                <w:szCs w:val="19"/>
              </w:rPr>
            </w:pPr>
          </w:p>
        </w:tc>
        <w:tc>
          <w:tcPr>
            <w:tcW w:w="1134" w:type="dxa"/>
            <w:gridSpan w:val="2"/>
          </w:tcPr>
          <w:p w:rsidR="00383740" w:rsidRPr="000A30E0" w:rsidRDefault="00383740" w:rsidP="003A1BD9">
            <w:pPr>
              <w:pStyle w:val="B0"/>
              <w:spacing w:line="240" w:lineRule="auto"/>
              <w:rPr>
                <w:rFonts w:ascii="Arial" w:hAnsi="Arial" w:cs="Arial"/>
                <w:sz w:val="19"/>
                <w:szCs w:val="19"/>
              </w:rPr>
            </w:pPr>
          </w:p>
        </w:tc>
        <w:tc>
          <w:tcPr>
            <w:tcW w:w="1134" w:type="dxa"/>
          </w:tcPr>
          <w:p w:rsidR="00383740" w:rsidRPr="000A30E0" w:rsidRDefault="00383740" w:rsidP="003A1BD9">
            <w:pPr>
              <w:pStyle w:val="B0"/>
              <w:spacing w:line="240" w:lineRule="auto"/>
              <w:rPr>
                <w:rFonts w:ascii="Arial" w:hAnsi="Arial" w:cs="Arial"/>
                <w:sz w:val="19"/>
                <w:szCs w:val="19"/>
              </w:rPr>
            </w:pPr>
          </w:p>
        </w:tc>
        <w:tc>
          <w:tcPr>
            <w:tcW w:w="1134" w:type="dxa"/>
          </w:tcPr>
          <w:p w:rsidR="00383740" w:rsidRPr="000A30E0" w:rsidRDefault="00383740" w:rsidP="003A1BD9">
            <w:pPr>
              <w:pStyle w:val="B0"/>
              <w:spacing w:line="240" w:lineRule="auto"/>
              <w:rPr>
                <w:rFonts w:ascii="Arial" w:hAnsi="Arial" w:cs="Arial"/>
                <w:sz w:val="19"/>
                <w:szCs w:val="19"/>
              </w:rPr>
            </w:pPr>
          </w:p>
        </w:tc>
        <w:tc>
          <w:tcPr>
            <w:tcW w:w="1134" w:type="dxa"/>
          </w:tcPr>
          <w:p w:rsidR="00383740" w:rsidRPr="000A30E0" w:rsidRDefault="00383740" w:rsidP="003A1BD9">
            <w:pPr>
              <w:pStyle w:val="B0"/>
              <w:spacing w:line="240" w:lineRule="auto"/>
              <w:rPr>
                <w:rFonts w:ascii="Arial" w:hAnsi="Arial" w:cs="Arial"/>
                <w:sz w:val="19"/>
                <w:szCs w:val="19"/>
              </w:rPr>
            </w:pPr>
          </w:p>
        </w:tc>
        <w:tc>
          <w:tcPr>
            <w:tcW w:w="1134" w:type="dxa"/>
          </w:tcPr>
          <w:p w:rsidR="00383740" w:rsidRPr="000A30E0" w:rsidRDefault="00383740" w:rsidP="003A1BD9">
            <w:pPr>
              <w:pStyle w:val="B0"/>
              <w:spacing w:line="240" w:lineRule="auto"/>
              <w:rPr>
                <w:rFonts w:ascii="Arial" w:hAnsi="Arial" w:cs="Arial"/>
                <w:sz w:val="19"/>
                <w:szCs w:val="19"/>
              </w:rPr>
            </w:pPr>
          </w:p>
        </w:tc>
      </w:tr>
      <w:tr w:rsidR="00383740" w:rsidRPr="000A30E0" w:rsidTr="00383740">
        <w:trPr>
          <w:cantSplit/>
        </w:trPr>
        <w:tc>
          <w:tcPr>
            <w:tcW w:w="3856" w:type="dxa"/>
            <w:gridSpan w:val="2"/>
          </w:tcPr>
          <w:p w:rsidR="00383740" w:rsidRPr="000A30E0" w:rsidRDefault="00383740" w:rsidP="003A1BD9">
            <w:pPr>
              <w:pStyle w:val="Tindent"/>
              <w:rPr>
                <w:rFonts w:ascii="Arial" w:hAnsi="Arial" w:cs="Arial"/>
                <w:sz w:val="19"/>
                <w:szCs w:val="19"/>
              </w:rPr>
            </w:pPr>
            <w:r w:rsidRPr="000A30E0">
              <w:rPr>
                <w:rFonts w:ascii="Arial" w:hAnsi="Arial" w:cs="Arial"/>
                <w:sz w:val="19"/>
                <w:szCs w:val="19"/>
              </w:rPr>
              <w:t>Present value of scheme liabilities</w:t>
            </w:r>
          </w:p>
        </w:tc>
        <w:tc>
          <w:tcPr>
            <w:tcW w:w="1106" w:type="dxa"/>
          </w:tcPr>
          <w:p w:rsidR="00383740" w:rsidRPr="000A30E0" w:rsidRDefault="000A30E0" w:rsidP="003A1BD9">
            <w:pPr>
              <w:pStyle w:val="Tdec"/>
              <w:rPr>
                <w:rFonts w:ascii="Arial" w:hAnsi="Arial" w:cs="Arial"/>
                <w:sz w:val="19"/>
                <w:szCs w:val="19"/>
              </w:rPr>
            </w:pPr>
            <w:r w:rsidRPr="000A30E0">
              <w:rPr>
                <w:rFonts w:ascii="Arial" w:hAnsi="Arial" w:cs="Arial"/>
                <w:sz w:val="19"/>
                <w:szCs w:val="19"/>
              </w:rPr>
              <w:t>(35,910</w:t>
            </w:r>
            <w:r w:rsidR="00E412F1" w:rsidRPr="000A30E0">
              <w:rPr>
                <w:rFonts w:ascii="Arial" w:hAnsi="Arial" w:cs="Arial"/>
                <w:sz w:val="19"/>
                <w:szCs w:val="19"/>
              </w:rPr>
              <w:t>)</w:t>
            </w:r>
          </w:p>
        </w:tc>
        <w:tc>
          <w:tcPr>
            <w:tcW w:w="1134" w:type="dxa"/>
          </w:tcPr>
          <w:p w:rsidR="00383740" w:rsidRPr="000A30E0" w:rsidRDefault="002C5113" w:rsidP="003A1BD9">
            <w:pPr>
              <w:pStyle w:val="Tdec"/>
              <w:rPr>
                <w:rFonts w:ascii="Arial" w:hAnsi="Arial" w:cs="Arial"/>
                <w:sz w:val="19"/>
                <w:szCs w:val="19"/>
              </w:rPr>
            </w:pPr>
            <w:r w:rsidRPr="000A30E0">
              <w:rPr>
                <w:rFonts w:ascii="Arial" w:hAnsi="Arial" w:cs="Arial"/>
                <w:sz w:val="19"/>
                <w:szCs w:val="19"/>
              </w:rPr>
              <w:t>(30,020</w:t>
            </w:r>
            <w:r w:rsidR="00383740" w:rsidRPr="000A30E0">
              <w:rPr>
                <w:rFonts w:ascii="Arial" w:hAnsi="Arial" w:cs="Arial"/>
                <w:sz w:val="19"/>
                <w:szCs w:val="19"/>
              </w:rPr>
              <w:t>)</w:t>
            </w:r>
          </w:p>
        </w:tc>
        <w:tc>
          <w:tcPr>
            <w:tcW w:w="1134" w:type="dxa"/>
          </w:tcPr>
          <w:p w:rsidR="00383740" w:rsidRPr="000A30E0" w:rsidRDefault="002C5113" w:rsidP="003A1BD9">
            <w:pPr>
              <w:pStyle w:val="Tdec"/>
              <w:rPr>
                <w:rFonts w:ascii="Arial" w:hAnsi="Arial" w:cs="Arial"/>
                <w:sz w:val="19"/>
                <w:szCs w:val="19"/>
              </w:rPr>
            </w:pPr>
            <w:r w:rsidRPr="000A30E0">
              <w:rPr>
                <w:rFonts w:ascii="Arial" w:hAnsi="Arial" w:cs="Arial"/>
                <w:sz w:val="19"/>
                <w:szCs w:val="19"/>
              </w:rPr>
              <w:t>(32,110</w:t>
            </w:r>
            <w:r w:rsidR="00383740" w:rsidRPr="000A30E0">
              <w:rPr>
                <w:rFonts w:ascii="Arial" w:hAnsi="Arial" w:cs="Arial"/>
                <w:sz w:val="19"/>
                <w:szCs w:val="19"/>
              </w:rPr>
              <w:t>)</w:t>
            </w:r>
          </w:p>
        </w:tc>
        <w:tc>
          <w:tcPr>
            <w:tcW w:w="1134" w:type="dxa"/>
          </w:tcPr>
          <w:p w:rsidR="00383740" w:rsidRPr="000A30E0" w:rsidRDefault="002C5113" w:rsidP="003A1BD9">
            <w:pPr>
              <w:pStyle w:val="Tdec"/>
              <w:rPr>
                <w:rFonts w:ascii="Arial" w:hAnsi="Arial" w:cs="Arial"/>
                <w:sz w:val="19"/>
                <w:szCs w:val="19"/>
              </w:rPr>
            </w:pPr>
            <w:r w:rsidRPr="000A30E0">
              <w:rPr>
                <w:rFonts w:ascii="Arial" w:hAnsi="Arial" w:cs="Arial"/>
                <w:sz w:val="19"/>
                <w:szCs w:val="19"/>
              </w:rPr>
              <w:t>(27,990</w:t>
            </w:r>
            <w:r w:rsidR="00383740" w:rsidRPr="000A30E0">
              <w:rPr>
                <w:rFonts w:ascii="Arial" w:hAnsi="Arial" w:cs="Arial"/>
                <w:sz w:val="19"/>
                <w:szCs w:val="19"/>
              </w:rPr>
              <w:t>)</w:t>
            </w:r>
          </w:p>
        </w:tc>
        <w:tc>
          <w:tcPr>
            <w:tcW w:w="1134" w:type="dxa"/>
          </w:tcPr>
          <w:p w:rsidR="00383740" w:rsidRPr="000A30E0" w:rsidRDefault="002C5113" w:rsidP="003A1BD9">
            <w:pPr>
              <w:pStyle w:val="Tdec"/>
              <w:rPr>
                <w:rFonts w:ascii="Arial" w:hAnsi="Arial" w:cs="Arial"/>
                <w:sz w:val="19"/>
                <w:szCs w:val="19"/>
              </w:rPr>
            </w:pPr>
            <w:r w:rsidRPr="000A30E0">
              <w:rPr>
                <w:rFonts w:ascii="Arial" w:hAnsi="Arial" w:cs="Arial"/>
                <w:sz w:val="19"/>
                <w:szCs w:val="19"/>
              </w:rPr>
              <w:t>(24,350</w:t>
            </w:r>
            <w:r w:rsidR="00383740" w:rsidRPr="000A30E0">
              <w:rPr>
                <w:rFonts w:ascii="Arial" w:hAnsi="Arial" w:cs="Arial"/>
                <w:sz w:val="19"/>
                <w:szCs w:val="19"/>
              </w:rPr>
              <w:t>)</w:t>
            </w:r>
          </w:p>
        </w:tc>
      </w:tr>
      <w:tr w:rsidR="00383740" w:rsidRPr="000A30E0" w:rsidTr="00383740">
        <w:trPr>
          <w:cantSplit/>
        </w:trPr>
        <w:tc>
          <w:tcPr>
            <w:tcW w:w="3856" w:type="dxa"/>
            <w:gridSpan w:val="2"/>
          </w:tcPr>
          <w:p w:rsidR="00383740" w:rsidRPr="000A30E0" w:rsidRDefault="00383740" w:rsidP="003A1BD9">
            <w:pPr>
              <w:pStyle w:val="Tindent"/>
              <w:rPr>
                <w:rFonts w:ascii="Arial" w:hAnsi="Arial" w:cs="Arial"/>
                <w:sz w:val="19"/>
                <w:szCs w:val="19"/>
              </w:rPr>
            </w:pPr>
            <w:r w:rsidRPr="000A30E0">
              <w:rPr>
                <w:rFonts w:ascii="Arial" w:hAnsi="Arial" w:cs="Arial"/>
                <w:sz w:val="19"/>
                <w:szCs w:val="19"/>
              </w:rPr>
              <w:t>Fair values of scheme assets</w:t>
            </w:r>
          </w:p>
        </w:tc>
        <w:tc>
          <w:tcPr>
            <w:tcW w:w="1106" w:type="dxa"/>
          </w:tcPr>
          <w:p w:rsidR="00383740" w:rsidRPr="000A30E0" w:rsidRDefault="00E412F1" w:rsidP="003A1BD9">
            <w:pPr>
              <w:pStyle w:val="Tdec"/>
              <w:rPr>
                <w:rFonts w:ascii="Arial" w:hAnsi="Arial" w:cs="Arial"/>
                <w:sz w:val="19"/>
                <w:szCs w:val="19"/>
              </w:rPr>
            </w:pPr>
            <w:r w:rsidRPr="000A30E0">
              <w:rPr>
                <w:rFonts w:ascii="Arial" w:hAnsi="Arial" w:cs="Arial"/>
                <w:sz w:val="19"/>
                <w:szCs w:val="19"/>
              </w:rPr>
              <w:t>2</w:t>
            </w:r>
            <w:r w:rsidR="000A30E0" w:rsidRPr="000A30E0">
              <w:rPr>
                <w:rFonts w:ascii="Arial" w:hAnsi="Arial" w:cs="Arial"/>
                <w:sz w:val="19"/>
                <w:szCs w:val="19"/>
              </w:rPr>
              <w:t>8,830</w:t>
            </w:r>
          </w:p>
        </w:tc>
        <w:tc>
          <w:tcPr>
            <w:tcW w:w="1134" w:type="dxa"/>
          </w:tcPr>
          <w:p w:rsidR="00383740" w:rsidRPr="000A30E0" w:rsidRDefault="002C5113" w:rsidP="003A1BD9">
            <w:pPr>
              <w:pStyle w:val="Tdec"/>
              <w:rPr>
                <w:rFonts w:ascii="Arial" w:hAnsi="Arial" w:cs="Arial"/>
                <w:sz w:val="19"/>
                <w:szCs w:val="19"/>
              </w:rPr>
            </w:pPr>
            <w:r w:rsidRPr="000A30E0">
              <w:rPr>
                <w:rFonts w:ascii="Arial" w:hAnsi="Arial" w:cs="Arial"/>
                <w:sz w:val="19"/>
                <w:szCs w:val="19"/>
              </w:rPr>
              <w:t>24,820</w:t>
            </w:r>
          </w:p>
        </w:tc>
        <w:tc>
          <w:tcPr>
            <w:tcW w:w="1134" w:type="dxa"/>
          </w:tcPr>
          <w:p w:rsidR="00383740" w:rsidRPr="000A30E0" w:rsidRDefault="002C5113" w:rsidP="00DE1A52">
            <w:pPr>
              <w:pStyle w:val="Tdec"/>
              <w:rPr>
                <w:rFonts w:ascii="Arial" w:hAnsi="Arial" w:cs="Arial"/>
                <w:sz w:val="19"/>
                <w:szCs w:val="19"/>
              </w:rPr>
            </w:pPr>
            <w:r w:rsidRPr="000A30E0">
              <w:rPr>
                <w:rFonts w:ascii="Arial" w:hAnsi="Arial" w:cs="Arial"/>
                <w:sz w:val="19"/>
                <w:szCs w:val="19"/>
              </w:rPr>
              <w:t>23,720</w:t>
            </w:r>
          </w:p>
        </w:tc>
        <w:tc>
          <w:tcPr>
            <w:tcW w:w="1134" w:type="dxa"/>
          </w:tcPr>
          <w:p w:rsidR="00383740" w:rsidRPr="000A30E0" w:rsidRDefault="002C5113" w:rsidP="003A1BD9">
            <w:pPr>
              <w:pStyle w:val="Tdec"/>
              <w:rPr>
                <w:rFonts w:ascii="Arial" w:hAnsi="Arial" w:cs="Arial"/>
                <w:sz w:val="19"/>
                <w:szCs w:val="19"/>
              </w:rPr>
            </w:pPr>
            <w:r w:rsidRPr="000A30E0">
              <w:rPr>
                <w:rFonts w:ascii="Arial" w:hAnsi="Arial" w:cs="Arial"/>
                <w:sz w:val="19"/>
                <w:szCs w:val="19"/>
              </w:rPr>
              <w:t>19,620</w:t>
            </w:r>
          </w:p>
        </w:tc>
        <w:tc>
          <w:tcPr>
            <w:tcW w:w="1134" w:type="dxa"/>
          </w:tcPr>
          <w:p w:rsidR="00383740" w:rsidRPr="000A30E0" w:rsidRDefault="00383740" w:rsidP="003A1BD9">
            <w:pPr>
              <w:pStyle w:val="Tdec"/>
              <w:rPr>
                <w:rFonts w:ascii="Arial" w:hAnsi="Arial" w:cs="Arial"/>
                <w:sz w:val="19"/>
                <w:szCs w:val="19"/>
              </w:rPr>
            </w:pPr>
            <w:r w:rsidRPr="000A30E0">
              <w:rPr>
                <w:rFonts w:ascii="Arial" w:hAnsi="Arial" w:cs="Arial"/>
                <w:sz w:val="19"/>
                <w:szCs w:val="19"/>
              </w:rPr>
              <w:t>1</w:t>
            </w:r>
            <w:r w:rsidR="002C5113" w:rsidRPr="000A30E0">
              <w:rPr>
                <w:rFonts w:ascii="Arial" w:hAnsi="Arial" w:cs="Arial"/>
                <w:sz w:val="19"/>
                <w:szCs w:val="19"/>
              </w:rPr>
              <w:t>8,290</w:t>
            </w:r>
          </w:p>
        </w:tc>
      </w:tr>
      <w:tr w:rsidR="00383740" w:rsidRPr="000A30E0" w:rsidTr="00383740">
        <w:trPr>
          <w:cantSplit/>
        </w:trPr>
        <w:tc>
          <w:tcPr>
            <w:tcW w:w="3856" w:type="dxa"/>
            <w:gridSpan w:val="2"/>
          </w:tcPr>
          <w:p w:rsidR="00383740" w:rsidRPr="000A30E0" w:rsidRDefault="00383740" w:rsidP="003A1BD9">
            <w:pPr>
              <w:pStyle w:val="Tindent"/>
              <w:rPr>
                <w:rFonts w:ascii="Arial" w:hAnsi="Arial" w:cs="Arial"/>
                <w:sz w:val="19"/>
                <w:szCs w:val="19"/>
              </w:rPr>
            </w:pPr>
          </w:p>
        </w:tc>
        <w:tc>
          <w:tcPr>
            <w:tcW w:w="1106" w:type="dxa"/>
          </w:tcPr>
          <w:p w:rsidR="00383740" w:rsidRPr="000A30E0" w:rsidRDefault="00383740" w:rsidP="003A1BD9">
            <w:pPr>
              <w:pStyle w:val="S9"/>
              <w:spacing w:line="240" w:lineRule="auto"/>
              <w:rPr>
                <w:rFonts w:ascii="Arial" w:hAnsi="Arial" w:cs="Arial"/>
                <w:sz w:val="19"/>
                <w:szCs w:val="19"/>
              </w:rPr>
            </w:pPr>
          </w:p>
        </w:tc>
        <w:tc>
          <w:tcPr>
            <w:tcW w:w="1134" w:type="dxa"/>
          </w:tcPr>
          <w:p w:rsidR="00383740" w:rsidRPr="000A30E0" w:rsidRDefault="00383740" w:rsidP="003A1BD9">
            <w:pPr>
              <w:pStyle w:val="S9"/>
              <w:spacing w:line="240" w:lineRule="auto"/>
              <w:rPr>
                <w:rFonts w:ascii="Arial" w:hAnsi="Arial" w:cs="Arial"/>
                <w:sz w:val="19"/>
                <w:szCs w:val="19"/>
              </w:rPr>
            </w:pPr>
          </w:p>
        </w:tc>
        <w:tc>
          <w:tcPr>
            <w:tcW w:w="1134" w:type="dxa"/>
          </w:tcPr>
          <w:p w:rsidR="00383740" w:rsidRPr="000A30E0" w:rsidRDefault="00383740" w:rsidP="003A1BD9">
            <w:pPr>
              <w:pStyle w:val="S9"/>
              <w:spacing w:line="240" w:lineRule="auto"/>
              <w:rPr>
                <w:rFonts w:ascii="Arial" w:hAnsi="Arial" w:cs="Arial"/>
                <w:sz w:val="19"/>
                <w:szCs w:val="19"/>
              </w:rPr>
            </w:pPr>
          </w:p>
        </w:tc>
        <w:tc>
          <w:tcPr>
            <w:tcW w:w="1134" w:type="dxa"/>
          </w:tcPr>
          <w:p w:rsidR="00383740" w:rsidRPr="000A30E0" w:rsidRDefault="00383740" w:rsidP="003A1BD9">
            <w:pPr>
              <w:pStyle w:val="S9"/>
              <w:spacing w:line="240" w:lineRule="auto"/>
              <w:rPr>
                <w:rFonts w:ascii="Arial" w:hAnsi="Arial" w:cs="Arial"/>
                <w:sz w:val="19"/>
                <w:szCs w:val="19"/>
              </w:rPr>
            </w:pPr>
          </w:p>
        </w:tc>
        <w:tc>
          <w:tcPr>
            <w:tcW w:w="1134" w:type="dxa"/>
          </w:tcPr>
          <w:p w:rsidR="00383740" w:rsidRPr="000A30E0" w:rsidRDefault="00383740" w:rsidP="003A1BD9">
            <w:pPr>
              <w:pStyle w:val="S9"/>
              <w:spacing w:line="240" w:lineRule="auto"/>
              <w:rPr>
                <w:rFonts w:ascii="Arial" w:hAnsi="Arial" w:cs="Arial"/>
                <w:sz w:val="19"/>
                <w:szCs w:val="19"/>
              </w:rPr>
            </w:pPr>
          </w:p>
        </w:tc>
      </w:tr>
      <w:tr w:rsidR="00383740" w:rsidRPr="000A30E0" w:rsidTr="00383740">
        <w:trPr>
          <w:cantSplit/>
        </w:trPr>
        <w:tc>
          <w:tcPr>
            <w:tcW w:w="3856" w:type="dxa"/>
            <w:gridSpan w:val="2"/>
          </w:tcPr>
          <w:p w:rsidR="00383740" w:rsidRPr="000A30E0" w:rsidRDefault="00383740" w:rsidP="003A1BD9">
            <w:pPr>
              <w:pStyle w:val="Tindent"/>
              <w:rPr>
                <w:rFonts w:ascii="Arial" w:hAnsi="Arial" w:cs="Arial"/>
                <w:sz w:val="19"/>
                <w:szCs w:val="19"/>
              </w:rPr>
            </w:pPr>
            <w:r w:rsidRPr="000A30E0">
              <w:rPr>
                <w:rFonts w:ascii="Arial" w:hAnsi="Arial" w:cs="Arial"/>
                <w:sz w:val="19"/>
                <w:szCs w:val="19"/>
              </w:rPr>
              <w:t>Deficit</w:t>
            </w:r>
          </w:p>
        </w:tc>
        <w:tc>
          <w:tcPr>
            <w:tcW w:w="1106" w:type="dxa"/>
          </w:tcPr>
          <w:p w:rsidR="00383740" w:rsidRPr="000A30E0" w:rsidRDefault="000A30E0" w:rsidP="003A1BD9">
            <w:pPr>
              <w:pStyle w:val="Tdec"/>
              <w:rPr>
                <w:rFonts w:ascii="Arial" w:hAnsi="Arial" w:cs="Arial"/>
                <w:sz w:val="19"/>
                <w:szCs w:val="19"/>
              </w:rPr>
            </w:pPr>
            <w:r w:rsidRPr="000A30E0">
              <w:rPr>
                <w:rFonts w:ascii="Arial" w:hAnsi="Arial" w:cs="Arial"/>
                <w:sz w:val="19"/>
                <w:szCs w:val="19"/>
              </w:rPr>
              <w:t>(7,080</w:t>
            </w:r>
            <w:r w:rsidR="00E412F1" w:rsidRPr="000A30E0">
              <w:rPr>
                <w:rFonts w:ascii="Arial" w:hAnsi="Arial" w:cs="Arial"/>
                <w:sz w:val="19"/>
                <w:szCs w:val="19"/>
              </w:rPr>
              <w:t>)</w:t>
            </w:r>
          </w:p>
        </w:tc>
        <w:tc>
          <w:tcPr>
            <w:tcW w:w="1134" w:type="dxa"/>
          </w:tcPr>
          <w:p w:rsidR="00383740" w:rsidRPr="000A30E0" w:rsidRDefault="002C5113" w:rsidP="003A1BD9">
            <w:pPr>
              <w:pStyle w:val="Tdec"/>
              <w:rPr>
                <w:rFonts w:ascii="Arial" w:hAnsi="Arial" w:cs="Arial"/>
                <w:sz w:val="19"/>
                <w:szCs w:val="19"/>
              </w:rPr>
            </w:pPr>
            <w:r w:rsidRPr="000A30E0">
              <w:rPr>
                <w:rFonts w:ascii="Arial" w:hAnsi="Arial" w:cs="Arial"/>
                <w:sz w:val="19"/>
                <w:szCs w:val="19"/>
              </w:rPr>
              <w:t>(5,200</w:t>
            </w:r>
            <w:r w:rsidR="00383740" w:rsidRPr="000A30E0">
              <w:rPr>
                <w:rFonts w:ascii="Arial" w:hAnsi="Arial" w:cs="Arial"/>
                <w:sz w:val="19"/>
                <w:szCs w:val="19"/>
              </w:rPr>
              <w:t>)</w:t>
            </w:r>
          </w:p>
        </w:tc>
        <w:tc>
          <w:tcPr>
            <w:tcW w:w="1134" w:type="dxa"/>
          </w:tcPr>
          <w:p w:rsidR="00383740" w:rsidRPr="000A30E0" w:rsidRDefault="002C5113" w:rsidP="003A1BD9">
            <w:pPr>
              <w:pStyle w:val="Tdec"/>
              <w:rPr>
                <w:rFonts w:ascii="Arial" w:hAnsi="Arial" w:cs="Arial"/>
                <w:sz w:val="19"/>
                <w:szCs w:val="19"/>
              </w:rPr>
            </w:pPr>
            <w:r w:rsidRPr="000A30E0">
              <w:rPr>
                <w:rFonts w:ascii="Arial" w:hAnsi="Arial" w:cs="Arial"/>
                <w:sz w:val="19"/>
                <w:szCs w:val="19"/>
              </w:rPr>
              <w:t>(8,390</w:t>
            </w:r>
            <w:r w:rsidR="00383740" w:rsidRPr="000A30E0">
              <w:rPr>
                <w:rFonts w:ascii="Arial" w:hAnsi="Arial" w:cs="Arial"/>
                <w:sz w:val="19"/>
                <w:szCs w:val="19"/>
              </w:rPr>
              <w:t>)</w:t>
            </w:r>
          </w:p>
        </w:tc>
        <w:tc>
          <w:tcPr>
            <w:tcW w:w="1134" w:type="dxa"/>
          </w:tcPr>
          <w:p w:rsidR="00383740" w:rsidRPr="000A30E0" w:rsidRDefault="002C5113" w:rsidP="003A1BD9">
            <w:pPr>
              <w:pStyle w:val="Tdec"/>
              <w:rPr>
                <w:rFonts w:ascii="Arial" w:hAnsi="Arial" w:cs="Arial"/>
                <w:sz w:val="19"/>
                <w:szCs w:val="19"/>
              </w:rPr>
            </w:pPr>
            <w:r w:rsidRPr="000A30E0">
              <w:rPr>
                <w:rFonts w:ascii="Arial" w:hAnsi="Arial" w:cs="Arial"/>
                <w:sz w:val="19"/>
                <w:szCs w:val="19"/>
              </w:rPr>
              <w:t>(8,370</w:t>
            </w:r>
            <w:r w:rsidR="00383740" w:rsidRPr="000A30E0">
              <w:rPr>
                <w:rFonts w:ascii="Arial" w:hAnsi="Arial" w:cs="Arial"/>
                <w:sz w:val="19"/>
                <w:szCs w:val="19"/>
              </w:rPr>
              <w:t>)</w:t>
            </w:r>
          </w:p>
        </w:tc>
        <w:tc>
          <w:tcPr>
            <w:tcW w:w="1134" w:type="dxa"/>
          </w:tcPr>
          <w:p w:rsidR="00383740" w:rsidRPr="000A30E0" w:rsidRDefault="002C5113" w:rsidP="003A1BD9">
            <w:pPr>
              <w:pStyle w:val="Tdec"/>
              <w:rPr>
                <w:rFonts w:ascii="Arial" w:hAnsi="Arial" w:cs="Arial"/>
                <w:sz w:val="19"/>
                <w:szCs w:val="19"/>
              </w:rPr>
            </w:pPr>
            <w:r w:rsidRPr="000A30E0">
              <w:rPr>
                <w:rFonts w:ascii="Arial" w:hAnsi="Arial" w:cs="Arial"/>
                <w:sz w:val="19"/>
                <w:szCs w:val="19"/>
              </w:rPr>
              <w:t>(6,060</w:t>
            </w:r>
            <w:r w:rsidR="00383740" w:rsidRPr="000A30E0">
              <w:rPr>
                <w:rFonts w:ascii="Arial" w:hAnsi="Arial" w:cs="Arial"/>
                <w:sz w:val="19"/>
                <w:szCs w:val="19"/>
              </w:rPr>
              <w:t>)</w:t>
            </w:r>
          </w:p>
        </w:tc>
      </w:tr>
      <w:tr w:rsidR="00383740" w:rsidRPr="000A30E0" w:rsidTr="00383740">
        <w:trPr>
          <w:cantSplit/>
        </w:trPr>
        <w:tc>
          <w:tcPr>
            <w:tcW w:w="3856" w:type="dxa"/>
            <w:gridSpan w:val="2"/>
          </w:tcPr>
          <w:p w:rsidR="00383740" w:rsidRPr="000A30E0" w:rsidRDefault="00383740" w:rsidP="003A1BD9">
            <w:pPr>
              <w:pStyle w:val="Tindent"/>
              <w:rPr>
                <w:rFonts w:ascii="Arial" w:hAnsi="Arial" w:cs="Arial"/>
                <w:sz w:val="19"/>
                <w:szCs w:val="19"/>
              </w:rPr>
            </w:pPr>
          </w:p>
        </w:tc>
        <w:tc>
          <w:tcPr>
            <w:tcW w:w="1106" w:type="dxa"/>
          </w:tcPr>
          <w:p w:rsidR="00383740" w:rsidRPr="000A30E0" w:rsidRDefault="00383740" w:rsidP="003A1BD9">
            <w:pPr>
              <w:pStyle w:val="D9"/>
              <w:spacing w:line="240" w:lineRule="auto"/>
              <w:rPr>
                <w:rFonts w:ascii="Arial" w:hAnsi="Arial" w:cs="Arial"/>
                <w:sz w:val="19"/>
                <w:szCs w:val="19"/>
              </w:rPr>
            </w:pPr>
          </w:p>
        </w:tc>
        <w:tc>
          <w:tcPr>
            <w:tcW w:w="1134" w:type="dxa"/>
          </w:tcPr>
          <w:p w:rsidR="00383740" w:rsidRPr="000A30E0" w:rsidRDefault="00383740" w:rsidP="003A1BD9">
            <w:pPr>
              <w:pStyle w:val="D9"/>
              <w:spacing w:line="240" w:lineRule="auto"/>
              <w:rPr>
                <w:rFonts w:ascii="Arial" w:hAnsi="Arial" w:cs="Arial"/>
                <w:sz w:val="19"/>
                <w:szCs w:val="19"/>
              </w:rPr>
            </w:pPr>
          </w:p>
        </w:tc>
        <w:tc>
          <w:tcPr>
            <w:tcW w:w="1134" w:type="dxa"/>
          </w:tcPr>
          <w:p w:rsidR="00383740" w:rsidRPr="000A30E0" w:rsidRDefault="00383740" w:rsidP="003A1BD9">
            <w:pPr>
              <w:pStyle w:val="D9"/>
              <w:spacing w:line="240" w:lineRule="auto"/>
              <w:rPr>
                <w:rFonts w:ascii="Arial" w:hAnsi="Arial" w:cs="Arial"/>
                <w:sz w:val="19"/>
                <w:szCs w:val="19"/>
              </w:rPr>
            </w:pPr>
          </w:p>
        </w:tc>
        <w:tc>
          <w:tcPr>
            <w:tcW w:w="1134" w:type="dxa"/>
          </w:tcPr>
          <w:p w:rsidR="00383740" w:rsidRPr="000A30E0" w:rsidRDefault="00383740" w:rsidP="003A1BD9">
            <w:pPr>
              <w:pStyle w:val="D9"/>
              <w:spacing w:line="240" w:lineRule="auto"/>
              <w:rPr>
                <w:rFonts w:ascii="Arial" w:hAnsi="Arial" w:cs="Arial"/>
                <w:sz w:val="19"/>
                <w:szCs w:val="19"/>
              </w:rPr>
            </w:pPr>
          </w:p>
        </w:tc>
        <w:tc>
          <w:tcPr>
            <w:tcW w:w="1134" w:type="dxa"/>
          </w:tcPr>
          <w:p w:rsidR="00383740" w:rsidRPr="000A30E0" w:rsidRDefault="00383740" w:rsidP="003A1BD9">
            <w:pPr>
              <w:pStyle w:val="D9"/>
              <w:spacing w:line="240" w:lineRule="auto"/>
              <w:rPr>
                <w:rFonts w:ascii="Arial" w:hAnsi="Arial" w:cs="Arial"/>
                <w:sz w:val="19"/>
                <w:szCs w:val="19"/>
              </w:rPr>
            </w:pPr>
          </w:p>
        </w:tc>
      </w:tr>
      <w:tr w:rsidR="00383740" w:rsidRPr="000A30E0" w:rsidTr="00383740">
        <w:trPr>
          <w:cantSplit/>
        </w:trPr>
        <w:tc>
          <w:tcPr>
            <w:tcW w:w="3856" w:type="dxa"/>
            <w:gridSpan w:val="2"/>
          </w:tcPr>
          <w:p w:rsidR="00383740" w:rsidRPr="000A30E0" w:rsidRDefault="00383740" w:rsidP="003A1BD9">
            <w:pPr>
              <w:pStyle w:val="Tindent"/>
              <w:rPr>
                <w:rFonts w:ascii="Arial" w:hAnsi="Arial" w:cs="Arial"/>
                <w:b/>
                <w:sz w:val="19"/>
                <w:szCs w:val="19"/>
              </w:rPr>
            </w:pPr>
            <w:r w:rsidRPr="000A30E0">
              <w:rPr>
                <w:rFonts w:ascii="Arial" w:hAnsi="Arial" w:cs="Arial"/>
                <w:b/>
                <w:sz w:val="19"/>
                <w:szCs w:val="19"/>
              </w:rPr>
              <w:t>Experience adjustments</w:t>
            </w:r>
          </w:p>
        </w:tc>
        <w:tc>
          <w:tcPr>
            <w:tcW w:w="1106" w:type="dxa"/>
          </w:tcPr>
          <w:p w:rsidR="00383740" w:rsidRPr="000A30E0" w:rsidRDefault="00383740" w:rsidP="003A1BD9">
            <w:pPr>
              <w:pStyle w:val="Tdec"/>
              <w:rPr>
                <w:rFonts w:ascii="Arial" w:hAnsi="Arial" w:cs="Arial"/>
                <w:sz w:val="19"/>
                <w:szCs w:val="19"/>
              </w:rPr>
            </w:pPr>
          </w:p>
        </w:tc>
        <w:tc>
          <w:tcPr>
            <w:tcW w:w="1134" w:type="dxa"/>
          </w:tcPr>
          <w:p w:rsidR="00383740" w:rsidRPr="000A30E0" w:rsidRDefault="00383740" w:rsidP="003A1BD9">
            <w:pPr>
              <w:pStyle w:val="Tdec"/>
              <w:rPr>
                <w:rFonts w:ascii="Arial" w:hAnsi="Arial" w:cs="Arial"/>
                <w:sz w:val="19"/>
                <w:szCs w:val="19"/>
              </w:rPr>
            </w:pPr>
          </w:p>
        </w:tc>
        <w:tc>
          <w:tcPr>
            <w:tcW w:w="1134" w:type="dxa"/>
          </w:tcPr>
          <w:p w:rsidR="00383740" w:rsidRPr="000A30E0" w:rsidRDefault="00383740" w:rsidP="003A1BD9">
            <w:pPr>
              <w:pStyle w:val="Tdec"/>
              <w:rPr>
                <w:rFonts w:ascii="Arial" w:hAnsi="Arial" w:cs="Arial"/>
                <w:sz w:val="19"/>
                <w:szCs w:val="19"/>
              </w:rPr>
            </w:pPr>
          </w:p>
        </w:tc>
        <w:tc>
          <w:tcPr>
            <w:tcW w:w="1134" w:type="dxa"/>
          </w:tcPr>
          <w:p w:rsidR="00383740" w:rsidRPr="000A30E0" w:rsidRDefault="00383740" w:rsidP="003A1BD9">
            <w:pPr>
              <w:pStyle w:val="Tdec"/>
              <w:rPr>
                <w:rFonts w:ascii="Arial" w:hAnsi="Arial" w:cs="Arial"/>
                <w:sz w:val="19"/>
                <w:szCs w:val="19"/>
              </w:rPr>
            </w:pPr>
          </w:p>
        </w:tc>
        <w:tc>
          <w:tcPr>
            <w:tcW w:w="1134" w:type="dxa"/>
          </w:tcPr>
          <w:p w:rsidR="00383740" w:rsidRPr="000A30E0" w:rsidRDefault="00383740" w:rsidP="003A1BD9">
            <w:pPr>
              <w:pStyle w:val="Tdec"/>
              <w:rPr>
                <w:rFonts w:ascii="Arial" w:hAnsi="Arial" w:cs="Arial"/>
                <w:sz w:val="19"/>
                <w:szCs w:val="19"/>
              </w:rPr>
            </w:pPr>
          </w:p>
        </w:tc>
      </w:tr>
      <w:tr w:rsidR="00383740" w:rsidRPr="000A30E0" w:rsidTr="00383740">
        <w:trPr>
          <w:cantSplit/>
        </w:trPr>
        <w:tc>
          <w:tcPr>
            <w:tcW w:w="3856" w:type="dxa"/>
            <w:gridSpan w:val="2"/>
          </w:tcPr>
          <w:p w:rsidR="00383740" w:rsidRPr="000A30E0" w:rsidRDefault="00383740" w:rsidP="003A1BD9">
            <w:pPr>
              <w:pStyle w:val="Tindent"/>
              <w:rPr>
                <w:rFonts w:ascii="Arial" w:hAnsi="Arial" w:cs="Arial"/>
                <w:sz w:val="19"/>
                <w:szCs w:val="19"/>
              </w:rPr>
            </w:pPr>
          </w:p>
        </w:tc>
        <w:tc>
          <w:tcPr>
            <w:tcW w:w="1106" w:type="dxa"/>
          </w:tcPr>
          <w:p w:rsidR="00383740" w:rsidRPr="000A30E0" w:rsidRDefault="00383740" w:rsidP="003A1BD9">
            <w:pPr>
              <w:pStyle w:val="Tdec"/>
              <w:rPr>
                <w:rFonts w:ascii="Arial" w:hAnsi="Arial" w:cs="Arial"/>
                <w:sz w:val="19"/>
                <w:szCs w:val="19"/>
              </w:rPr>
            </w:pPr>
          </w:p>
        </w:tc>
        <w:tc>
          <w:tcPr>
            <w:tcW w:w="1134" w:type="dxa"/>
          </w:tcPr>
          <w:p w:rsidR="00383740" w:rsidRPr="000A30E0" w:rsidRDefault="00383740" w:rsidP="003A1BD9">
            <w:pPr>
              <w:pStyle w:val="Tdec"/>
              <w:rPr>
                <w:rFonts w:ascii="Arial" w:hAnsi="Arial" w:cs="Arial"/>
                <w:sz w:val="19"/>
                <w:szCs w:val="19"/>
              </w:rPr>
            </w:pPr>
          </w:p>
        </w:tc>
        <w:tc>
          <w:tcPr>
            <w:tcW w:w="1134" w:type="dxa"/>
          </w:tcPr>
          <w:p w:rsidR="00383740" w:rsidRPr="000A30E0" w:rsidRDefault="00383740" w:rsidP="003A1BD9">
            <w:pPr>
              <w:pStyle w:val="Tdec"/>
              <w:rPr>
                <w:rFonts w:ascii="Arial" w:hAnsi="Arial" w:cs="Arial"/>
                <w:sz w:val="19"/>
                <w:szCs w:val="19"/>
              </w:rPr>
            </w:pPr>
          </w:p>
        </w:tc>
        <w:tc>
          <w:tcPr>
            <w:tcW w:w="1134" w:type="dxa"/>
          </w:tcPr>
          <w:p w:rsidR="00383740" w:rsidRPr="000A30E0" w:rsidRDefault="00383740" w:rsidP="003A1BD9">
            <w:pPr>
              <w:pStyle w:val="Tdec"/>
              <w:rPr>
                <w:rFonts w:ascii="Arial" w:hAnsi="Arial" w:cs="Arial"/>
                <w:sz w:val="19"/>
                <w:szCs w:val="19"/>
              </w:rPr>
            </w:pPr>
          </w:p>
        </w:tc>
        <w:tc>
          <w:tcPr>
            <w:tcW w:w="1134" w:type="dxa"/>
          </w:tcPr>
          <w:p w:rsidR="00383740" w:rsidRPr="000A30E0" w:rsidRDefault="00383740" w:rsidP="003A1BD9">
            <w:pPr>
              <w:pStyle w:val="Tdec"/>
              <w:rPr>
                <w:rFonts w:ascii="Arial" w:hAnsi="Arial" w:cs="Arial"/>
                <w:sz w:val="19"/>
                <w:szCs w:val="19"/>
              </w:rPr>
            </w:pPr>
          </w:p>
        </w:tc>
      </w:tr>
      <w:tr w:rsidR="00383740" w:rsidRPr="000A30E0" w:rsidTr="00383740">
        <w:trPr>
          <w:cantSplit/>
        </w:trPr>
        <w:tc>
          <w:tcPr>
            <w:tcW w:w="3856" w:type="dxa"/>
            <w:gridSpan w:val="2"/>
          </w:tcPr>
          <w:p w:rsidR="00383740" w:rsidRPr="000A30E0" w:rsidRDefault="00383740" w:rsidP="003A1BD9">
            <w:pPr>
              <w:pStyle w:val="Tindent"/>
              <w:rPr>
                <w:rFonts w:ascii="Arial" w:hAnsi="Arial" w:cs="Arial"/>
                <w:sz w:val="19"/>
                <w:szCs w:val="19"/>
              </w:rPr>
            </w:pPr>
            <w:r w:rsidRPr="000A30E0">
              <w:rPr>
                <w:rFonts w:ascii="Arial" w:hAnsi="Arial" w:cs="Arial"/>
                <w:sz w:val="19"/>
                <w:szCs w:val="19"/>
              </w:rPr>
              <w:t>Experience adjustments on scheme assets</w:t>
            </w:r>
          </w:p>
        </w:tc>
        <w:tc>
          <w:tcPr>
            <w:tcW w:w="1106" w:type="dxa"/>
          </w:tcPr>
          <w:p w:rsidR="00383740" w:rsidRPr="000A30E0" w:rsidRDefault="00383740" w:rsidP="003A1BD9">
            <w:pPr>
              <w:pStyle w:val="Tdec"/>
              <w:rPr>
                <w:rFonts w:ascii="Arial" w:hAnsi="Arial" w:cs="Arial"/>
                <w:sz w:val="19"/>
                <w:szCs w:val="19"/>
              </w:rPr>
            </w:pPr>
          </w:p>
          <w:p w:rsidR="00E412F1" w:rsidRPr="000A30E0" w:rsidRDefault="000A30E0" w:rsidP="003A1BD9">
            <w:pPr>
              <w:pStyle w:val="Tdec"/>
              <w:rPr>
                <w:rFonts w:ascii="Arial" w:hAnsi="Arial" w:cs="Arial"/>
                <w:sz w:val="19"/>
                <w:szCs w:val="19"/>
              </w:rPr>
            </w:pPr>
            <w:r w:rsidRPr="000A30E0">
              <w:rPr>
                <w:rFonts w:ascii="Arial" w:hAnsi="Arial" w:cs="Arial"/>
                <w:sz w:val="19"/>
                <w:szCs w:val="19"/>
              </w:rPr>
              <w:t>1,440</w:t>
            </w:r>
          </w:p>
        </w:tc>
        <w:tc>
          <w:tcPr>
            <w:tcW w:w="1134" w:type="dxa"/>
          </w:tcPr>
          <w:p w:rsidR="00383740" w:rsidRPr="000A30E0" w:rsidRDefault="00383740" w:rsidP="003A1BD9">
            <w:pPr>
              <w:pStyle w:val="Tdec"/>
              <w:rPr>
                <w:rFonts w:ascii="Arial" w:hAnsi="Arial" w:cs="Arial"/>
                <w:sz w:val="19"/>
                <w:szCs w:val="19"/>
              </w:rPr>
            </w:pPr>
          </w:p>
          <w:p w:rsidR="00383740" w:rsidRPr="000A30E0" w:rsidRDefault="002C5113" w:rsidP="003A1BD9">
            <w:pPr>
              <w:pStyle w:val="Tdec"/>
              <w:rPr>
                <w:rFonts w:ascii="Arial" w:hAnsi="Arial" w:cs="Arial"/>
                <w:sz w:val="19"/>
                <w:szCs w:val="19"/>
              </w:rPr>
            </w:pPr>
            <w:r w:rsidRPr="000A30E0">
              <w:rPr>
                <w:rFonts w:ascii="Arial" w:hAnsi="Arial" w:cs="Arial"/>
                <w:sz w:val="19"/>
                <w:szCs w:val="19"/>
              </w:rPr>
              <w:t>(1,250)</w:t>
            </w:r>
          </w:p>
        </w:tc>
        <w:tc>
          <w:tcPr>
            <w:tcW w:w="1134" w:type="dxa"/>
          </w:tcPr>
          <w:p w:rsidR="00383740" w:rsidRPr="000A30E0" w:rsidRDefault="00383740" w:rsidP="003A1BD9">
            <w:pPr>
              <w:pStyle w:val="Tdec"/>
              <w:rPr>
                <w:rFonts w:ascii="Arial" w:hAnsi="Arial" w:cs="Arial"/>
                <w:sz w:val="19"/>
                <w:szCs w:val="19"/>
              </w:rPr>
            </w:pPr>
          </w:p>
          <w:p w:rsidR="00383740" w:rsidRPr="000A30E0" w:rsidRDefault="002C5113" w:rsidP="003A1BD9">
            <w:pPr>
              <w:pStyle w:val="Tdec"/>
              <w:rPr>
                <w:rFonts w:ascii="Arial" w:hAnsi="Arial" w:cs="Arial"/>
                <w:sz w:val="19"/>
                <w:szCs w:val="19"/>
              </w:rPr>
            </w:pPr>
            <w:r w:rsidRPr="000A30E0">
              <w:rPr>
                <w:rFonts w:ascii="Arial" w:hAnsi="Arial" w:cs="Arial"/>
                <w:sz w:val="19"/>
                <w:szCs w:val="19"/>
              </w:rPr>
              <w:t>1,460</w:t>
            </w:r>
          </w:p>
        </w:tc>
        <w:tc>
          <w:tcPr>
            <w:tcW w:w="1134" w:type="dxa"/>
          </w:tcPr>
          <w:p w:rsidR="00383740" w:rsidRPr="000A30E0" w:rsidRDefault="00383740" w:rsidP="003A1BD9">
            <w:pPr>
              <w:pStyle w:val="Tdec"/>
              <w:rPr>
                <w:rFonts w:ascii="Arial" w:hAnsi="Arial" w:cs="Arial"/>
                <w:sz w:val="19"/>
                <w:szCs w:val="19"/>
              </w:rPr>
            </w:pPr>
          </w:p>
          <w:p w:rsidR="00383740" w:rsidRPr="000A30E0" w:rsidRDefault="002C5113" w:rsidP="003A1BD9">
            <w:pPr>
              <w:pStyle w:val="Tdec"/>
              <w:rPr>
                <w:rFonts w:ascii="Arial" w:hAnsi="Arial" w:cs="Arial"/>
                <w:sz w:val="19"/>
                <w:szCs w:val="19"/>
              </w:rPr>
            </w:pPr>
            <w:r w:rsidRPr="000A30E0">
              <w:rPr>
                <w:rFonts w:ascii="Arial" w:hAnsi="Arial" w:cs="Arial"/>
                <w:sz w:val="19"/>
                <w:szCs w:val="19"/>
              </w:rPr>
              <w:t>(420</w:t>
            </w:r>
            <w:r w:rsidR="00383740" w:rsidRPr="000A30E0">
              <w:rPr>
                <w:rFonts w:ascii="Arial" w:hAnsi="Arial" w:cs="Arial"/>
                <w:sz w:val="19"/>
                <w:szCs w:val="19"/>
              </w:rPr>
              <w:t>)</w:t>
            </w:r>
          </w:p>
        </w:tc>
        <w:tc>
          <w:tcPr>
            <w:tcW w:w="1134" w:type="dxa"/>
          </w:tcPr>
          <w:p w:rsidR="00383740" w:rsidRPr="000A30E0" w:rsidRDefault="00383740" w:rsidP="003A1BD9">
            <w:pPr>
              <w:pStyle w:val="Tdec"/>
              <w:rPr>
                <w:rFonts w:ascii="Arial" w:hAnsi="Arial" w:cs="Arial"/>
                <w:sz w:val="19"/>
                <w:szCs w:val="19"/>
              </w:rPr>
            </w:pPr>
          </w:p>
          <w:p w:rsidR="00383740" w:rsidRPr="000A30E0" w:rsidRDefault="002C5113" w:rsidP="003A1BD9">
            <w:pPr>
              <w:pStyle w:val="Tdec"/>
              <w:rPr>
                <w:rFonts w:ascii="Arial" w:hAnsi="Arial" w:cs="Arial"/>
                <w:sz w:val="19"/>
                <w:szCs w:val="19"/>
              </w:rPr>
            </w:pPr>
            <w:r w:rsidRPr="000A30E0">
              <w:rPr>
                <w:rFonts w:ascii="Arial" w:hAnsi="Arial" w:cs="Arial"/>
                <w:sz w:val="19"/>
                <w:szCs w:val="19"/>
              </w:rPr>
              <w:t>(780)</w:t>
            </w:r>
          </w:p>
        </w:tc>
      </w:tr>
      <w:tr w:rsidR="00383740" w:rsidRPr="00C46A29" w:rsidTr="00383740">
        <w:trPr>
          <w:cantSplit/>
        </w:trPr>
        <w:tc>
          <w:tcPr>
            <w:tcW w:w="3856" w:type="dxa"/>
            <w:gridSpan w:val="2"/>
          </w:tcPr>
          <w:p w:rsidR="00383740" w:rsidRPr="000A30E0" w:rsidRDefault="00383740" w:rsidP="003A1BD9">
            <w:pPr>
              <w:pStyle w:val="Tindent"/>
              <w:rPr>
                <w:rFonts w:ascii="Arial" w:hAnsi="Arial" w:cs="Arial"/>
                <w:sz w:val="19"/>
                <w:szCs w:val="19"/>
              </w:rPr>
            </w:pPr>
            <w:r w:rsidRPr="000A30E0">
              <w:rPr>
                <w:rFonts w:ascii="Arial" w:hAnsi="Arial" w:cs="Arial"/>
                <w:sz w:val="19"/>
                <w:szCs w:val="19"/>
              </w:rPr>
              <w:t xml:space="preserve">Experience adjustments on scheme </w:t>
            </w:r>
            <w:r w:rsidR="00F16068" w:rsidRPr="000A30E0">
              <w:rPr>
                <w:rFonts w:ascii="Arial" w:hAnsi="Arial" w:cs="Arial"/>
                <w:sz w:val="19"/>
                <w:szCs w:val="19"/>
              </w:rPr>
              <w:t>liabilities</w:t>
            </w:r>
          </w:p>
        </w:tc>
        <w:tc>
          <w:tcPr>
            <w:tcW w:w="1106" w:type="dxa"/>
          </w:tcPr>
          <w:p w:rsidR="00383740" w:rsidRPr="000A30E0" w:rsidRDefault="00383740" w:rsidP="003A1BD9">
            <w:pPr>
              <w:pStyle w:val="Tdec"/>
              <w:rPr>
                <w:rFonts w:ascii="Arial" w:hAnsi="Arial" w:cs="Arial"/>
                <w:sz w:val="19"/>
                <w:szCs w:val="19"/>
              </w:rPr>
            </w:pPr>
          </w:p>
          <w:p w:rsidR="00E412F1" w:rsidRPr="000A30E0" w:rsidRDefault="000A30E0" w:rsidP="003A1BD9">
            <w:pPr>
              <w:pStyle w:val="Tdec"/>
              <w:rPr>
                <w:rFonts w:ascii="Arial" w:hAnsi="Arial" w:cs="Arial"/>
                <w:sz w:val="19"/>
                <w:szCs w:val="19"/>
              </w:rPr>
            </w:pPr>
            <w:r w:rsidRPr="000A30E0">
              <w:rPr>
                <w:rFonts w:ascii="Arial" w:hAnsi="Arial" w:cs="Arial"/>
                <w:sz w:val="19"/>
                <w:szCs w:val="19"/>
              </w:rPr>
              <w:t>120</w:t>
            </w:r>
          </w:p>
        </w:tc>
        <w:tc>
          <w:tcPr>
            <w:tcW w:w="1134" w:type="dxa"/>
          </w:tcPr>
          <w:p w:rsidR="00383740" w:rsidRPr="000A30E0" w:rsidRDefault="00383740" w:rsidP="003A1BD9">
            <w:pPr>
              <w:pStyle w:val="Tdec"/>
              <w:rPr>
                <w:rFonts w:ascii="Arial" w:hAnsi="Arial" w:cs="Arial"/>
                <w:sz w:val="19"/>
                <w:szCs w:val="19"/>
              </w:rPr>
            </w:pPr>
          </w:p>
          <w:p w:rsidR="00383740" w:rsidRPr="000A30E0" w:rsidRDefault="002C5113" w:rsidP="003A1BD9">
            <w:pPr>
              <w:pStyle w:val="Tdec"/>
              <w:rPr>
                <w:rFonts w:ascii="Arial" w:hAnsi="Arial" w:cs="Arial"/>
                <w:sz w:val="19"/>
                <w:szCs w:val="19"/>
              </w:rPr>
            </w:pPr>
            <w:r w:rsidRPr="000A30E0">
              <w:rPr>
                <w:rFonts w:ascii="Arial" w:hAnsi="Arial" w:cs="Arial"/>
                <w:sz w:val="19"/>
                <w:szCs w:val="19"/>
              </w:rPr>
              <w:t>1,970</w:t>
            </w:r>
          </w:p>
        </w:tc>
        <w:tc>
          <w:tcPr>
            <w:tcW w:w="1134" w:type="dxa"/>
          </w:tcPr>
          <w:p w:rsidR="00383740" w:rsidRPr="000A30E0" w:rsidRDefault="00383740" w:rsidP="003A1BD9">
            <w:pPr>
              <w:pStyle w:val="Tdec"/>
              <w:rPr>
                <w:rFonts w:ascii="Arial" w:hAnsi="Arial" w:cs="Arial"/>
                <w:sz w:val="19"/>
                <w:szCs w:val="19"/>
              </w:rPr>
            </w:pPr>
          </w:p>
          <w:p w:rsidR="00383740" w:rsidRPr="000A30E0" w:rsidRDefault="002C5113" w:rsidP="003A1BD9">
            <w:pPr>
              <w:pStyle w:val="Tdec"/>
              <w:rPr>
                <w:rFonts w:ascii="Arial" w:hAnsi="Arial" w:cs="Arial"/>
                <w:sz w:val="19"/>
                <w:szCs w:val="19"/>
              </w:rPr>
            </w:pPr>
            <w:r w:rsidRPr="000A30E0">
              <w:rPr>
                <w:rFonts w:ascii="Arial" w:hAnsi="Arial" w:cs="Arial"/>
                <w:sz w:val="19"/>
                <w:szCs w:val="19"/>
              </w:rPr>
              <w:t>20</w:t>
            </w:r>
          </w:p>
        </w:tc>
        <w:tc>
          <w:tcPr>
            <w:tcW w:w="1134" w:type="dxa"/>
          </w:tcPr>
          <w:p w:rsidR="00383740" w:rsidRPr="000A30E0" w:rsidRDefault="00383740" w:rsidP="003A1BD9">
            <w:pPr>
              <w:pStyle w:val="Tdec"/>
              <w:rPr>
                <w:rFonts w:ascii="Arial" w:hAnsi="Arial" w:cs="Arial"/>
                <w:sz w:val="19"/>
                <w:szCs w:val="19"/>
              </w:rPr>
            </w:pPr>
          </w:p>
          <w:p w:rsidR="00383740" w:rsidRPr="000A30E0" w:rsidRDefault="002C5113" w:rsidP="003A1BD9">
            <w:pPr>
              <w:pStyle w:val="Tdec"/>
              <w:rPr>
                <w:rFonts w:ascii="Arial" w:hAnsi="Arial" w:cs="Arial"/>
                <w:sz w:val="19"/>
                <w:szCs w:val="19"/>
              </w:rPr>
            </w:pPr>
            <w:r w:rsidRPr="000A30E0">
              <w:rPr>
                <w:rFonts w:ascii="Arial" w:hAnsi="Arial" w:cs="Arial"/>
                <w:sz w:val="19"/>
                <w:szCs w:val="19"/>
              </w:rPr>
              <w:t>(70)</w:t>
            </w:r>
          </w:p>
        </w:tc>
        <w:tc>
          <w:tcPr>
            <w:tcW w:w="1134" w:type="dxa"/>
          </w:tcPr>
          <w:p w:rsidR="00383740" w:rsidRPr="000A30E0" w:rsidRDefault="00383740" w:rsidP="003A1BD9">
            <w:pPr>
              <w:pStyle w:val="Tdec"/>
              <w:rPr>
                <w:rFonts w:ascii="Arial" w:hAnsi="Arial" w:cs="Arial"/>
                <w:sz w:val="19"/>
                <w:szCs w:val="19"/>
              </w:rPr>
            </w:pPr>
          </w:p>
          <w:p w:rsidR="00383740" w:rsidRPr="002C5113" w:rsidRDefault="002C5113" w:rsidP="003A1BD9">
            <w:pPr>
              <w:pStyle w:val="Tdec"/>
              <w:rPr>
                <w:rFonts w:ascii="Arial" w:hAnsi="Arial" w:cs="Arial"/>
                <w:sz w:val="19"/>
                <w:szCs w:val="19"/>
              </w:rPr>
            </w:pPr>
            <w:r w:rsidRPr="000A30E0">
              <w:rPr>
                <w:rFonts w:ascii="Arial" w:hAnsi="Arial" w:cs="Arial"/>
                <w:sz w:val="19"/>
                <w:szCs w:val="19"/>
              </w:rPr>
              <w:t>2,930</w:t>
            </w:r>
          </w:p>
        </w:tc>
      </w:tr>
      <w:tr w:rsidR="00383740" w:rsidRPr="00C46A29" w:rsidTr="00383740">
        <w:trPr>
          <w:cantSplit/>
        </w:trPr>
        <w:tc>
          <w:tcPr>
            <w:tcW w:w="3856" w:type="dxa"/>
            <w:gridSpan w:val="2"/>
          </w:tcPr>
          <w:p w:rsidR="00383740" w:rsidRPr="00C46A29" w:rsidRDefault="00383740" w:rsidP="003A1BD9">
            <w:pPr>
              <w:pStyle w:val="Tindent"/>
              <w:rPr>
                <w:rFonts w:ascii="Arial" w:hAnsi="Arial" w:cs="Arial"/>
                <w:sz w:val="19"/>
                <w:szCs w:val="19"/>
                <w:highlight w:val="yellow"/>
              </w:rPr>
            </w:pPr>
          </w:p>
        </w:tc>
        <w:tc>
          <w:tcPr>
            <w:tcW w:w="1106" w:type="dxa"/>
          </w:tcPr>
          <w:p w:rsidR="00383740" w:rsidRPr="00C46A29" w:rsidRDefault="00383740" w:rsidP="003A1BD9">
            <w:pPr>
              <w:pStyle w:val="D9"/>
              <w:spacing w:line="240" w:lineRule="auto"/>
              <w:rPr>
                <w:rFonts w:ascii="Arial" w:hAnsi="Arial" w:cs="Arial"/>
                <w:sz w:val="19"/>
                <w:szCs w:val="19"/>
                <w:highlight w:val="yellow"/>
              </w:rPr>
            </w:pPr>
          </w:p>
        </w:tc>
        <w:tc>
          <w:tcPr>
            <w:tcW w:w="1134" w:type="dxa"/>
          </w:tcPr>
          <w:p w:rsidR="00383740" w:rsidRPr="00C46A29" w:rsidRDefault="00383740" w:rsidP="003A1BD9">
            <w:pPr>
              <w:pStyle w:val="D9"/>
              <w:spacing w:line="240" w:lineRule="auto"/>
              <w:rPr>
                <w:rFonts w:ascii="Arial" w:hAnsi="Arial" w:cs="Arial"/>
                <w:sz w:val="19"/>
                <w:szCs w:val="19"/>
                <w:highlight w:val="yellow"/>
              </w:rPr>
            </w:pPr>
          </w:p>
        </w:tc>
        <w:tc>
          <w:tcPr>
            <w:tcW w:w="1134" w:type="dxa"/>
          </w:tcPr>
          <w:p w:rsidR="00383740" w:rsidRPr="002C5113" w:rsidRDefault="00383740" w:rsidP="003A1BD9">
            <w:pPr>
              <w:pStyle w:val="D9"/>
              <w:spacing w:line="240" w:lineRule="auto"/>
              <w:rPr>
                <w:rFonts w:ascii="Arial" w:hAnsi="Arial" w:cs="Arial"/>
                <w:sz w:val="19"/>
                <w:szCs w:val="19"/>
              </w:rPr>
            </w:pPr>
          </w:p>
        </w:tc>
        <w:tc>
          <w:tcPr>
            <w:tcW w:w="1134" w:type="dxa"/>
          </w:tcPr>
          <w:p w:rsidR="00383740" w:rsidRPr="00C46A29" w:rsidRDefault="00383740" w:rsidP="003A1BD9">
            <w:pPr>
              <w:pStyle w:val="D9"/>
              <w:spacing w:line="240" w:lineRule="auto"/>
              <w:rPr>
                <w:rFonts w:ascii="Arial" w:hAnsi="Arial" w:cs="Arial"/>
                <w:sz w:val="19"/>
                <w:szCs w:val="19"/>
                <w:highlight w:val="yellow"/>
              </w:rPr>
            </w:pPr>
          </w:p>
        </w:tc>
        <w:tc>
          <w:tcPr>
            <w:tcW w:w="1134" w:type="dxa"/>
          </w:tcPr>
          <w:p w:rsidR="00383740" w:rsidRPr="002C5113" w:rsidRDefault="00383740" w:rsidP="003A1BD9">
            <w:pPr>
              <w:pStyle w:val="D9"/>
              <w:spacing w:line="240" w:lineRule="auto"/>
              <w:rPr>
                <w:rFonts w:ascii="Arial" w:hAnsi="Arial" w:cs="Arial"/>
                <w:sz w:val="19"/>
                <w:szCs w:val="19"/>
              </w:rPr>
            </w:pPr>
          </w:p>
        </w:tc>
      </w:tr>
    </w:tbl>
    <w:p w:rsidR="00A812FF" w:rsidRPr="000A30E0" w:rsidRDefault="00383740" w:rsidP="00201B4C">
      <w:pPr>
        <w:spacing w:before="120"/>
        <w:jc w:val="left"/>
        <w:rPr>
          <w:rFonts w:ascii="Arial" w:hAnsi="Arial" w:cs="Arial"/>
          <w:sz w:val="19"/>
          <w:szCs w:val="19"/>
          <w:lang w:val="en-US"/>
        </w:rPr>
      </w:pPr>
      <w:r w:rsidRPr="000A30E0">
        <w:rPr>
          <w:rFonts w:ascii="Arial" w:hAnsi="Arial" w:cs="Arial"/>
          <w:sz w:val="19"/>
          <w:szCs w:val="19"/>
          <w:lang w:val="en-US"/>
        </w:rPr>
        <w:t xml:space="preserve">The </w:t>
      </w:r>
      <w:r w:rsidR="00201B4C" w:rsidRPr="000A30E0">
        <w:rPr>
          <w:rFonts w:ascii="Arial" w:hAnsi="Arial" w:cs="Arial"/>
          <w:sz w:val="19"/>
          <w:szCs w:val="19"/>
          <w:lang w:val="en-US"/>
        </w:rPr>
        <w:t>Company</w:t>
      </w:r>
      <w:r w:rsidRPr="000A30E0">
        <w:rPr>
          <w:rFonts w:ascii="Arial" w:hAnsi="Arial" w:cs="Arial"/>
          <w:sz w:val="19"/>
          <w:szCs w:val="19"/>
          <w:lang w:val="en-US"/>
        </w:rPr>
        <w:t xml:space="preserve"> expect</w:t>
      </w:r>
      <w:r w:rsidR="000A30E0" w:rsidRPr="000A30E0">
        <w:rPr>
          <w:rFonts w:ascii="Arial" w:hAnsi="Arial" w:cs="Arial"/>
          <w:sz w:val="19"/>
          <w:szCs w:val="19"/>
          <w:lang w:val="en-US"/>
        </w:rPr>
        <w:t>s to contribute approximately £9</w:t>
      </w:r>
      <w:r w:rsidRPr="000A30E0">
        <w:rPr>
          <w:rFonts w:ascii="Arial" w:hAnsi="Arial" w:cs="Arial"/>
          <w:sz w:val="19"/>
          <w:szCs w:val="19"/>
          <w:lang w:val="en-US"/>
        </w:rPr>
        <w:t>30,000 to its defined benefit plan in the next financial year.</w:t>
      </w:r>
    </w:p>
    <w:p w:rsidR="00383740" w:rsidRPr="005300DC" w:rsidRDefault="00201B4C" w:rsidP="003A1BD9">
      <w:pPr>
        <w:pStyle w:val="Heading1"/>
        <w:numPr>
          <w:ilvl w:val="0"/>
          <w:numId w:val="0"/>
        </w:numPr>
        <w:rPr>
          <w:rFonts w:ascii="Arial" w:hAnsi="Arial" w:cs="Arial"/>
          <w:sz w:val="24"/>
          <w:szCs w:val="19"/>
          <w:lang w:val="en-US"/>
        </w:rPr>
      </w:pPr>
      <w:bookmarkStart w:id="27" w:name="_Toc390775332"/>
      <w:r w:rsidRPr="00F836C6">
        <w:rPr>
          <w:rFonts w:ascii="Arial" w:hAnsi="Arial" w:cs="Arial"/>
          <w:caps w:val="0"/>
          <w:sz w:val="24"/>
          <w:szCs w:val="19"/>
        </w:rPr>
        <w:t>19</w:t>
      </w:r>
      <w:r w:rsidRPr="00F836C6">
        <w:rPr>
          <w:rFonts w:ascii="Arial" w:hAnsi="Arial" w:cs="Arial"/>
          <w:b w:val="0"/>
          <w:caps w:val="0"/>
          <w:sz w:val="24"/>
          <w:szCs w:val="19"/>
        </w:rPr>
        <w:tab/>
      </w:r>
      <w:r w:rsidRPr="00F836C6">
        <w:rPr>
          <w:rFonts w:ascii="Arial" w:hAnsi="Arial" w:cs="Arial"/>
          <w:caps w:val="0"/>
          <w:sz w:val="24"/>
          <w:szCs w:val="19"/>
          <w:lang w:val="en-US"/>
        </w:rPr>
        <w:t xml:space="preserve"> Related</w:t>
      </w:r>
      <w:r w:rsidRPr="005300DC">
        <w:rPr>
          <w:rFonts w:ascii="Arial" w:hAnsi="Arial" w:cs="Arial"/>
          <w:caps w:val="0"/>
          <w:sz w:val="24"/>
          <w:szCs w:val="19"/>
          <w:lang w:val="en-US"/>
        </w:rPr>
        <w:t xml:space="preserve"> Parties and Ultimate Parent Undertaking</w:t>
      </w:r>
      <w:bookmarkEnd w:id="27"/>
    </w:p>
    <w:p w:rsidR="00383740" w:rsidRPr="005300DC" w:rsidRDefault="00383740" w:rsidP="00201B4C">
      <w:pPr>
        <w:spacing w:after="0"/>
        <w:jc w:val="left"/>
        <w:rPr>
          <w:rFonts w:ascii="Arial" w:hAnsi="Arial" w:cs="Arial"/>
          <w:sz w:val="19"/>
          <w:szCs w:val="19"/>
          <w:lang w:val="en-US"/>
        </w:rPr>
      </w:pPr>
      <w:r w:rsidRPr="005300DC">
        <w:rPr>
          <w:rFonts w:ascii="Arial" w:hAnsi="Arial" w:cs="Arial"/>
          <w:sz w:val="19"/>
          <w:szCs w:val="19"/>
          <w:lang w:val="en-US"/>
        </w:rPr>
        <w:t xml:space="preserve">The </w:t>
      </w:r>
      <w:r w:rsidR="00201B4C" w:rsidRPr="005300DC">
        <w:rPr>
          <w:rFonts w:ascii="Arial" w:hAnsi="Arial" w:cs="Arial"/>
          <w:sz w:val="19"/>
          <w:szCs w:val="19"/>
          <w:lang w:val="en-US"/>
        </w:rPr>
        <w:t>Company</w:t>
      </w:r>
      <w:r w:rsidRPr="005300DC">
        <w:rPr>
          <w:rFonts w:ascii="Arial" w:hAnsi="Arial" w:cs="Arial"/>
          <w:sz w:val="19"/>
          <w:szCs w:val="19"/>
          <w:lang w:val="en-US"/>
        </w:rPr>
        <w:t xml:space="preserve"> is a subsidiary undertaking of Northumberland County Council which is considered to be the ultimate parent undertaking.</w:t>
      </w:r>
    </w:p>
    <w:p w:rsidR="00201B4C" w:rsidRPr="005300DC" w:rsidRDefault="00201B4C" w:rsidP="00201B4C">
      <w:pPr>
        <w:spacing w:after="0"/>
        <w:jc w:val="left"/>
        <w:rPr>
          <w:rFonts w:ascii="Arial" w:hAnsi="Arial" w:cs="Arial"/>
          <w:sz w:val="19"/>
          <w:szCs w:val="19"/>
          <w:lang w:val="en-US"/>
        </w:rPr>
      </w:pPr>
    </w:p>
    <w:p w:rsidR="00383740" w:rsidRPr="005300DC" w:rsidRDefault="00383740" w:rsidP="00201B4C">
      <w:pPr>
        <w:spacing w:after="0"/>
        <w:jc w:val="left"/>
        <w:rPr>
          <w:rFonts w:ascii="Arial" w:hAnsi="Arial" w:cs="Arial"/>
          <w:sz w:val="19"/>
          <w:szCs w:val="19"/>
          <w:lang w:val="en-US"/>
        </w:rPr>
      </w:pPr>
      <w:r w:rsidRPr="005300DC">
        <w:rPr>
          <w:rFonts w:ascii="Arial" w:hAnsi="Arial" w:cs="Arial"/>
          <w:sz w:val="19"/>
          <w:szCs w:val="19"/>
          <w:lang w:val="en-US"/>
        </w:rPr>
        <w:t xml:space="preserve">The consolidated </w:t>
      </w:r>
      <w:r w:rsidR="00743922">
        <w:rPr>
          <w:rFonts w:ascii="Arial" w:hAnsi="Arial" w:cs="Arial"/>
          <w:sz w:val="19"/>
          <w:szCs w:val="19"/>
          <w:lang w:val="en-US"/>
        </w:rPr>
        <w:t>financial statements</w:t>
      </w:r>
      <w:r w:rsidRPr="005300DC">
        <w:rPr>
          <w:rFonts w:ascii="Arial" w:hAnsi="Arial" w:cs="Arial"/>
          <w:sz w:val="19"/>
          <w:szCs w:val="19"/>
          <w:lang w:val="en-US"/>
        </w:rPr>
        <w:t xml:space="preserve"> of the group are available to the public and may be obtained from Northumberland County Council, County Hall, Morpeth, Northumberland, NE61 2EF.</w:t>
      </w:r>
    </w:p>
    <w:p w:rsidR="00201B4C" w:rsidRPr="005300DC" w:rsidRDefault="00201B4C" w:rsidP="00201B4C">
      <w:pPr>
        <w:spacing w:after="0"/>
        <w:jc w:val="left"/>
        <w:rPr>
          <w:rFonts w:ascii="Arial" w:hAnsi="Arial" w:cs="Arial"/>
          <w:sz w:val="19"/>
          <w:szCs w:val="19"/>
          <w:lang w:val="en-US"/>
        </w:rPr>
      </w:pPr>
    </w:p>
    <w:p w:rsidR="00383740" w:rsidRPr="005300DC" w:rsidRDefault="00383740" w:rsidP="00201B4C">
      <w:pPr>
        <w:spacing w:after="0"/>
        <w:jc w:val="left"/>
        <w:rPr>
          <w:rFonts w:ascii="Arial" w:hAnsi="Arial" w:cs="Arial"/>
          <w:bCs/>
          <w:sz w:val="19"/>
          <w:szCs w:val="19"/>
          <w:lang w:val="en-US"/>
        </w:rPr>
      </w:pPr>
      <w:r w:rsidRPr="005300DC">
        <w:rPr>
          <w:rFonts w:ascii="Arial" w:hAnsi="Arial" w:cs="Arial"/>
          <w:bCs/>
          <w:sz w:val="19"/>
          <w:szCs w:val="19"/>
          <w:lang w:val="en-US"/>
        </w:rPr>
        <w:t xml:space="preserve">The </w:t>
      </w:r>
      <w:r w:rsidR="00E445E1" w:rsidRPr="005300DC">
        <w:rPr>
          <w:rFonts w:ascii="Arial" w:hAnsi="Arial" w:cs="Arial"/>
          <w:bCs/>
          <w:sz w:val="19"/>
          <w:szCs w:val="19"/>
          <w:lang w:val="en-US"/>
        </w:rPr>
        <w:t>four</w:t>
      </w:r>
      <w:r w:rsidRPr="005300DC">
        <w:rPr>
          <w:rFonts w:ascii="Arial" w:hAnsi="Arial" w:cs="Arial"/>
          <w:bCs/>
          <w:sz w:val="19"/>
          <w:szCs w:val="19"/>
          <w:lang w:val="en-US"/>
        </w:rPr>
        <w:t xml:space="preserve"> directors who are the Tenant </w:t>
      </w:r>
      <w:r w:rsidR="00FC5269" w:rsidRPr="005300DC">
        <w:rPr>
          <w:rFonts w:ascii="Arial" w:hAnsi="Arial" w:cs="Arial"/>
          <w:bCs/>
          <w:sz w:val="19"/>
          <w:szCs w:val="19"/>
          <w:lang w:val="en-US"/>
        </w:rPr>
        <w:t>R</w:t>
      </w:r>
      <w:r w:rsidRPr="005300DC">
        <w:rPr>
          <w:rFonts w:ascii="Arial" w:hAnsi="Arial" w:cs="Arial"/>
          <w:bCs/>
          <w:sz w:val="19"/>
          <w:szCs w:val="19"/>
          <w:lang w:val="en-US"/>
        </w:rPr>
        <w:t xml:space="preserve">epresentatives listed on page </w:t>
      </w:r>
      <w:r w:rsidR="008702A2">
        <w:rPr>
          <w:rFonts w:ascii="Arial" w:hAnsi="Arial" w:cs="Arial"/>
          <w:bCs/>
          <w:sz w:val="19"/>
          <w:szCs w:val="19"/>
          <w:lang w:val="en-US"/>
        </w:rPr>
        <w:t>7</w:t>
      </w:r>
      <w:r w:rsidRPr="005300DC">
        <w:rPr>
          <w:rFonts w:ascii="Arial" w:hAnsi="Arial" w:cs="Arial"/>
          <w:bCs/>
          <w:sz w:val="19"/>
          <w:szCs w:val="19"/>
          <w:lang w:val="en-US"/>
        </w:rPr>
        <w:t xml:space="preserve"> are tenants of properties managed by the </w:t>
      </w:r>
      <w:r w:rsidR="00201B4C" w:rsidRPr="005300DC">
        <w:rPr>
          <w:rFonts w:ascii="Arial" w:hAnsi="Arial" w:cs="Arial"/>
          <w:bCs/>
          <w:sz w:val="19"/>
          <w:szCs w:val="19"/>
          <w:lang w:val="en-US"/>
        </w:rPr>
        <w:t>Company</w:t>
      </w:r>
      <w:r w:rsidRPr="005300DC">
        <w:rPr>
          <w:rFonts w:ascii="Arial" w:hAnsi="Arial" w:cs="Arial"/>
          <w:bCs/>
          <w:sz w:val="19"/>
          <w:szCs w:val="19"/>
          <w:lang w:val="en-US"/>
        </w:rPr>
        <w:t xml:space="preserve">.  Their tenancies are on normal standard terms and they are not able to use their position on the Board to their advantage. </w:t>
      </w:r>
    </w:p>
    <w:p w:rsidR="00201B4C" w:rsidRPr="005300DC" w:rsidRDefault="00201B4C" w:rsidP="00201B4C">
      <w:pPr>
        <w:spacing w:after="0"/>
        <w:jc w:val="left"/>
        <w:rPr>
          <w:rFonts w:ascii="Arial" w:hAnsi="Arial" w:cs="Arial"/>
          <w:bCs/>
          <w:sz w:val="19"/>
          <w:szCs w:val="19"/>
          <w:lang w:val="en-US"/>
        </w:rPr>
      </w:pPr>
    </w:p>
    <w:p w:rsidR="00091700" w:rsidRPr="005300DC" w:rsidRDefault="005405CE" w:rsidP="00201B4C">
      <w:pPr>
        <w:spacing w:after="0"/>
        <w:jc w:val="left"/>
        <w:rPr>
          <w:rFonts w:ascii="Arial" w:hAnsi="Arial" w:cs="Arial"/>
          <w:bCs/>
          <w:sz w:val="19"/>
          <w:szCs w:val="19"/>
          <w:lang w:val="en-US"/>
        </w:rPr>
      </w:pPr>
      <w:r w:rsidRPr="005300DC">
        <w:rPr>
          <w:rFonts w:ascii="Arial" w:hAnsi="Arial" w:cs="Arial"/>
          <w:bCs/>
          <w:sz w:val="19"/>
          <w:szCs w:val="19"/>
          <w:lang w:val="en-US"/>
        </w:rPr>
        <w:t>There are both members of Northumberlan</w:t>
      </w:r>
      <w:r w:rsidR="009B09E9" w:rsidRPr="005300DC">
        <w:rPr>
          <w:rFonts w:ascii="Arial" w:hAnsi="Arial" w:cs="Arial"/>
          <w:bCs/>
          <w:sz w:val="19"/>
          <w:szCs w:val="19"/>
          <w:lang w:val="en-US"/>
        </w:rPr>
        <w:t>d</w:t>
      </w:r>
      <w:r w:rsidRPr="005300DC">
        <w:rPr>
          <w:rFonts w:ascii="Arial" w:hAnsi="Arial" w:cs="Arial"/>
          <w:bCs/>
          <w:sz w:val="19"/>
          <w:szCs w:val="19"/>
          <w:lang w:val="en-US"/>
        </w:rPr>
        <w:t xml:space="preserve"> County Council and senior staff from the council represented on the strategic board of </w:t>
      </w:r>
      <w:r w:rsidR="005B78BF" w:rsidRPr="005300DC">
        <w:rPr>
          <w:rFonts w:ascii="Arial" w:hAnsi="Arial" w:cs="Arial"/>
          <w:bCs/>
          <w:sz w:val="19"/>
          <w:szCs w:val="19"/>
          <w:lang w:val="en-US"/>
        </w:rPr>
        <w:t>Homes for Northumberland</w:t>
      </w:r>
      <w:r w:rsidRPr="005300DC">
        <w:rPr>
          <w:rFonts w:ascii="Arial" w:hAnsi="Arial" w:cs="Arial"/>
          <w:bCs/>
          <w:sz w:val="19"/>
          <w:szCs w:val="19"/>
          <w:lang w:val="en-US"/>
        </w:rPr>
        <w:t xml:space="preserve">. These individuals therefore </w:t>
      </w:r>
      <w:r w:rsidR="00673FEA" w:rsidRPr="005300DC">
        <w:rPr>
          <w:rFonts w:ascii="Arial" w:hAnsi="Arial" w:cs="Arial"/>
          <w:bCs/>
          <w:sz w:val="19"/>
          <w:szCs w:val="19"/>
          <w:lang w:val="en-US"/>
        </w:rPr>
        <w:t xml:space="preserve">have an element of influence over both Northumberland County Council and </w:t>
      </w:r>
      <w:r w:rsidR="005B78BF" w:rsidRPr="005300DC">
        <w:rPr>
          <w:rFonts w:ascii="Arial" w:hAnsi="Arial" w:cs="Arial"/>
          <w:bCs/>
          <w:sz w:val="19"/>
          <w:szCs w:val="19"/>
          <w:lang w:val="en-US"/>
        </w:rPr>
        <w:t>Homes for Northumberland</w:t>
      </w:r>
      <w:r w:rsidR="00673FEA" w:rsidRPr="005300DC">
        <w:rPr>
          <w:rFonts w:ascii="Arial" w:hAnsi="Arial" w:cs="Arial"/>
          <w:bCs/>
          <w:sz w:val="19"/>
          <w:szCs w:val="19"/>
          <w:lang w:val="en-US"/>
        </w:rPr>
        <w:t xml:space="preserve">’s operations.  </w:t>
      </w:r>
    </w:p>
    <w:p w:rsidR="00201B4C" w:rsidRPr="005300DC" w:rsidRDefault="00201B4C" w:rsidP="00201B4C">
      <w:pPr>
        <w:spacing w:after="0"/>
        <w:jc w:val="left"/>
        <w:rPr>
          <w:rFonts w:ascii="Arial" w:hAnsi="Arial" w:cs="Arial"/>
          <w:bCs/>
          <w:sz w:val="19"/>
          <w:szCs w:val="19"/>
          <w:lang w:val="en-US"/>
        </w:rPr>
      </w:pPr>
    </w:p>
    <w:p w:rsidR="007C0931" w:rsidRPr="005300DC" w:rsidRDefault="00AF2A52" w:rsidP="00201B4C">
      <w:pPr>
        <w:pStyle w:val="NormalIndent"/>
        <w:spacing w:after="0"/>
        <w:ind w:left="0"/>
        <w:jc w:val="left"/>
        <w:rPr>
          <w:rFonts w:ascii="Arial" w:hAnsi="Arial" w:cs="Arial"/>
          <w:sz w:val="19"/>
          <w:szCs w:val="19"/>
        </w:rPr>
      </w:pPr>
      <w:r w:rsidRPr="005300DC">
        <w:rPr>
          <w:rFonts w:ascii="Arial" w:hAnsi="Arial" w:cs="Arial"/>
          <w:sz w:val="19"/>
          <w:szCs w:val="19"/>
          <w:lang w:val="en-US"/>
        </w:rPr>
        <w:t xml:space="preserve">One of </w:t>
      </w:r>
      <w:r w:rsidR="005B78BF" w:rsidRPr="005300DC">
        <w:rPr>
          <w:rFonts w:ascii="Arial" w:hAnsi="Arial" w:cs="Arial"/>
          <w:sz w:val="19"/>
          <w:szCs w:val="19"/>
          <w:lang w:val="en-US"/>
        </w:rPr>
        <w:t>Homes for Northumberland</w:t>
      </w:r>
      <w:r w:rsidRPr="005300DC">
        <w:rPr>
          <w:rFonts w:ascii="Arial" w:hAnsi="Arial" w:cs="Arial"/>
          <w:sz w:val="19"/>
          <w:szCs w:val="19"/>
          <w:lang w:val="en-US"/>
        </w:rPr>
        <w:t xml:space="preserve">’s </w:t>
      </w:r>
      <w:r w:rsidR="00AB18D9" w:rsidRPr="005300DC">
        <w:rPr>
          <w:rFonts w:ascii="Arial" w:hAnsi="Arial" w:cs="Arial"/>
          <w:sz w:val="19"/>
          <w:szCs w:val="19"/>
          <w:lang w:val="en-US"/>
        </w:rPr>
        <w:t xml:space="preserve">executive </w:t>
      </w:r>
      <w:r w:rsidR="007C0931" w:rsidRPr="005300DC">
        <w:rPr>
          <w:rFonts w:ascii="Arial" w:hAnsi="Arial" w:cs="Arial"/>
          <w:sz w:val="19"/>
          <w:szCs w:val="19"/>
          <w:lang w:val="en-US"/>
        </w:rPr>
        <w:t xml:space="preserve">directors is a </w:t>
      </w:r>
      <w:r w:rsidR="005B78BF" w:rsidRPr="005300DC">
        <w:rPr>
          <w:rFonts w:ascii="Arial" w:hAnsi="Arial" w:cs="Arial"/>
          <w:sz w:val="19"/>
          <w:szCs w:val="19"/>
          <w:lang w:val="en-US"/>
        </w:rPr>
        <w:t>non-executive</w:t>
      </w:r>
      <w:r w:rsidR="007C0931" w:rsidRPr="005300DC">
        <w:rPr>
          <w:rFonts w:ascii="Arial" w:hAnsi="Arial" w:cs="Arial"/>
          <w:sz w:val="19"/>
          <w:szCs w:val="19"/>
          <w:lang w:val="en-US"/>
        </w:rPr>
        <w:t xml:space="preserve"> director of North East Procurement Ltd</w:t>
      </w:r>
      <w:r w:rsidR="005B78BF" w:rsidRPr="005300DC">
        <w:rPr>
          <w:rFonts w:ascii="Arial" w:hAnsi="Arial" w:cs="Arial"/>
          <w:sz w:val="19"/>
          <w:szCs w:val="19"/>
          <w:lang w:val="en-US"/>
        </w:rPr>
        <w:t xml:space="preserve"> (NEP)</w:t>
      </w:r>
      <w:r w:rsidR="007C0931" w:rsidRPr="005300DC">
        <w:rPr>
          <w:rFonts w:ascii="Arial" w:hAnsi="Arial" w:cs="Arial"/>
          <w:sz w:val="19"/>
          <w:szCs w:val="19"/>
          <w:lang w:val="en-US"/>
        </w:rPr>
        <w:t>,</w:t>
      </w:r>
      <w:r w:rsidRPr="005300DC">
        <w:rPr>
          <w:rFonts w:ascii="Arial" w:hAnsi="Arial" w:cs="Arial"/>
          <w:sz w:val="19"/>
          <w:szCs w:val="19"/>
          <w:lang w:val="en-US"/>
        </w:rPr>
        <w:t xml:space="preserve"> </w:t>
      </w:r>
      <w:r w:rsidR="007C0931" w:rsidRPr="005300DC">
        <w:rPr>
          <w:rFonts w:ascii="Arial" w:hAnsi="Arial" w:cs="Arial"/>
          <w:sz w:val="19"/>
          <w:szCs w:val="19"/>
          <w:lang w:val="en-US"/>
        </w:rPr>
        <w:t xml:space="preserve">a </w:t>
      </w:r>
      <w:r w:rsidR="007C0931" w:rsidRPr="005300DC">
        <w:rPr>
          <w:rFonts w:ascii="Arial" w:hAnsi="Arial" w:cs="Arial"/>
          <w:sz w:val="19"/>
          <w:szCs w:val="19"/>
        </w:rPr>
        <w:t xml:space="preserve">not-for-profit organisation benefitting procurement in the North East Social Housing sector, of which </w:t>
      </w:r>
      <w:r w:rsidR="005B78BF" w:rsidRPr="005300DC">
        <w:rPr>
          <w:rFonts w:ascii="Arial" w:hAnsi="Arial" w:cs="Arial"/>
          <w:sz w:val="19"/>
          <w:szCs w:val="19"/>
        </w:rPr>
        <w:t>Homes for Northumberland</w:t>
      </w:r>
      <w:r w:rsidR="007C0931" w:rsidRPr="005300DC">
        <w:rPr>
          <w:rFonts w:ascii="Arial" w:hAnsi="Arial" w:cs="Arial"/>
          <w:sz w:val="19"/>
          <w:szCs w:val="19"/>
        </w:rPr>
        <w:t xml:space="preserve"> </w:t>
      </w:r>
      <w:r w:rsidR="00FC5269" w:rsidRPr="005300DC">
        <w:rPr>
          <w:rFonts w:ascii="Arial" w:hAnsi="Arial" w:cs="Arial"/>
          <w:sz w:val="19"/>
          <w:szCs w:val="19"/>
        </w:rPr>
        <w:t xml:space="preserve">is a </w:t>
      </w:r>
      <w:r w:rsidR="007C0931" w:rsidRPr="005300DC">
        <w:rPr>
          <w:rFonts w:ascii="Arial" w:hAnsi="Arial" w:cs="Arial"/>
          <w:sz w:val="19"/>
          <w:szCs w:val="19"/>
        </w:rPr>
        <w:t>member</w:t>
      </w:r>
      <w:r w:rsidR="007C0931" w:rsidRPr="005300DC">
        <w:rPr>
          <w:rFonts w:ascii="Arial" w:hAnsi="Arial" w:cs="Arial"/>
          <w:color w:val="666666"/>
          <w:sz w:val="19"/>
          <w:szCs w:val="19"/>
        </w:rPr>
        <w:t>.</w:t>
      </w:r>
      <w:r w:rsidR="00091700" w:rsidRPr="005300DC">
        <w:rPr>
          <w:rFonts w:ascii="Arial" w:hAnsi="Arial" w:cs="Arial"/>
          <w:color w:val="666666"/>
          <w:sz w:val="19"/>
          <w:szCs w:val="19"/>
        </w:rPr>
        <w:t xml:space="preserve"> </w:t>
      </w:r>
      <w:r w:rsidR="00AB18D9" w:rsidRPr="005300DC">
        <w:rPr>
          <w:rFonts w:ascii="Arial" w:hAnsi="Arial" w:cs="Arial"/>
          <w:sz w:val="19"/>
          <w:szCs w:val="19"/>
          <w:lang w:val="en-US"/>
        </w:rPr>
        <w:t xml:space="preserve">Homes for Northumberland procures goods and services extensively </w:t>
      </w:r>
      <w:r w:rsidR="00EC62B7" w:rsidRPr="005300DC">
        <w:rPr>
          <w:rFonts w:ascii="Arial" w:hAnsi="Arial" w:cs="Arial"/>
          <w:sz w:val="19"/>
          <w:szCs w:val="19"/>
        </w:rPr>
        <w:t>through</w:t>
      </w:r>
      <w:r w:rsidR="00091700" w:rsidRPr="005300DC">
        <w:rPr>
          <w:rFonts w:ascii="Arial" w:hAnsi="Arial" w:cs="Arial"/>
          <w:sz w:val="19"/>
          <w:szCs w:val="19"/>
        </w:rPr>
        <w:t xml:space="preserve"> NEP </w:t>
      </w:r>
      <w:r w:rsidR="005B78BF" w:rsidRPr="005300DC">
        <w:rPr>
          <w:rFonts w:ascii="Arial" w:hAnsi="Arial" w:cs="Arial"/>
          <w:sz w:val="19"/>
          <w:szCs w:val="19"/>
        </w:rPr>
        <w:t>to take advantage of</w:t>
      </w:r>
      <w:r w:rsidR="00091700" w:rsidRPr="005300DC">
        <w:rPr>
          <w:rFonts w:ascii="Arial" w:hAnsi="Arial" w:cs="Arial"/>
          <w:sz w:val="19"/>
          <w:szCs w:val="19"/>
        </w:rPr>
        <w:t xml:space="preserve"> benefic</w:t>
      </w:r>
      <w:r w:rsidR="00FC5269" w:rsidRPr="005300DC">
        <w:rPr>
          <w:rFonts w:ascii="Arial" w:hAnsi="Arial" w:cs="Arial"/>
          <w:sz w:val="19"/>
          <w:szCs w:val="19"/>
        </w:rPr>
        <w:t>i</w:t>
      </w:r>
      <w:r w:rsidR="00091700" w:rsidRPr="005300DC">
        <w:rPr>
          <w:rFonts w:ascii="Arial" w:hAnsi="Arial" w:cs="Arial"/>
          <w:sz w:val="19"/>
          <w:szCs w:val="19"/>
        </w:rPr>
        <w:t>al rates from suppliers</w:t>
      </w:r>
      <w:r w:rsidR="005B78BF" w:rsidRPr="005300DC">
        <w:rPr>
          <w:rFonts w:ascii="Arial" w:hAnsi="Arial" w:cs="Arial"/>
          <w:sz w:val="19"/>
          <w:szCs w:val="19"/>
        </w:rPr>
        <w:t>.  NEP takes an element of the price charged for goods and services</w:t>
      </w:r>
      <w:r w:rsidR="00091700" w:rsidRPr="005300DC">
        <w:rPr>
          <w:rFonts w:ascii="Arial" w:hAnsi="Arial" w:cs="Arial"/>
          <w:sz w:val="19"/>
          <w:szCs w:val="19"/>
        </w:rPr>
        <w:t xml:space="preserve"> before passing on </w:t>
      </w:r>
      <w:r w:rsidR="005B78BF" w:rsidRPr="005300DC">
        <w:rPr>
          <w:rFonts w:ascii="Arial" w:hAnsi="Arial" w:cs="Arial"/>
          <w:sz w:val="19"/>
          <w:szCs w:val="19"/>
        </w:rPr>
        <w:t xml:space="preserve">the </w:t>
      </w:r>
      <w:r w:rsidR="00091700" w:rsidRPr="005300DC">
        <w:rPr>
          <w:rFonts w:ascii="Arial" w:hAnsi="Arial" w:cs="Arial"/>
          <w:sz w:val="19"/>
          <w:szCs w:val="19"/>
        </w:rPr>
        <w:t xml:space="preserve">final price to </w:t>
      </w:r>
      <w:r w:rsidR="005B78BF" w:rsidRPr="005300DC">
        <w:rPr>
          <w:rFonts w:ascii="Arial" w:hAnsi="Arial" w:cs="Arial"/>
          <w:sz w:val="19"/>
          <w:szCs w:val="19"/>
        </w:rPr>
        <w:t>Homes for Northumberland</w:t>
      </w:r>
      <w:r w:rsidR="00091700" w:rsidRPr="005300DC">
        <w:rPr>
          <w:rFonts w:ascii="Arial" w:hAnsi="Arial" w:cs="Arial"/>
          <w:sz w:val="19"/>
          <w:szCs w:val="19"/>
        </w:rPr>
        <w:t xml:space="preserve">.  </w:t>
      </w:r>
      <w:r w:rsidR="005B78BF" w:rsidRPr="005300DC">
        <w:rPr>
          <w:rFonts w:ascii="Arial" w:hAnsi="Arial" w:cs="Arial"/>
          <w:sz w:val="19"/>
          <w:szCs w:val="19"/>
        </w:rPr>
        <w:t>Homes for Northumberland</w:t>
      </w:r>
      <w:r w:rsidR="00091700" w:rsidRPr="005300DC">
        <w:rPr>
          <w:rFonts w:ascii="Arial" w:hAnsi="Arial" w:cs="Arial"/>
          <w:sz w:val="19"/>
          <w:szCs w:val="19"/>
        </w:rPr>
        <w:t xml:space="preserve"> do</w:t>
      </w:r>
      <w:r w:rsidR="00AB18D9" w:rsidRPr="005300DC">
        <w:rPr>
          <w:rFonts w:ascii="Arial" w:hAnsi="Arial" w:cs="Arial"/>
          <w:sz w:val="19"/>
          <w:szCs w:val="19"/>
        </w:rPr>
        <w:t>es not make any direct payments to NEP.</w:t>
      </w:r>
    </w:p>
    <w:p w:rsidR="00DE1A52" w:rsidRPr="00743922" w:rsidRDefault="00743922" w:rsidP="00201B4C">
      <w:pPr>
        <w:pStyle w:val="NormalIndent"/>
        <w:spacing w:after="0"/>
        <w:ind w:left="0"/>
        <w:jc w:val="left"/>
        <w:rPr>
          <w:rFonts w:ascii="Arial" w:hAnsi="Arial" w:cs="Arial"/>
          <w:b/>
          <w:sz w:val="19"/>
          <w:szCs w:val="19"/>
        </w:rPr>
      </w:pPr>
      <w:r>
        <w:rPr>
          <w:rFonts w:ascii="Arial" w:hAnsi="Arial" w:cs="Arial"/>
          <w:b/>
          <w:sz w:val="19"/>
          <w:szCs w:val="19"/>
        </w:rPr>
        <w:lastRenderedPageBreak/>
        <w:t>19 Related Parties and Ultimate Parent Undertaking (continued)</w:t>
      </w:r>
    </w:p>
    <w:p w:rsidR="00743922" w:rsidRPr="005300DC" w:rsidRDefault="00743922" w:rsidP="00201B4C">
      <w:pPr>
        <w:pStyle w:val="NormalIndent"/>
        <w:spacing w:after="0"/>
        <w:ind w:left="0"/>
        <w:jc w:val="left"/>
        <w:rPr>
          <w:rFonts w:ascii="Arial" w:hAnsi="Arial" w:cs="Arial"/>
          <w:sz w:val="19"/>
          <w:szCs w:val="19"/>
        </w:rPr>
      </w:pPr>
    </w:p>
    <w:p w:rsidR="00DE1A52" w:rsidRPr="005300DC" w:rsidRDefault="00DE1A52" w:rsidP="00201B4C">
      <w:pPr>
        <w:pStyle w:val="NormalIndent"/>
        <w:spacing w:after="0"/>
        <w:ind w:left="0"/>
        <w:jc w:val="left"/>
        <w:rPr>
          <w:rFonts w:ascii="Arial" w:hAnsi="Arial" w:cs="Arial"/>
          <w:sz w:val="19"/>
          <w:szCs w:val="19"/>
        </w:rPr>
      </w:pPr>
      <w:r w:rsidRPr="005300DC">
        <w:rPr>
          <w:rFonts w:ascii="Arial" w:hAnsi="Arial" w:cs="Arial"/>
          <w:sz w:val="19"/>
          <w:szCs w:val="19"/>
        </w:rPr>
        <w:t xml:space="preserve">There are a number of </w:t>
      </w:r>
      <w:r w:rsidR="00E445E1" w:rsidRPr="005300DC">
        <w:rPr>
          <w:rFonts w:ascii="Arial" w:hAnsi="Arial" w:cs="Arial"/>
          <w:sz w:val="19"/>
          <w:szCs w:val="19"/>
        </w:rPr>
        <w:t>B</w:t>
      </w:r>
      <w:r w:rsidRPr="005300DC">
        <w:rPr>
          <w:rFonts w:ascii="Arial" w:hAnsi="Arial" w:cs="Arial"/>
          <w:sz w:val="19"/>
          <w:szCs w:val="19"/>
        </w:rPr>
        <w:t xml:space="preserve">oard </w:t>
      </w:r>
      <w:r w:rsidR="00E445E1" w:rsidRPr="005300DC">
        <w:rPr>
          <w:rFonts w:ascii="Arial" w:hAnsi="Arial" w:cs="Arial"/>
          <w:sz w:val="19"/>
          <w:szCs w:val="19"/>
        </w:rPr>
        <w:t>M</w:t>
      </w:r>
      <w:r w:rsidRPr="005300DC">
        <w:rPr>
          <w:rFonts w:ascii="Arial" w:hAnsi="Arial" w:cs="Arial"/>
          <w:sz w:val="19"/>
          <w:szCs w:val="19"/>
        </w:rPr>
        <w:t xml:space="preserve">embers, employees, apprentices and family members of employees who are Homes for Northumberland tenants.  This is actively encouraged by Homes for Northumberland to engage and employ the community that we serve.  There is no favourable treatment </w:t>
      </w:r>
      <w:r w:rsidR="007C1AF4" w:rsidRPr="005300DC">
        <w:rPr>
          <w:rFonts w:ascii="Arial" w:hAnsi="Arial" w:cs="Arial"/>
          <w:sz w:val="19"/>
          <w:szCs w:val="19"/>
        </w:rPr>
        <w:t>towards</w:t>
      </w:r>
      <w:r w:rsidRPr="005300DC">
        <w:rPr>
          <w:rFonts w:ascii="Arial" w:hAnsi="Arial" w:cs="Arial"/>
          <w:sz w:val="19"/>
          <w:szCs w:val="19"/>
        </w:rPr>
        <w:t xml:space="preserve"> these tenants</w:t>
      </w:r>
      <w:r w:rsidR="007C1AF4" w:rsidRPr="005300DC">
        <w:rPr>
          <w:rFonts w:ascii="Arial" w:hAnsi="Arial" w:cs="Arial"/>
          <w:sz w:val="19"/>
          <w:szCs w:val="19"/>
        </w:rPr>
        <w:t xml:space="preserve"> and their families</w:t>
      </w:r>
      <w:r w:rsidRPr="005300DC">
        <w:rPr>
          <w:rFonts w:ascii="Arial" w:hAnsi="Arial" w:cs="Arial"/>
          <w:sz w:val="19"/>
          <w:szCs w:val="19"/>
        </w:rPr>
        <w:t>, as</w:t>
      </w:r>
      <w:r w:rsidR="007C1AF4" w:rsidRPr="005300DC">
        <w:rPr>
          <w:rFonts w:ascii="Arial" w:hAnsi="Arial" w:cs="Arial"/>
          <w:sz w:val="19"/>
          <w:szCs w:val="19"/>
        </w:rPr>
        <w:t xml:space="preserve"> our</w:t>
      </w:r>
      <w:r w:rsidRPr="005300DC">
        <w:rPr>
          <w:rFonts w:ascii="Arial" w:hAnsi="Arial" w:cs="Arial"/>
          <w:sz w:val="19"/>
          <w:szCs w:val="19"/>
        </w:rPr>
        <w:t xml:space="preserve"> processes are set </w:t>
      </w:r>
      <w:r w:rsidR="007C1AF4" w:rsidRPr="005300DC">
        <w:rPr>
          <w:rFonts w:ascii="Arial" w:hAnsi="Arial" w:cs="Arial"/>
          <w:sz w:val="19"/>
          <w:szCs w:val="19"/>
        </w:rPr>
        <w:t xml:space="preserve">and followed </w:t>
      </w:r>
      <w:r w:rsidR="00D252B7" w:rsidRPr="005300DC">
        <w:rPr>
          <w:rFonts w:ascii="Arial" w:hAnsi="Arial" w:cs="Arial"/>
          <w:sz w:val="19"/>
          <w:szCs w:val="19"/>
        </w:rPr>
        <w:t xml:space="preserve">consistently </w:t>
      </w:r>
      <w:r w:rsidR="007C1AF4" w:rsidRPr="005300DC">
        <w:rPr>
          <w:rFonts w:ascii="Arial" w:hAnsi="Arial" w:cs="Arial"/>
          <w:sz w:val="19"/>
          <w:szCs w:val="19"/>
        </w:rPr>
        <w:t>for every tenant.</w:t>
      </w:r>
    </w:p>
    <w:p w:rsidR="00201B4C" w:rsidRPr="00C46A29" w:rsidRDefault="00201B4C" w:rsidP="00201B4C">
      <w:pPr>
        <w:pStyle w:val="NormalIndent"/>
        <w:spacing w:after="0"/>
        <w:ind w:left="0"/>
        <w:jc w:val="left"/>
        <w:rPr>
          <w:rFonts w:ascii="Arial" w:hAnsi="Arial" w:cs="Arial"/>
          <w:sz w:val="19"/>
          <w:szCs w:val="19"/>
          <w:highlight w:val="yellow"/>
        </w:rPr>
      </w:pPr>
    </w:p>
    <w:p w:rsidR="00E445E1" w:rsidRPr="00C46A29" w:rsidRDefault="00E445E1" w:rsidP="00201B4C">
      <w:pPr>
        <w:pStyle w:val="NormalIndent"/>
        <w:spacing w:after="0"/>
        <w:ind w:left="0"/>
        <w:jc w:val="left"/>
        <w:rPr>
          <w:rFonts w:ascii="Arial" w:hAnsi="Arial" w:cs="Arial"/>
          <w:sz w:val="19"/>
          <w:szCs w:val="19"/>
          <w:highlight w:val="yellow"/>
        </w:rPr>
      </w:pPr>
    </w:p>
    <w:p w:rsidR="00383740" w:rsidRPr="00ED2B58" w:rsidRDefault="002B3635" w:rsidP="00201B4C">
      <w:pPr>
        <w:pStyle w:val="Heading1"/>
        <w:numPr>
          <w:ilvl w:val="0"/>
          <w:numId w:val="0"/>
        </w:numPr>
        <w:tabs>
          <w:tab w:val="clear" w:pos="567"/>
          <w:tab w:val="left" w:pos="0"/>
        </w:tabs>
        <w:rPr>
          <w:rFonts w:ascii="Arial" w:hAnsi="Arial" w:cs="Arial"/>
          <w:sz w:val="24"/>
          <w:szCs w:val="19"/>
          <w:lang w:val="en-US"/>
        </w:rPr>
      </w:pPr>
      <w:bookmarkStart w:id="28" w:name="_Toc390775333"/>
      <w:r w:rsidRPr="00ED2B58">
        <w:rPr>
          <w:rFonts w:ascii="Arial" w:hAnsi="Arial" w:cs="Arial"/>
          <w:caps w:val="0"/>
          <w:sz w:val="24"/>
          <w:szCs w:val="19"/>
          <w:lang w:val="en-US"/>
        </w:rPr>
        <w:t>2</w:t>
      </w:r>
      <w:r w:rsidR="00201B4C" w:rsidRPr="00ED2B58">
        <w:rPr>
          <w:rFonts w:ascii="Arial" w:hAnsi="Arial" w:cs="Arial"/>
          <w:caps w:val="0"/>
          <w:sz w:val="24"/>
          <w:szCs w:val="19"/>
          <w:lang w:val="en-US"/>
        </w:rPr>
        <w:t>0</w:t>
      </w:r>
      <w:r w:rsidR="00201B4C" w:rsidRPr="00ED2B58">
        <w:rPr>
          <w:rFonts w:ascii="Arial" w:hAnsi="Arial" w:cs="Arial"/>
          <w:caps w:val="0"/>
          <w:sz w:val="24"/>
          <w:szCs w:val="19"/>
          <w:lang w:val="en-US"/>
        </w:rPr>
        <w:tab/>
        <w:t>Operating Leases</w:t>
      </w:r>
      <w:bookmarkEnd w:id="28"/>
    </w:p>
    <w:p w:rsidR="00383740" w:rsidRPr="00ED2B58" w:rsidRDefault="00201B4C" w:rsidP="001C57E9">
      <w:pPr>
        <w:autoSpaceDE w:val="0"/>
        <w:autoSpaceDN w:val="0"/>
        <w:adjustRightInd w:val="0"/>
        <w:spacing w:after="0"/>
        <w:jc w:val="left"/>
        <w:rPr>
          <w:rFonts w:ascii="Arial" w:hAnsi="Arial" w:cs="Arial"/>
          <w:color w:val="000000"/>
          <w:sz w:val="19"/>
          <w:szCs w:val="19"/>
        </w:rPr>
      </w:pPr>
      <w:r w:rsidRPr="00ED2B58">
        <w:rPr>
          <w:rFonts w:ascii="Arial" w:hAnsi="Arial" w:cs="Arial"/>
          <w:color w:val="000000"/>
          <w:sz w:val="19"/>
          <w:szCs w:val="19"/>
        </w:rPr>
        <w:t>The Company</w:t>
      </w:r>
      <w:r w:rsidR="00383740" w:rsidRPr="00ED2B58">
        <w:rPr>
          <w:rFonts w:ascii="Arial" w:hAnsi="Arial" w:cs="Arial"/>
          <w:color w:val="000000"/>
          <w:sz w:val="19"/>
          <w:szCs w:val="19"/>
        </w:rPr>
        <w:t xml:space="preserve"> has entered into operating leases for the provision of the vehicle fleet and use of the Civic Centre. The payments due in the next 12 months under these leases are as follows</w:t>
      </w:r>
      <w:r w:rsidR="001C57E9" w:rsidRPr="00ED2B58">
        <w:rPr>
          <w:rFonts w:ascii="Arial" w:hAnsi="Arial" w:cs="Arial"/>
          <w:color w:val="000000"/>
          <w:sz w:val="19"/>
          <w:szCs w:val="19"/>
        </w:rPr>
        <w:t>:</w:t>
      </w:r>
    </w:p>
    <w:p w:rsidR="001C57E9" w:rsidRPr="00C46A29" w:rsidRDefault="001C57E9" w:rsidP="001C57E9">
      <w:pPr>
        <w:autoSpaceDE w:val="0"/>
        <w:autoSpaceDN w:val="0"/>
        <w:adjustRightInd w:val="0"/>
        <w:spacing w:after="0"/>
        <w:jc w:val="left"/>
        <w:rPr>
          <w:rFonts w:ascii="Arial" w:hAnsi="Arial" w:cs="Arial"/>
          <w:color w:val="000000"/>
          <w:sz w:val="19"/>
          <w:szCs w:val="19"/>
          <w:highlight w:val="yellow"/>
        </w:rPr>
      </w:pPr>
    </w:p>
    <w:tbl>
      <w:tblPr>
        <w:tblW w:w="9498" w:type="dxa"/>
        <w:tblLayout w:type="fixed"/>
        <w:tblCellMar>
          <w:left w:w="28" w:type="dxa"/>
          <w:right w:w="28" w:type="dxa"/>
        </w:tblCellMar>
        <w:tblLook w:val="0000" w:firstRow="0" w:lastRow="0" w:firstColumn="0" w:lastColumn="0" w:noHBand="0" w:noVBand="0"/>
      </w:tblPr>
      <w:tblGrid>
        <w:gridCol w:w="3828"/>
        <w:gridCol w:w="28"/>
        <w:gridCol w:w="76"/>
        <w:gridCol w:w="1432"/>
        <w:gridCol w:w="1432"/>
        <w:gridCol w:w="1433"/>
        <w:gridCol w:w="1269"/>
      </w:tblGrid>
      <w:tr w:rsidR="00383740" w:rsidRPr="00C46A29" w:rsidTr="00270CEB">
        <w:trPr>
          <w:cantSplit/>
        </w:trPr>
        <w:tc>
          <w:tcPr>
            <w:tcW w:w="3828" w:type="dxa"/>
          </w:tcPr>
          <w:p w:rsidR="00383740" w:rsidRPr="00C46A29" w:rsidRDefault="00383740" w:rsidP="003A1BD9">
            <w:pPr>
              <w:pStyle w:val="Tindent"/>
              <w:keepLines/>
              <w:rPr>
                <w:rFonts w:ascii="Arial" w:hAnsi="Arial" w:cs="Arial"/>
                <w:b/>
                <w:sz w:val="19"/>
                <w:szCs w:val="19"/>
                <w:highlight w:val="yellow"/>
              </w:rPr>
            </w:pPr>
          </w:p>
        </w:tc>
        <w:tc>
          <w:tcPr>
            <w:tcW w:w="104" w:type="dxa"/>
            <w:gridSpan w:val="2"/>
          </w:tcPr>
          <w:p w:rsidR="00383740" w:rsidRPr="00C46A29" w:rsidRDefault="00383740" w:rsidP="003A1BD9">
            <w:pPr>
              <w:pStyle w:val="Thead"/>
              <w:rPr>
                <w:rFonts w:ascii="Arial" w:hAnsi="Arial" w:cs="Arial"/>
                <w:sz w:val="19"/>
                <w:szCs w:val="19"/>
                <w:highlight w:val="yellow"/>
              </w:rPr>
            </w:pPr>
          </w:p>
        </w:tc>
        <w:tc>
          <w:tcPr>
            <w:tcW w:w="1432" w:type="dxa"/>
          </w:tcPr>
          <w:p w:rsidR="00383740" w:rsidRPr="00ED2B58" w:rsidRDefault="002C5113" w:rsidP="003A1BD9">
            <w:pPr>
              <w:pStyle w:val="Thead"/>
              <w:rPr>
                <w:rFonts w:ascii="Arial" w:hAnsi="Arial" w:cs="Arial"/>
                <w:sz w:val="19"/>
                <w:szCs w:val="19"/>
              </w:rPr>
            </w:pPr>
            <w:r w:rsidRPr="00ED2B58">
              <w:rPr>
                <w:rFonts w:ascii="Arial" w:hAnsi="Arial" w:cs="Arial"/>
                <w:sz w:val="19"/>
                <w:szCs w:val="19"/>
              </w:rPr>
              <w:t>2015</w:t>
            </w:r>
          </w:p>
          <w:p w:rsidR="000C3E8F" w:rsidRPr="00ED2B58" w:rsidRDefault="000C3E8F" w:rsidP="003A1BD9">
            <w:pPr>
              <w:pStyle w:val="Thead"/>
              <w:rPr>
                <w:rFonts w:ascii="Arial" w:hAnsi="Arial" w:cs="Arial"/>
                <w:sz w:val="19"/>
                <w:szCs w:val="19"/>
              </w:rPr>
            </w:pPr>
          </w:p>
          <w:p w:rsidR="000C3E8F" w:rsidRPr="00ED2B58" w:rsidRDefault="000C3E8F" w:rsidP="003A1BD9">
            <w:pPr>
              <w:pStyle w:val="Thead"/>
              <w:rPr>
                <w:rFonts w:ascii="Arial" w:hAnsi="Arial" w:cs="Arial"/>
                <w:sz w:val="19"/>
                <w:szCs w:val="19"/>
              </w:rPr>
            </w:pPr>
            <w:r w:rsidRPr="00ED2B58">
              <w:rPr>
                <w:rFonts w:ascii="Arial" w:hAnsi="Arial" w:cs="Arial"/>
                <w:sz w:val="19"/>
                <w:szCs w:val="19"/>
              </w:rPr>
              <w:t>Buildings</w:t>
            </w:r>
          </w:p>
          <w:p w:rsidR="000C3E8F" w:rsidRPr="00ED2B58" w:rsidRDefault="000C3E8F" w:rsidP="003A1BD9">
            <w:pPr>
              <w:pStyle w:val="Thead"/>
              <w:rPr>
                <w:rFonts w:ascii="Arial" w:hAnsi="Arial" w:cs="Arial"/>
                <w:sz w:val="19"/>
                <w:szCs w:val="19"/>
              </w:rPr>
            </w:pPr>
            <w:r w:rsidRPr="00ED2B58">
              <w:rPr>
                <w:rFonts w:ascii="Arial" w:hAnsi="Arial" w:cs="Arial"/>
                <w:sz w:val="19"/>
                <w:szCs w:val="19"/>
              </w:rPr>
              <w:t>£000</w:t>
            </w:r>
          </w:p>
        </w:tc>
        <w:tc>
          <w:tcPr>
            <w:tcW w:w="1432" w:type="dxa"/>
          </w:tcPr>
          <w:p w:rsidR="00383740" w:rsidRPr="00ED2B58" w:rsidRDefault="000C3E8F" w:rsidP="003A1BD9">
            <w:pPr>
              <w:pStyle w:val="Thead"/>
              <w:rPr>
                <w:rFonts w:ascii="Arial" w:hAnsi="Arial" w:cs="Arial"/>
                <w:sz w:val="19"/>
                <w:szCs w:val="19"/>
              </w:rPr>
            </w:pPr>
            <w:r w:rsidRPr="00ED2B58">
              <w:rPr>
                <w:rFonts w:ascii="Arial" w:hAnsi="Arial" w:cs="Arial"/>
                <w:sz w:val="19"/>
                <w:szCs w:val="19"/>
              </w:rPr>
              <w:t>201</w:t>
            </w:r>
            <w:r w:rsidR="002C5113" w:rsidRPr="00ED2B58">
              <w:rPr>
                <w:rFonts w:ascii="Arial" w:hAnsi="Arial" w:cs="Arial"/>
                <w:sz w:val="19"/>
                <w:szCs w:val="19"/>
              </w:rPr>
              <w:t>5</w:t>
            </w:r>
          </w:p>
          <w:p w:rsidR="000C3E8F" w:rsidRPr="00ED2B58" w:rsidRDefault="000C3E8F" w:rsidP="003A1BD9">
            <w:pPr>
              <w:pStyle w:val="Thead"/>
              <w:rPr>
                <w:rFonts w:ascii="Arial" w:hAnsi="Arial" w:cs="Arial"/>
                <w:sz w:val="19"/>
                <w:szCs w:val="19"/>
              </w:rPr>
            </w:pPr>
            <w:r w:rsidRPr="00ED2B58">
              <w:rPr>
                <w:rFonts w:ascii="Arial" w:hAnsi="Arial" w:cs="Arial"/>
                <w:sz w:val="19"/>
                <w:szCs w:val="19"/>
              </w:rPr>
              <w:t>Plant and Equipment</w:t>
            </w:r>
          </w:p>
          <w:p w:rsidR="000C3E8F" w:rsidRPr="00ED2B58" w:rsidRDefault="000C3E8F" w:rsidP="003A1BD9">
            <w:pPr>
              <w:pStyle w:val="Thead"/>
              <w:rPr>
                <w:rFonts w:ascii="Arial" w:hAnsi="Arial" w:cs="Arial"/>
                <w:sz w:val="19"/>
                <w:szCs w:val="19"/>
              </w:rPr>
            </w:pPr>
            <w:r w:rsidRPr="00ED2B58">
              <w:rPr>
                <w:rFonts w:ascii="Arial" w:hAnsi="Arial" w:cs="Arial"/>
                <w:sz w:val="19"/>
                <w:szCs w:val="19"/>
              </w:rPr>
              <w:t>£000</w:t>
            </w:r>
          </w:p>
        </w:tc>
        <w:tc>
          <w:tcPr>
            <w:tcW w:w="1433" w:type="dxa"/>
          </w:tcPr>
          <w:p w:rsidR="00383740" w:rsidRPr="00ED2B58" w:rsidRDefault="002C5113" w:rsidP="003A1BD9">
            <w:pPr>
              <w:pStyle w:val="Thead"/>
              <w:rPr>
                <w:rFonts w:ascii="Arial" w:hAnsi="Arial" w:cs="Arial"/>
                <w:sz w:val="19"/>
                <w:szCs w:val="19"/>
              </w:rPr>
            </w:pPr>
            <w:r w:rsidRPr="00ED2B58">
              <w:rPr>
                <w:rFonts w:ascii="Arial" w:hAnsi="Arial" w:cs="Arial"/>
                <w:sz w:val="19"/>
                <w:szCs w:val="19"/>
              </w:rPr>
              <w:t>2015</w:t>
            </w:r>
          </w:p>
          <w:p w:rsidR="000C3E8F" w:rsidRPr="00ED2B58" w:rsidRDefault="000C3E8F" w:rsidP="003A1BD9">
            <w:pPr>
              <w:pStyle w:val="Thead"/>
              <w:rPr>
                <w:rFonts w:ascii="Arial" w:hAnsi="Arial" w:cs="Arial"/>
                <w:sz w:val="19"/>
                <w:szCs w:val="19"/>
              </w:rPr>
            </w:pPr>
          </w:p>
          <w:p w:rsidR="000C3E8F" w:rsidRPr="00ED2B58" w:rsidRDefault="000C3E8F" w:rsidP="003A1BD9">
            <w:pPr>
              <w:pStyle w:val="Thead"/>
              <w:rPr>
                <w:rFonts w:ascii="Arial" w:hAnsi="Arial" w:cs="Arial"/>
                <w:sz w:val="19"/>
                <w:szCs w:val="19"/>
              </w:rPr>
            </w:pPr>
            <w:r w:rsidRPr="00ED2B58">
              <w:rPr>
                <w:rFonts w:ascii="Arial" w:hAnsi="Arial" w:cs="Arial"/>
                <w:sz w:val="19"/>
                <w:szCs w:val="19"/>
              </w:rPr>
              <w:t>Total</w:t>
            </w:r>
          </w:p>
          <w:p w:rsidR="00383740" w:rsidRPr="00ED2B58" w:rsidRDefault="00383740" w:rsidP="003A1BD9">
            <w:pPr>
              <w:pStyle w:val="Thead"/>
              <w:rPr>
                <w:rFonts w:ascii="Arial" w:hAnsi="Arial" w:cs="Arial"/>
                <w:sz w:val="19"/>
                <w:szCs w:val="19"/>
              </w:rPr>
            </w:pPr>
            <w:r w:rsidRPr="00ED2B58">
              <w:rPr>
                <w:rFonts w:ascii="Arial" w:hAnsi="Arial" w:cs="Arial"/>
                <w:sz w:val="19"/>
                <w:szCs w:val="19"/>
              </w:rPr>
              <w:t>£000</w:t>
            </w:r>
          </w:p>
        </w:tc>
        <w:tc>
          <w:tcPr>
            <w:tcW w:w="1269" w:type="dxa"/>
          </w:tcPr>
          <w:p w:rsidR="00383740" w:rsidRPr="002C5113" w:rsidRDefault="002C5113" w:rsidP="003A1BD9">
            <w:pPr>
              <w:pStyle w:val="Thead"/>
              <w:rPr>
                <w:rFonts w:ascii="Arial" w:hAnsi="Arial" w:cs="Arial"/>
                <w:sz w:val="19"/>
                <w:szCs w:val="19"/>
              </w:rPr>
            </w:pPr>
            <w:r w:rsidRPr="002C5113">
              <w:rPr>
                <w:rFonts w:ascii="Arial" w:hAnsi="Arial" w:cs="Arial"/>
                <w:sz w:val="19"/>
                <w:szCs w:val="19"/>
              </w:rPr>
              <w:t>2014</w:t>
            </w:r>
          </w:p>
          <w:p w:rsidR="00270CEB" w:rsidRPr="002C5113" w:rsidRDefault="00270CEB" w:rsidP="003A1BD9">
            <w:pPr>
              <w:pStyle w:val="Thead"/>
              <w:rPr>
                <w:rFonts w:ascii="Arial" w:hAnsi="Arial" w:cs="Arial"/>
                <w:sz w:val="19"/>
                <w:szCs w:val="19"/>
              </w:rPr>
            </w:pPr>
          </w:p>
          <w:p w:rsidR="00270CEB" w:rsidRPr="002C5113" w:rsidRDefault="00270CEB" w:rsidP="003A1BD9">
            <w:pPr>
              <w:pStyle w:val="Thead"/>
              <w:rPr>
                <w:rFonts w:ascii="Arial" w:hAnsi="Arial" w:cs="Arial"/>
                <w:sz w:val="19"/>
                <w:szCs w:val="19"/>
              </w:rPr>
            </w:pPr>
            <w:r w:rsidRPr="002C5113">
              <w:rPr>
                <w:rFonts w:ascii="Arial" w:hAnsi="Arial" w:cs="Arial"/>
                <w:sz w:val="19"/>
                <w:szCs w:val="19"/>
              </w:rPr>
              <w:t>Total</w:t>
            </w:r>
          </w:p>
          <w:p w:rsidR="00383740" w:rsidRPr="002C5113" w:rsidRDefault="00270CEB" w:rsidP="003A1BD9">
            <w:pPr>
              <w:pStyle w:val="Thead"/>
              <w:rPr>
                <w:rFonts w:ascii="Arial" w:hAnsi="Arial" w:cs="Arial"/>
                <w:sz w:val="19"/>
                <w:szCs w:val="19"/>
              </w:rPr>
            </w:pPr>
            <w:r w:rsidRPr="002C5113">
              <w:rPr>
                <w:rFonts w:ascii="Arial" w:hAnsi="Arial" w:cs="Arial"/>
                <w:sz w:val="19"/>
                <w:szCs w:val="19"/>
              </w:rPr>
              <w:t>£000</w:t>
            </w:r>
          </w:p>
        </w:tc>
      </w:tr>
      <w:tr w:rsidR="00383740" w:rsidRPr="00C46A29" w:rsidTr="00270CEB">
        <w:trPr>
          <w:cantSplit/>
        </w:trPr>
        <w:tc>
          <w:tcPr>
            <w:tcW w:w="3856" w:type="dxa"/>
            <w:gridSpan w:val="2"/>
          </w:tcPr>
          <w:p w:rsidR="00383740" w:rsidRPr="002C5113" w:rsidRDefault="00F16068" w:rsidP="003A1BD9">
            <w:pPr>
              <w:pStyle w:val="Tindent"/>
              <w:rPr>
                <w:rFonts w:ascii="Arial" w:hAnsi="Arial" w:cs="Arial"/>
                <w:b/>
                <w:sz w:val="19"/>
                <w:szCs w:val="19"/>
              </w:rPr>
            </w:pPr>
            <w:r w:rsidRPr="002C5113">
              <w:rPr>
                <w:rFonts w:ascii="Arial" w:hAnsi="Arial" w:cs="Arial"/>
                <w:b/>
                <w:sz w:val="19"/>
                <w:szCs w:val="19"/>
              </w:rPr>
              <w:t>Leases expiring in:</w:t>
            </w:r>
          </w:p>
        </w:tc>
        <w:tc>
          <w:tcPr>
            <w:tcW w:w="76" w:type="dxa"/>
          </w:tcPr>
          <w:p w:rsidR="00383740" w:rsidRPr="00C46A29" w:rsidRDefault="00383740" w:rsidP="003A1BD9">
            <w:pPr>
              <w:pStyle w:val="Tdec"/>
              <w:rPr>
                <w:rFonts w:ascii="Arial" w:hAnsi="Arial" w:cs="Arial"/>
                <w:sz w:val="19"/>
                <w:szCs w:val="19"/>
                <w:highlight w:val="yellow"/>
              </w:rPr>
            </w:pPr>
          </w:p>
        </w:tc>
        <w:tc>
          <w:tcPr>
            <w:tcW w:w="1432" w:type="dxa"/>
          </w:tcPr>
          <w:p w:rsidR="00383740" w:rsidRPr="00ED2B58" w:rsidRDefault="00383740" w:rsidP="003A1BD9">
            <w:pPr>
              <w:pStyle w:val="Tdec"/>
              <w:rPr>
                <w:rFonts w:ascii="Arial" w:hAnsi="Arial" w:cs="Arial"/>
                <w:sz w:val="19"/>
                <w:szCs w:val="19"/>
              </w:rPr>
            </w:pPr>
          </w:p>
        </w:tc>
        <w:tc>
          <w:tcPr>
            <w:tcW w:w="1432" w:type="dxa"/>
          </w:tcPr>
          <w:p w:rsidR="00383740" w:rsidRPr="00ED2B58" w:rsidRDefault="00383740" w:rsidP="003A1BD9">
            <w:pPr>
              <w:pStyle w:val="Tdec"/>
              <w:rPr>
                <w:rFonts w:ascii="Arial" w:hAnsi="Arial" w:cs="Arial"/>
                <w:sz w:val="19"/>
                <w:szCs w:val="19"/>
              </w:rPr>
            </w:pPr>
          </w:p>
        </w:tc>
        <w:tc>
          <w:tcPr>
            <w:tcW w:w="1433" w:type="dxa"/>
          </w:tcPr>
          <w:p w:rsidR="00383740" w:rsidRPr="00ED2B58" w:rsidRDefault="00383740" w:rsidP="003A1BD9">
            <w:pPr>
              <w:pStyle w:val="Tdec"/>
              <w:rPr>
                <w:rFonts w:ascii="Arial" w:hAnsi="Arial" w:cs="Arial"/>
                <w:sz w:val="19"/>
                <w:szCs w:val="19"/>
              </w:rPr>
            </w:pPr>
          </w:p>
        </w:tc>
        <w:tc>
          <w:tcPr>
            <w:tcW w:w="1269" w:type="dxa"/>
          </w:tcPr>
          <w:p w:rsidR="00383740" w:rsidRPr="002C5113" w:rsidRDefault="00383740" w:rsidP="003A1BD9">
            <w:pPr>
              <w:pStyle w:val="Tdec"/>
              <w:rPr>
                <w:rFonts w:ascii="Arial" w:hAnsi="Arial" w:cs="Arial"/>
                <w:sz w:val="19"/>
                <w:szCs w:val="19"/>
              </w:rPr>
            </w:pPr>
          </w:p>
        </w:tc>
      </w:tr>
      <w:tr w:rsidR="00383740" w:rsidRPr="00C46A29" w:rsidTr="00270CEB">
        <w:trPr>
          <w:cantSplit/>
        </w:trPr>
        <w:tc>
          <w:tcPr>
            <w:tcW w:w="3856" w:type="dxa"/>
            <w:gridSpan w:val="2"/>
          </w:tcPr>
          <w:p w:rsidR="00383740" w:rsidRPr="002C5113" w:rsidRDefault="00383740" w:rsidP="003A1BD9">
            <w:pPr>
              <w:pStyle w:val="Tindent"/>
              <w:rPr>
                <w:rFonts w:ascii="Arial" w:hAnsi="Arial" w:cs="Arial"/>
                <w:sz w:val="19"/>
                <w:szCs w:val="19"/>
              </w:rPr>
            </w:pPr>
          </w:p>
        </w:tc>
        <w:tc>
          <w:tcPr>
            <w:tcW w:w="76" w:type="dxa"/>
          </w:tcPr>
          <w:p w:rsidR="00383740" w:rsidRPr="00C46A29" w:rsidRDefault="00383740" w:rsidP="003A1BD9">
            <w:pPr>
              <w:pStyle w:val="Tdec"/>
              <w:rPr>
                <w:rFonts w:ascii="Arial" w:hAnsi="Arial" w:cs="Arial"/>
                <w:sz w:val="19"/>
                <w:szCs w:val="19"/>
                <w:highlight w:val="yellow"/>
              </w:rPr>
            </w:pPr>
          </w:p>
        </w:tc>
        <w:tc>
          <w:tcPr>
            <w:tcW w:w="1432" w:type="dxa"/>
          </w:tcPr>
          <w:p w:rsidR="00383740" w:rsidRPr="00ED2B58" w:rsidRDefault="00383740" w:rsidP="003A1BD9">
            <w:pPr>
              <w:pStyle w:val="Tdec"/>
              <w:rPr>
                <w:rFonts w:ascii="Arial" w:hAnsi="Arial" w:cs="Arial"/>
                <w:sz w:val="19"/>
                <w:szCs w:val="19"/>
              </w:rPr>
            </w:pPr>
          </w:p>
        </w:tc>
        <w:tc>
          <w:tcPr>
            <w:tcW w:w="1432" w:type="dxa"/>
          </w:tcPr>
          <w:p w:rsidR="00383740" w:rsidRPr="00ED2B58" w:rsidRDefault="00383740" w:rsidP="003A1BD9">
            <w:pPr>
              <w:pStyle w:val="Tdec"/>
              <w:rPr>
                <w:rFonts w:ascii="Arial" w:hAnsi="Arial" w:cs="Arial"/>
                <w:sz w:val="19"/>
                <w:szCs w:val="19"/>
              </w:rPr>
            </w:pPr>
          </w:p>
        </w:tc>
        <w:tc>
          <w:tcPr>
            <w:tcW w:w="1433" w:type="dxa"/>
          </w:tcPr>
          <w:p w:rsidR="00383740" w:rsidRPr="00ED2B58" w:rsidRDefault="00383740" w:rsidP="003A1BD9">
            <w:pPr>
              <w:pStyle w:val="Tdec"/>
              <w:rPr>
                <w:rFonts w:ascii="Arial" w:hAnsi="Arial" w:cs="Arial"/>
                <w:sz w:val="19"/>
                <w:szCs w:val="19"/>
              </w:rPr>
            </w:pPr>
          </w:p>
        </w:tc>
        <w:tc>
          <w:tcPr>
            <w:tcW w:w="1269" w:type="dxa"/>
          </w:tcPr>
          <w:p w:rsidR="00383740" w:rsidRPr="002C5113" w:rsidRDefault="00383740" w:rsidP="003A1BD9">
            <w:pPr>
              <w:pStyle w:val="Tdec"/>
              <w:rPr>
                <w:rFonts w:ascii="Arial" w:hAnsi="Arial" w:cs="Arial"/>
                <w:sz w:val="19"/>
                <w:szCs w:val="19"/>
              </w:rPr>
            </w:pPr>
          </w:p>
        </w:tc>
      </w:tr>
      <w:tr w:rsidR="00383740" w:rsidRPr="00C46A29" w:rsidTr="00270CEB">
        <w:trPr>
          <w:cantSplit/>
        </w:trPr>
        <w:tc>
          <w:tcPr>
            <w:tcW w:w="3856" w:type="dxa"/>
            <w:gridSpan w:val="2"/>
          </w:tcPr>
          <w:p w:rsidR="00383740" w:rsidRPr="002C5113" w:rsidRDefault="00383740" w:rsidP="003A1BD9">
            <w:pPr>
              <w:pStyle w:val="Tindent"/>
              <w:rPr>
                <w:rFonts w:ascii="Arial" w:hAnsi="Arial" w:cs="Arial"/>
                <w:sz w:val="19"/>
                <w:szCs w:val="19"/>
              </w:rPr>
            </w:pPr>
            <w:r w:rsidRPr="002C5113">
              <w:rPr>
                <w:rFonts w:ascii="Arial" w:hAnsi="Arial" w:cs="Arial"/>
                <w:sz w:val="19"/>
                <w:szCs w:val="19"/>
              </w:rPr>
              <w:t>One year</w:t>
            </w:r>
          </w:p>
        </w:tc>
        <w:tc>
          <w:tcPr>
            <w:tcW w:w="76" w:type="dxa"/>
          </w:tcPr>
          <w:p w:rsidR="00383740" w:rsidRPr="00C46A29" w:rsidRDefault="00383740" w:rsidP="003A1BD9">
            <w:pPr>
              <w:pStyle w:val="Tdec"/>
              <w:rPr>
                <w:rFonts w:ascii="Arial" w:hAnsi="Arial" w:cs="Arial"/>
                <w:sz w:val="19"/>
                <w:szCs w:val="19"/>
                <w:highlight w:val="yellow"/>
              </w:rPr>
            </w:pPr>
          </w:p>
        </w:tc>
        <w:tc>
          <w:tcPr>
            <w:tcW w:w="1432" w:type="dxa"/>
          </w:tcPr>
          <w:p w:rsidR="00383740" w:rsidRPr="00ED2B58" w:rsidRDefault="00AF2A52" w:rsidP="003A1BD9">
            <w:pPr>
              <w:pStyle w:val="Tdec"/>
              <w:rPr>
                <w:rFonts w:ascii="Arial" w:hAnsi="Arial" w:cs="Arial"/>
                <w:sz w:val="19"/>
                <w:szCs w:val="19"/>
              </w:rPr>
            </w:pPr>
            <w:r w:rsidRPr="00ED2B58">
              <w:rPr>
                <w:rFonts w:ascii="Arial" w:hAnsi="Arial" w:cs="Arial"/>
                <w:sz w:val="19"/>
                <w:szCs w:val="19"/>
              </w:rPr>
              <w:t>0</w:t>
            </w:r>
          </w:p>
        </w:tc>
        <w:tc>
          <w:tcPr>
            <w:tcW w:w="1432" w:type="dxa"/>
          </w:tcPr>
          <w:p w:rsidR="00383740" w:rsidRPr="00ED2B58" w:rsidRDefault="00ED2B58" w:rsidP="003A1BD9">
            <w:pPr>
              <w:pStyle w:val="Tdec"/>
              <w:rPr>
                <w:rFonts w:ascii="Arial" w:hAnsi="Arial" w:cs="Arial"/>
                <w:sz w:val="19"/>
                <w:szCs w:val="19"/>
              </w:rPr>
            </w:pPr>
            <w:r w:rsidRPr="00ED2B58">
              <w:rPr>
                <w:rFonts w:ascii="Arial" w:hAnsi="Arial" w:cs="Arial"/>
                <w:sz w:val="19"/>
                <w:szCs w:val="19"/>
              </w:rPr>
              <w:t>311</w:t>
            </w:r>
          </w:p>
        </w:tc>
        <w:tc>
          <w:tcPr>
            <w:tcW w:w="1433" w:type="dxa"/>
          </w:tcPr>
          <w:p w:rsidR="00383740" w:rsidRPr="00ED2B58" w:rsidRDefault="00ED2B58" w:rsidP="003A1BD9">
            <w:pPr>
              <w:pStyle w:val="Tdec"/>
              <w:rPr>
                <w:rFonts w:ascii="Arial" w:hAnsi="Arial" w:cs="Arial"/>
                <w:sz w:val="19"/>
                <w:szCs w:val="19"/>
              </w:rPr>
            </w:pPr>
            <w:r w:rsidRPr="00ED2B58">
              <w:rPr>
                <w:rFonts w:ascii="Arial" w:hAnsi="Arial" w:cs="Arial"/>
                <w:sz w:val="19"/>
                <w:szCs w:val="19"/>
              </w:rPr>
              <w:t>311</w:t>
            </w:r>
          </w:p>
        </w:tc>
        <w:tc>
          <w:tcPr>
            <w:tcW w:w="1269" w:type="dxa"/>
          </w:tcPr>
          <w:p w:rsidR="00383740" w:rsidRPr="002C5113" w:rsidRDefault="002C5113" w:rsidP="003A1BD9">
            <w:pPr>
              <w:pStyle w:val="Tdec"/>
              <w:rPr>
                <w:rFonts w:ascii="Arial" w:hAnsi="Arial" w:cs="Arial"/>
                <w:sz w:val="19"/>
                <w:szCs w:val="19"/>
              </w:rPr>
            </w:pPr>
            <w:r w:rsidRPr="002C5113">
              <w:rPr>
                <w:rFonts w:ascii="Arial" w:hAnsi="Arial" w:cs="Arial"/>
                <w:sz w:val="19"/>
                <w:szCs w:val="19"/>
              </w:rPr>
              <w:t>4</w:t>
            </w:r>
          </w:p>
        </w:tc>
      </w:tr>
      <w:tr w:rsidR="00383740" w:rsidRPr="00C46A29" w:rsidTr="00270CEB">
        <w:trPr>
          <w:cantSplit/>
        </w:trPr>
        <w:tc>
          <w:tcPr>
            <w:tcW w:w="3856" w:type="dxa"/>
            <w:gridSpan w:val="2"/>
          </w:tcPr>
          <w:p w:rsidR="00383740" w:rsidRPr="002C5113" w:rsidRDefault="003A7671" w:rsidP="003A7671">
            <w:pPr>
              <w:pStyle w:val="Tindent"/>
              <w:rPr>
                <w:rFonts w:ascii="Arial" w:hAnsi="Arial" w:cs="Arial"/>
                <w:sz w:val="19"/>
                <w:szCs w:val="19"/>
              </w:rPr>
            </w:pPr>
            <w:r w:rsidRPr="002C5113">
              <w:rPr>
                <w:rFonts w:ascii="Arial" w:hAnsi="Arial" w:cs="Arial"/>
                <w:sz w:val="19"/>
                <w:szCs w:val="19"/>
              </w:rPr>
              <w:t>Two</w:t>
            </w:r>
            <w:r w:rsidR="00383740" w:rsidRPr="002C5113">
              <w:rPr>
                <w:rFonts w:ascii="Arial" w:hAnsi="Arial" w:cs="Arial"/>
                <w:sz w:val="19"/>
                <w:szCs w:val="19"/>
              </w:rPr>
              <w:t xml:space="preserve"> to five years</w:t>
            </w:r>
          </w:p>
        </w:tc>
        <w:tc>
          <w:tcPr>
            <w:tcW w:w="76" w:type="dxa"/>
          </w:tcPr>
          <w:p w:rsidR="00383740" w:rsidRPr="00C46A29" w:rsidRDefault="00383740" w:rsidP="003A1BD9">
            <w:pPr>
              <w:pStyle w:val="Tdec"/>
              <w:rPr>
                <w:rFonts w:ascii="Arial" w:hAnsi="Arial" w:cs="Arial"/>
                <w:sz w:val="19"/>
                <w:szCs w:val="19"/>
                <w:highlight w:val="yellow"/>
              </w:rPr>
            </w:pPr>
          </w:p>
        </w:tc>
        <w:tc>
          <w:tcPr>
            <w:tcW w:w="1432" w:type="dxa"/>
          </w:tcPr>
          <w:p w:rsidR="00383740" w:rsidRPr="00ED2B58" w:rsidRDefault="00ED2B58" w:rsidP="003A1BD9">
            <w:pPr>
              <w:pStyle w:val="Tdec"/>
              <w:rPr>
                <w:rFonts w:ascii="Arial" w:hAnsi="Arial" w:cs="Arial"/>
                <w:sz w:val="19"/>
                <w:szCs w:val="19"/>
              </w:rPr>
            </w:pPr>
            <w:r w:rsidRPr="00ED2B58">
              <w:rPr>
                <w:rFonts w:ascii="Arial" w:hAnsi="Arial" w:cs="Arial"/>
                <w:sz w:val="19"/>
                <w:szCs w:val="19"/>
              </w:rPr>
              <w:t>9</w:t>
            </w:r>
          </w:p>
        </w:tc>
        <w:tc>
          <w:tcPr>
            <w:tcW w:w="1432" w:type="dxa"/>
          </w:tcPr>
          <w:p w:rsidR="00383740" w:rsidRPr="00ED2B58" w:rsidRDefault="00ED2B58" w:rsidP="003A1BD9">
            <w:pPr>
              <w:pStyle w:val="Tdec"/>
              <w:rPr>
                <w:rFonts w:ascii="Arial" w:hAnsi="Arial" w:cs="Arial"/>
                <w:sz w:val="19"/>
                <w:szCs w:val="19"/>
              </w:rPr>
            </w:pPr>
            <w:r w:rsidRPr="00ED2B58">
              <w:rPr>
                <w:rFonts w:ascii="Arial" w:hAnsi="Arial" w:cs="Arial"/>
                <w:sz w:val="19"/>
                <w:szCs w:val="19"/>
              </w:rPr>
              <w:t>43</w:t>
            </w:r>
          </w:p>
        </w:tc>
        <w:tc>
          <w:tcPr>
            <w:tcW w:w="1433" w:type="dxa"/>
          </w:tcPr>
          <w:p w:rsidR="00383740" w:rsidRPr="00ED2B58" w:rsidRDefault="00ED2B58" w:rsidP="003A1BD9">
            <w:pPr>
              <w:pStyle w:val="Tdec"/>
              <w:rPr>
                <w:rFonts w:ascii="Arial" w:hAnsi="Arial" w:cs="Arial"/>
                <w:sz w:val="19"/>
                <w:szCs w:val="19"/>
              </w:rPr>
            </w:pPr>
            <w:r w:rsidRPr="00ED2B58">
              <w:rPr>
                <w:rFonts w:ascii="Arial" w:hAnsi="Arial" w:cs="Arial"/>
                <w:sz w:val="19"/>
                <w:szCs w:val="19"/>
              </w:rPr>
              <w:t>52</w:t>
            </w:r>
          </w:p>
        </w:tc>
        <w:tc>
          <w:tcPr>
            <w:tcW w:w="1269" w:type="dxa"/>
          </w:tcPr>
          <w:p w:rsidR="00383740" w:rsidRPr="002C5113" w:rsidRDefault="00383740" w:rsidP="003A1BD9">
            <w:pPr>
              <w:pStyle w:val="Tdec"/>
              <w:rPr>
                <w:rFonts w:ascii="Arial" w:hAnsi="Arial" w:cs="Arial"/>
                <w:sz w:val="19"/>
                <w:szCs w:val="19"/>
              </w:rPr>
            </w:pPr>
            <w:r w:rsidRPr="002C5113">
              <w:rPr>
                <w:rFonts w:ascii="Arial" w:hAnsi="Arial" w:cs="Arial"/>
                <w:sz w:val="19"/>
                <w:szCs w:val="19"/>
              </w:rPr>
              <w:t>3</w:t>
            </w:r>
            <w:r w:rsidR="002C5113" w:rsidRPr="002C5113">
              <w:rPr>
                <w:rFonts w:ascii="Arial" w:hAnsi="Arial" w:cs="Arial"/>
                <w:sz w:val="19"/>
                <w:szCs w:val="19"/>
              </w:rPr>
              <w:t>54</w:t>
            </w:r>
          </w:p>
        </w:tc>
      </w:tr>
      <w:tr w:rsidR="00383740" w:rsidRPr="00C46A29" w:rsidTr="00270CEB">
        <w:trPr>
          <w:cantSplit/>
        </w:trPr>
        <w:tc>
          <w:tcPr>
            <w:tcW w:w="3856" w:type="dxa"/>
            <w:gridSpan w:val="2"/>
          </w:tcPr>
          <w:p w:rsidR="00383740" w:rsidRPr="002C5113" w:rsidRDefault="00383740" w:rsidP="003A1BD9">
            <w:pPr>
              <w:pStyle w:val="Tindent"/>
              <w:rPr>
                <w:rFonts w:ascii="Arial" w:hAnsi="Arial" w:cs="Arial"/>
                <w:sz w:val="19"/>
                <w:szCs w:val="19"/>
              </w:rPr>
            </w:pPr>
            <w:r w:rsidRPr="002C5113">
              <w:rPr>
                <w:rFonts w:ascii="Arial" w:hAnsi="Arial" w:cs="Arial"/>
                <w:sz w:val="19"/>
                <w:szCs w:val="19"/>
              </w:rPr>
              <w:t>Beyond five years</w:t>
            </w:r>
          </w:p>
        </w:tc>
        <w:tc>
          <w:tcPr>
            <w:tcW w:w="76" w:type="dxa"/>
          </w:tcPr>
          <w:p w:rsidR="00383740" w:rsidRPr="00C46A29" w:rsidRDefault="00383740" w:rsidP="003A1BD9">
            <w:pPr>
              <w:pStyle w:val="Tdec"/>
              <w:rPr>
                <w:rFonts w:ascii="Arial" w:hAnsi="Arial" w:cs="Arial"/>
                <w:sz w:val="19"/>
                <w:szCs w:val="19"/>
                <w:highlight w:val="yellow"/>
              </w:rPr>
            </w:pPr>
          </w:p>
        </w:tc>
        <w:tc>
          <w:tcPr>
            <w:tcW w:w="1432" w:type="dxa"/>
          </w:tcPr>
          <w:p w:rsidR="00383740" w:rsidRPr="00ED2B58" w:rsidRDefault="00902D3A" w:rsidP="003A1BD9">
            <w:pPr>
              <w:pStyle w:val="Tdec"/>
              <w:rPr>
                <w:rFonts w:ascii="Arial" w:hAnsi="Arial" w:cs="Arial"/>
                <w:sz w:val="19"/>
                <w:szCs w:val="19"/>
              </w:rPr>
            </w:pPr>
            <w:r w:rsidRPr="00ED2B58">
              <w:rPr>
                <w:rFonts w:ascii="Arial" w:hAnsi="Arial" w:cs="Arial"/>
                <w:sz w:val="19"/>
                <w:szCs w:val="19"/>
              </w:rPr>
              <w:t>99</w:t>
            </w:r>
          </w:p>
        </w:tc>
        <w:tc>
          <w:tcPr>
            <w:tcW w:w="1432" w:type="dxa"/>
          </w:tcPr>
          <w:p w:rsidR="00383740" w:rsidRPr="00ED2B58" w:rsidRDefault="00AF2A52" w:rsidP="003A1BD9">
            <w:pPr>
              <w:pStyle w:val="Tdec"/>
              <w:rPr>
                <w:rFonts w:ascii="Arial" w:hAnsi="Arial" w:cs="Arial"/>
                <w:sz w:val="19"/>
                <w:szCs w:val="19"/>
              </w:rPr>
            </w:pPr>
            <w:r w:rsidRPr="00ED2B58">
              <w:rPr>
                <w:rFonts w:ascii="Arial" w:hAnsi="Arial" w:cs="Arial"/>
                <w:sz w:val="19"/>
                <w:szCs w:val="19"/>
              </w:rPr>
              <w:t>0</w:t>
            </w:r>
          </w:p>
        </w:tc>
        <w:tc>
          <w:tcPr>
            <w:tcW w:w="1433" w:type="dxa"/>
          </w:tcPr>
          <w:p w:rsidR="00383740" w:rsidRPr="00ED2B58" w:rsidRDefault="00902D3A" w:rsidP="003A1BD9">
            <w:pPr>
              <w:pStyle w:val="Tdec"/>
              <w:rPr>
                <w:rFonts w:ascii="Arial" w:hAnsi="Arial" w:cs="Arial"/>
                <w:sz w:val="19"/>
                <w:szCs w:val="19"/>
              </w:rPr>
            </w:pPr>
            <w:r w:rsidRPr="00ED2B58">
              <w:rPr>
                <w:rFonts w:ascii="Arial" w:hAnsi="Arial" w:cs="Arial"/>
                <w:sz w:val="19"/>
                <w:szCs w:val="19"/>
              </w:rPr>
              <w:t>99</w:t>
            </w:r>
          </w:p>
        </w:tc>
        <w:tc>
          <w:tcPr>
            <w:tcW w:w="1269" w:type="dxa"/>
          </w:tcPr>
          <w:p w:rsidR="00383740" w:rsidRPr="002C5113" w:rsidRDefault="00383740" w:rsidP="003A1BD9">
            <w:pPr>
              <w:pStyle w:val="Tdec"/>
              <w:rPr>
                <w:rFonts w:ascii="Arial" w:hAnsi="Arial" w:cs="Arial"/>
                <w:sz w:val="19"/>
                <w:szCs w:val="19"/>
              </w:rPr>
            </w:pPr>
            <w:r w:rsidRPr="002C5113">
              <w:rPr>
                <w:rFonts w:ascii="Arial" w:hAnsi="Arial" w:cs="Arial"/>
                <w:sz w:val="19"/>
                <w:szCs w:val="19"/>
              </w:rPr>
              <w:t>9</w:t>
            </w:r>
            <w:r w:rsidR="002C5113" w:rsidRPr="002C5113">
              <w:rPr>
                <w:rFonts w:ascii="Arial" w:hAnsi="Arial" w:cs="Arial"/>
                <w:sz w:val="19"/>
                <w:szCs w:val="19"/>
              </w:rPr>
              <w:t>9</w:t>
            </w:r>
          </w:p>
        </w:tc>
      </w:tr>
      <w:tr w:rsidR="000C3E8F" w:rsidRPr="00C46A29" w:rsidTr="00270CEB">
        <w:trPr>
          <w:cantSplit/>
        </w:trPr>
        <w:tc>
          <w:tcPr>
            <w:tcW w:w="3856" w:type="dxa"/>
            <w:gridSpan w:val="2"/>
          </w:tcPr>
          <w:p w:rsidR="000C3E8F" w:rsidRPr="00C46A29" w:rsidRDefault="000C3E8F" w:rsidP="003A1BD9">
            <w:pPr>
              <w:pStyle w:val="Tindent"/>
              <w:rPr>
                <w:rFonts w:ascii="Arial" w:hAnsi="Arial" w:cs="Arial"/>
                <w:sz w:val="19"/>
                <w:szCs w:val="19"/>
                <w:highlight w:val="yellow"/>
              </w:rPr>
            </w:pPr>
          </w:p>
        </w:tc>
        <w:tc>
          <w:tcPr>
            <w:tcW w:w="76" w:type="dxa"/>
          </w:tcPr>
          <w:p w:rsidR="000C3E8F" w:rsidRPr="00C46A29" w:rsidRDefault="000C3E8F" w:rsidP="003A1BD9">
            <w:pPr>
              <w:pStyle w:val="Tdec"/>
              <w:rPr>
                <w:rFonts w:ascii="Arial" w:hAnsi="Arial" w:cs="Arial"/>
                <w:sz w:val="19"/>
                <w:szCs w:val="19"/>
                <w:highlight w:val="yellow"/>
              </w:rPr>
            </w:pPr>
          </w:p>
        </w:tc>
        <w:tc>
          <w:tcPr>
            <w:tcW w:w="1432" w:type="dxa"/>
          </w:tcPr>
          <w:p w:rsidR="000C3E8F" w:rsidRPr="00ED2B58" w:rsidRDefault="000C3E8F" w:rsidP="003A1BD9">
            <w:pPr>
              <w:pStyle w:val="S9"/>
              <w:spacing w:line="240" w:lineRule="auto"/>
              <w:rPr>
                <w:rFonts w:ascii="Arial" w:hAnsi="Arial" w:cs="Arial"/>
                <w:sz w:val="19"/>
                <w:szCs w:val="19"/>
              </w:rPr>
            </w:pPr>
          </w:p>
        </w:tc>
        <w:tc>
          <w:tcPr>
            <w:tcW w:w="1432" w:type="dxa"/>
          </w:tcPr>
          <w:p w:rsidR="000C3E8F" w:rsidRPr="00ED2B58" w:rsidRDefault="000C3E8F" w:rsidP="003A1BD9">
            <w:pPr>
              <w:pStyle w:val="S9"/>
              <w:spacing w:line="240" w:lineRule="auto"/>
              <w:rPr>
                <w:rFonts w:ascii="Arial" w:hAnsi="Arial" w:cs="Arial"/>
                <w:sz w:val="19"/>
                <w:szCs w:val="19"/>
              </w:rPr>
            </w:pPr>
          </w:p>
        </w:tc>
        <w:tc>
          <w:tcPr>
            <w:tcW w:w="1433" w:type="dxa"/>
          </w:tcPr>
          <w:p w:rsidR="000C3E8F" w:rsidRPr="00ED2B58" w:rsidRDefault="000C3E8F" w:rsidP="003A1BD9">
            <w:pPr>
              <w:pStyle w:val="S9"/>
              <w:spacing w:line="240" w:lineRule="auto"/>
              <w:rPr>
                <w:rFonts w:ascii="Arial" w:hAnsi="Arial" w:cs="Arial"/>
                <w:sz w:val="19"/>
                <w:szCs w:val="19"/>
              </w:rPr>
            </w:pPr>
          </w:p>
        </w:tc>
        <w:tc>
          <w:tcPr>
            <w:tcW w:w="1269" w:type="dxa"/>
          </w:tcPr>
          <w:p w:rsidR="000C3E8F" w:rsidRPr="002C5113" w:rsidRDefault="000C3E8F" w:rsidP="003A1BD9">
            <w:pPr>
              <w:pStyle w:val="S9"/>
              <w:spacing w:line="240" w:lineRule="auto"/>
              <w:rPr>
                <w:rFonts w:ascii="Arial" w:hAnsi="Arial" w:cs="Arial"/>
                <w:sz w:val="19"/>
                <w:szCs w:val="19"/>
              </w:rPr>
            </w:pPr>
          </w:p>
        </w:tc>
      </w:tr>
      <w:tr w:rsidR="000C3E8F" w:rsidRPr="00C46A29" w:rsidTr="00270CEB">
        <w:trPr>
          <w:cantSplit/>
        </w:trPr>
        <w:tc>
          <w:tcPr>
            <w:tcW w:w="3856" w:type="dxa"/>
            <w:gridSpan w:val="2"/>
          </w:tcPr>
          <w:p w:rsidR="000C3E8F" w:rsidRPr="00C46A29" w:rsidRDefault="000C3E8F" w:rsidP="003A1BD9">
            <w:pPr>
              <w:pStyle w:val="Tindent"/>
              <w:rPr>
                <w:rFonts w:ascii="Arial" w:hAnsi="Arial" w:cs="Arial"/>
                <w:sz w:val="19"/>
                <w:szCs w:val="19"/>
                <w:highlight w:val="yellow"/>
              </w:rPr>
            </w:pPr>
          </w:p>
        </w:tc>
        <w:tc>
          <w:tcPr>
            <w:tcW w:w="76" w:type="dxa"/>
          </w:tcPr>
          <w:p w:rsidR="000C3E8F" w:rsidRPr="00C46A29" w:rsidRDefault="000C3E8F" w:rsidP="003A1BD9">
            <w:pPr>
              <w:pStyle w:val="Tdec"/>
              <w:rPr>
                <w:rFonts w:ascii="Arial" w:hAnsi="Arial" w:cs="Arial"/>
                <w:sz w:val="19"/>
                <w:szCs w:val="19"/>
                <w:highlight w:val="yellow"/>
              </w:rPr>
            </w:pPr>
          </w:p>
        </w:tc>
        <w:tc>
          <w:tcPr>
            <w:tcW w:w="1432" w:type="dxa"/>
          </w:tcPr>
          <w:p w:rsidR="000C3E8F" w:rsidRPr="00ED2B58" w:rsidRDefault="00ED2B58" w:rsidP="003A1BD9">
            <w:pPr>
              <w:pStyle w:val="Tdec"/>
              <w:rPr>
                <w:rFonts w:ascii="Arial" w:hAnsi="Arial" w:cs="Arial"/>
                <w:sz w:val="19"/>
                <w:szCs w:val="19"/>
              </w:rPr>
            </w:pPr>
            <w:r w:rsidRPr="00ED2B58">
              <w:rPr>
                <w:rFonts w:ascii="Arial" w:hAnsi="Arial" w:cs="Arial"/>
                <w:sz w:val="19"/>
                <w:szCs w:val="19"/>
              </w:rPr>
              <w:t>108</w:t>
            </w:r>
          </w:p>
        </w:tc>
        <w:tc>
          <w:tcPr>
            <w:tcW w:w="1432" w:type="dxa"/>
          </w:tcPr>
          <w:p w:rsidR="000C3E8F" w:rsidRPr="00ED2B58" w:rsidRDefault="00902D3A" w:rsidP="003A1BD9">
            <w:pPr>
              <w:pStyle w:val="Tdec"/>
              <w:rPr>
                <w:rFonts w:ascii="Arial" w:hAnsi="Arial" w:cs="Arial"/>
                <w:sz w:val="19"/>
                <w:szCs w:val="19"/>
              </w:rPr>
            </w:pPr>
            <w:r w:rsidRPr="00ED2B58">
              <w:rPr>
                <w:rFonts w:ascii="Arial" w:hAnsi="Arial" w:cs="Arial"/>
                <w:sz w:val="19"/>
                <w:szCs w:val="19"/>
              </w:rPr>
              <w:t>35</w:t>
            </w:r>
            <w:r w:rsidR="00ED2B58" w:rsidRPr="00ED2B58">
              <w:rPr>
                <w:rFonts w:ascii="Arial" w:hAnsi="Arial" w:cs="Arial"/>
                <w:sz w:val="19"/>
                <w:szCs w:val="19"/>
              </w:rPr>
              <w:t>4</w:t>
            </w:r>
          </w:p>
        </w:tc>
        <w:tc>
          <w:tcPr>
            <w:tcW w:w="1433" w:type="dxa"/>
          </w:tcPr>
          <w:p w:rsidR="000C3E8F" w:rsidRPr="00ED2B58" w:rsidRDefault="00902D3A" w:rsidP="003A1BD9">
            <w:pPr>
              <w:pStyle w:val="Tdec"/>
              <w:rPr>
                <w:rFonts w:ascii="Arial" w:hAnsi="Arial" w:cs="Arial"/>
                <w:sz w:val="19"/>
                <w:szCs w:val="19"/>
              </w:rPr>
            </w:pPr>
            <w:r w:rsidRPr="00ED2B58">
              <w:rPr>
                <w:rFonts w:ascii="Arial" w:hAnsi="Arial" w:cs="Arial"/>
                <w:sz w:val="19"/>
                <w:szCs w:val="19"/>
              </w:rPr>
              <w:t>4</w:t>
            </w:r>
            <w:r w:rsidR="00ED2B58" w:rsidRPr="00ED2B58">
              <w:rPr>
                <w:rFonts w:ascii="Arial" w:hAnsi="Arial" w:cs="Arial"/>
                <w:sz w:val="19"/>
                <w:szCs w:val="19"/>
              </w:rPr>
              <w:t>62</w:t>
            </w:r>
          </w:p>
        </w:tc>
        <w:tc>
          <w:tcPr>
            <w:tcW w:w="1269" w:type="dxa"/>
          </w:tcPr>
          <w:p w:rsidR="000C3E8F" w:rsidRPr="002C5113" w:rsidRDefault="002C5113" w:rsidP="003A1BD9">
            <w:pPr>
              <w:pStyle w:val="Tdec"/>
              <w:rPr>
                <w:rFonts w:ascii="Arial" w:hAnsi="Arial" w:cs="Arial"/>
                <w:sz w:val="19"/>
                <w:szCs w:val="19"/>
              </w:rPr>
            </w:pPr>
            <w:r w:rsidRPr="002C5113">
              <w:rPr>
                <w:rFonts w:ascii="Arial" w:hAnsi="Arial" w:cs="Arial"/>
                <w:sz w:val="19"/>
                <w:szCs w:val="19"/>
              </w:rPr>
              <w:t>457</w:t>
            </w:r>
          </w:p>
        </w:tc>
      </w:tr>
      <w:tr w:rsidR="000C3E8F" w:rsidRPr="00C46A29" w:rsidTr="00270CEB">
        <w:trPr>
          <w:cantSplit/>
        </w:trPr>
        <w:tc>
          <w:tcPr>
            <w:tcW w:w="3856" w:type="dxa"/>
            <w:gridSpan w:val="2"/>
          </w:tcPr>
          <w:p w:rsidR="000C3E8F" w:rsidRPr="00C46A29" w:rsidRDefault="000C3E8F" w:rsidP="003A1BD9">
            <w:pPr>
              <w:pStyle w:val="Tindent"/>
              <w:rPr>
                <w:rFonts w:ascii="Arial" w:hAnsi="Arial" w:cs="Arial"/>
                <w:sz w:val="19"/>
                <w:szCs w:val="19"/>
                <w:highlight w:val="yellow"/>
              </w:rPr>
            </w:pPr>
          </w:p>
        </w:tc>
        <w:tc>
          <w:tcPr>
            <w:tcW w:w="76" w:type="dxa"/>
          </w:tcPr>
          <w:p w:rsidR="000C3E8F" w:rsidRPr="00C46A29" w:rsidRDefault="000C3E8F" w:rsidP="003A1BD9">
            <w:pPr>
              <w:pStyle w:val="Tdec"/>
              <w:rPr>
                <w:rFonts w:ascii="Arial" w:hAnsi="Arial" w:cs="Arial"/>
                <w:sz w:val="19"/>
                <w:szCs w:val="19"/>
                <w:highlight w:val="yellow"/>
              </w:rPr>
            </w:pPr>
          </w:p>
        </w:tc>
        <w:tc>
          <w:tcPr>
            <w:tcW w:w="1432" w:type="dxa"/>
          </w:tcPr>
          <w:p w:rsidR="000C3E8F" w:rsidRPr="00C46A29" w:rsidRDefault="000C3E8F" w:rsidP="003A1BD9">
            <w:pPr>
              <w:pStyle w:val="D9"/>
              <w:spacing w:line="240" w:lineRule="auto"/>
              <w:rPr>
                <w:rFonts w:ascii="Arial" w:hAnsi="Arial" w:cs="Arial"/>
                <w:sz w:val="19"/>
                <w:szCs w:val="19"/>
                <w:highlight w:val="yellow"/>
              </w:rPr>
            </w:pPr>
          </w:p>
        </w:tc>
        <w:tc>
          <w:tcPr>
            <w:tcW w:w="1432" w:type="dxa"/>
          </w:tcPr>
          <w:p w:rsidR="000C3E8F" w:rsidRPr="00C46A29" w:rsidRDefault="000C3E8F" w:rsidP="003A1BD9">
            <w:pPr>
              <w:pStyle w:val="D9"/>
              <w:spacing w:line="240" w:lineRule="auto"/>
              <w:rPr>
                <w:rFonts w:ascii="Arial" w:hAnsi="Arial" w:cs="Arial"/>
                <w:sz w:val="19"/>
                <w:szCs w:val="19"/>
                <w:highlight w:val="yellow"/>
              </w:rPr>
            </w:pPr>
          </w:p>
        </w:tc>
        <w:tc>
          <w:tcPr>
            <w:tcW w:w="1433" w:type="dxa"/>
          </w:tcPr>
          <w:p w:rsidR="000C3E8F" w:rsidRPr="00C46A29" w:rsidRDefault="000C3E8F" w:rsidP="003A1BD9">
            <w:pPr>
              <w:pStyle w:val="D9"/>
              <w:spacing w:line="240" w:lineRule="auto"/>
              <w:rPr>
                <w:rFonts w:ascii="Arial" w:hAnsi="Arial" w:cs="Arial"/>
                <w:sz w:val="19"/>
                <w:szCs w:val="19"/>
                <w:highlight w:val="yellow"/>
              </w:rPr>
            </w:pPr>
          </w:p>
        </w:tc>
        <w:tc>
          <w:tcPr>
            <w:tcW w:w="1269" w:type="dxa"/>
          </w:tcPr>
          <w:p w:rsidR="000C3E8F" w:rsidRPr="00C46A29" w:rsidRDefault="000C3E8F" w:rsidP="003A1BD9">
            <w:pPr>
              <w:pStyle w:val="D9"/>
              <w:spacing w:line="240" w:lineRule="auto"/>
              <w:rPr>
                <w:rFonts w:ascii="Arial" w:hAnsi="Arial" w:cs="Arial"/>
                <w:sz w:val="19"/>
                <w:szCs w:val="19"/>
                <w:highlight w:val="yellow"/>
              </w:rPr>
            </w:pPr>
          </w:p>
        </w:tc>
      </w:tr>
    </w:tbl>
    <w:p w:rsidR="00143053" w:rsidRPr="005300DC" w:rsidRDefault="001C57E9" w:rsidP="001C57E9">
      <w:pPr>
        <w:pStyle w:val="Heading1"/>
        <w:numPr>
          <w:ilvl w:val="0"/>
          <w:numId w:val="36"/>
        </w:numPr>
        <w:ind w:left="567" w:hanging="567"/>
        <w:rPr>
          <w:rFonts w:ascii="Arial" w:hAnsi="Arial" w:cs="Arial"/>
          <w:sz w:val="24"/>
          <w:szCs w:val="19"/>
          <w:lang w:val="en-US"/>
        </w:rPr>
      </w:pPr>
      <w:bookmarkStart w:id="29" w:name="_Toc390775334"/>
      <w:r w:rsidRPr="005300DC">
        <w:rPr>
          <w:rFonts w:ascii="Arial" w:hAnsi="Arial" w:cs="Arial"/>
          <w:caps w:val="0"/>
          <w:sz w:val="24"/>
          <w:szCs w:val="19"/>
          <w:lang w:val="en-US"/>
        </w:rPr>
        <w:t>Capital Commitments</w:t>
      </w:r>
      <w:bookmarkEnd w:id="29"/>
    </w:p>
    <w:p w:rsidR="00270CEB" w:rsidRPr="00C46A29" w:rsidRDefault="0094678F" w:rsidP="001C57E9">
      <w:pPr>
        <w:pStyle w:val="NormalIndent"/>
        <w:ind w:left="0"/>
        <w:rPr>
          <w:rFonts w:ascii="Arial" w:hAnsi="Arial" w:cs="Arial"/>
          <w:b/>
          <w:caps/>
          <w:sz w:val="19"/>
          <w:szCs w:val="19"/>
          <w:highlight w:val="yellow"/>
          <w:lang w:val="en-US"/>
        </w:rPr>
      </w:pPr>
      <w:r w:rsidRPr="005300DC">
        <w:rPr>
          <w:rFonts w:ascii="Arial" w:hAnsi="Arial" w:cs="Arial"/>
          <w:sz w:val="19"/>
          <w:szCs w:val="19"/>
          <w:lang w:val="en-US"/>
        </w:rPr>
        <w:t xml:space="preserve">The </w:t>
      </w:r>
      <w:r w:rsidR="00201B4C" w:rsidRPr="005300DC">
        <w:rPr>
          <w:rFonts w:ascii="Arial" w:hAnsi="Arial" w:cs="Arial"/>
          <w:sz w:val="19"/>
          <w:szCs w:val="19"/>
          <w:lang w:val="en-US"/>
        </w:rPr>
        <w:t>Company</w:t>
      </w:r>
      <w:r w:rsidRPr="005300DC">
        <w:rPr>
          <w:rFonts w:ascii="Arial" w:hAnsi="Arial" w:cs="Arial"/>
          <w:sz w:val="19"/>
          <w:szCs w:val="19"/>
          <w:lang w:val="en-US"/>
        </w:rPr>
        <w:t xml:space="preserve"> had no capital co</w:t>
      </w:r>
      <w:r w:rsidR="00743922">
        <w:rPr>
          <w:rFonts w:ascii="Arial" w:hAnsi="Arial" w:cs="Arial"/>
          <w:sz w:val="19"/>
          <w:szCs w:val="19"/>
          <w:lang w:val="en-US"/>
        </w:rPr>
        <w:t>mmitments at 31 March 2015</w:t>
      </w:r>
      <w:r w:rsidR="002C5113" w:rsidRPr="005300DC">
        <w:rPr>
          <w:rFonts w:ascii="Arial" w:hAnsi="Arial" w:cs="Arial"/>
          <w:sz w:val="19"/>
          <w:szCs w:val="19"/>
          <w:lang w:val="en-US"/>
        </w:rPr>
        <w:t xml:space="preserve"> (2014</w:t>
      </w:r>
      <w:r w:rsidR="00743922">
        <w:rPr>
          <w:rFonts w:ascii="Arial" w:hAnsi="Arial" w:cs="Arial"/>
          <w:sz w:val="19"/>
          <w:szCs w:val="19"/>
          <w:lang w:val="en-US"/>
        </w:rPr>
        <w:t>:</w:t>
      </w:r>
      <w:r w:rsidRPr="005300DC">
        <w:rPr>
          <w:rFonts w:ascii="Arial" w:hAnsi="Arial" w:cs="Arial"/>
          <w:sz w:val="19"/>
          <w:szCs w:val="19"/>
          <w:lang w:val="en-US"/>
        </w:rPr>
        <w:t xml:space="preserve"> £nil</w:t>
      </w:r>
      <w:r w:rsidRPr="002C5113">
        <w:rPr>
          <w:rFonts w:ascii="Arial" w:hAnsi="Arial" w:cs="Arial"/>
          <w:sz w:val="19"/>
          <w:szCs w:val="19"/>
          <w:lang w:val="en-US"/>
        </w:rPr>
        <w:t>)</w:t>
      </w:r>
      <w:r w:rsidR="001C57E9" w:rsidRPr="002C5113">
        <w:rPr>
          <w:rFonts w:ascii="Arial" w:hAnsi="Arial" w:cs="Arial"/>
          <w:sz w:val="19"/>
          <w:szCs w:val="19"/>
          <w:lang w:val="en-US"/>
        </w:rPr>
        <w:t>.</w:t>
      </w:r>
    </w:p>
    <w:p w:rsidR="0094678F" w:rsidRPr="005300DC" w:rsidRDefault="001C57E9" w:rsidP="001C57E9">
      <w:pPr>
        <w:pStyle w:val="Heading1"/>
        <w:numPr>
          <w:ilvl w:val="0"/>
          <w:numId w:val="36"/>
        </w:numPr>
        <w:ind w:left="567" w:hanging="567"/>
        <w:rPr>
          <w:rFonts w:ascii="Arial" w:hAnsi="Arial" w:cs="Arial"/>
          <w:sz w:val="24"/>
          <w:szCs w:val="19"/>
          <w:lang w:val="en-US"/>
        </w:rPr>
      </w:pPr>
      <w:bookmarkStart w:id="30" w:name="_Toc390775335"/>
      <w:r w:rsidRPr="005300DC">
        <w:rPr>
          <w:rFonts w:ascii="Arial" w:hAnsi="Arial" w:cs="Arial"/>
          <w:caps w:val="0"/>
          <w:sz w:val="24"/>
          <w:szCs w:val="19"/>
          <w:lang w:val="en-US"/>
        </w:rPr>
        <w:t>Transactions as Agent</w:t>
      </w:r>
      <w:bookmarkEnd w:id="30"/>
    </w:p>
    <w:p w:rsidR="0094678F" w:rsidRPr="005300DC" w:rsidRDefault="00C5267F" w:rsidP="001C57E9">
      <w:pPr>
        <w:pStyle w:val="NormalIndent"/>
        <w:spacing w:after="0"/>
        <w:ind w:left="0"/>
        <w:jc w:val="left"/>
        <w:rPr>
          <w:rFonts w:ascii="Arial" w:hAnsi="Arial" w:cs="Arial"/>
          <w:sz w:val="19"/>
          <w:szCs w:val="19"/>
          <w:lang w:val="en-US"/>
        </w:rPr>
      </w:pPr>
      <w:r w:rsidRPr="005300DC">
        <w:rPr>
          <w:rFonts w:ascii="Arial" w:hAnsi="Arial" w:cs="Arial"/>
          <w:sz w:val="19"/>
          <w:szCs w:val="19"/>
          <w:lang w:val="en-US"/>
        </w:rPr>
        <w:t xml:space="preserve">The </w:t>
      </w:r>
      <w:r w:rsidR="00201B4C" w:rsidRPr="005300DC">
        <w:rPr>
          <w:rFonts w:ascii="Arial" w:hAnsi="Arial" w:cs="Arial"/>
          <w:sz w:val="19"/>
          <w:szCs w:val="19"/>
          <w:lang w:val="en-US"/>
        </w:rPr>
        <w:t>Company</w:t>
      </w:r>
      <w:r w:rsidRPr="005300DC">
        <w:rPr>
          <w:rFonts w:ascii="Arial" w:hAnsi="Arial" w:cs="Arial"/>
          <w:sz w:val="19"/>
          <w:szCs w:val="19"/>
          <w:lang w:val="en-US"/>
        </w:rPr>
        <w:t xml:space="preserve"> acts as agent on behalf of Northumberland County Council in respect of certain elements of the capital programme spend. The gross value of services provided in relation to the capital programme in the year are</w:t>
      </w:r>
    </w:p>
    <w:p w:rsidR="001C57E9" w:rsidRPr="00C46A29" w:rsidRDefault="001C57E9" w:rsidP="001C57E9">
      <w:pPr>
        <w:pStyle w:val="NormalIndent"/>
        <w:spacing w:after="0"/>
        <w:ind w:left="0"/>
        <w:jc w:val="left"/>
        <w:rPr>
          <w:rFonts w:ascii="Arial" w:hAnsi="Arial" w:cs="Arial"/>
          <w:sz w:val="19"/>
          <w:szCs w:val="19"/>
          <w:highlight w:val="yellow"/>
          <w:lang w:val="en-US"/>
        </w:rPr>
      </w:pPr>
    </w:p>
    <w:p w:rsidR="00E445E1" w:rsidRPr="00C46A29" w:rsidRDefault="00E445E1" w:rsidP="001C57E9">
      <w:pPr>
        <w:pStyle w:val="NormalIndent"/>
        <w:spacing w:after="0"/>
        <w:ind w:left="0"/>
        <w:jc w:val="left"/>
        <w:rPr>
          <w:rFonts w:ascii="Arial" w:hAnsi="Arial" w:cs="Arial"/>
          <w:sz w:val="19"/>
          <w:szCs w:val="19"/>
          <w:highlight w:val="yellow"/>
          <w:lang w:val="en-US"/>
        </w:rPr>
      </w:pPr>
    </w:p>
    <w:tbl>
      <w:tblPr>
        <w:tblW w:w="9498" w:type="dxa"/>
        <w:tblLayout w:type="fixed"/>
        <w:tblCellMar>
          <w:left w:w="28" w:type="dxa"/>
          <w:right w:w="28" w:type="dxa"/>
        </w:tblCellMar>
        <w:tblLook w:val="0000" w:firstRow="0" w:lastRow="0" w:firstColumn="0" w:lastColumn="0" w:noHBand="0" w:noVBand="0"/>
      </w:tblPr>
      <w:tblGrid>
        <w:gridCol w:w="3828"/>
        <w:gridCol w:w="28"/>
        <w:gridCol w:w="1106"/>
        <w:gridCol w:w="1134"/>
        <w:gridCol w:w="1134"/>
        <w:gridCol w:w="1134"/>
        <w:gridCol w:w="1134"/>
      </w:tblGrid>
      <w:tr w:rsidR="0094678F" w:rsidRPr="00C46A29" w:rsidTr="006F067F">
        <w:trPr>
          <w:cantSplit/>
        </w:trPr>
        <w:tc>
          <w:tcPr>
            <w:tcW w:w="3828" w:type="dxa"/>
          </w:tcPr>
          <w:p w:rsidR="0094678F" w:rsidRPr="002C5113" w:rsidRDefault="0094678F" w:rsidP="003A1BD9">
            <w:pPr>
              <w:pStyle w:val="Tindent"/>
              <w:keepLines/>
              <w:rPr>
                <w:rFonts w:ascii="Arial" w:hAnsi="Arial" w:cs="Arial"/>
                <w:b/>
                <w:sz w:val="19"/>
                <w:szCs w:val="19"/>
              </w:rPr>
            </w:pPr>
          </w:p>
        </w:tc>
        <w:tc>
          <w:tcPr>
            <w:tcW w:w="1134" w:type="dxa"/>
            <w:gridSpan w:val="2"/>
          </w:tcPr>
          <w:p w:rsidR="0094678F" w:rsidRPr="00C46A29" w:rsidRDefault="0094678F" w:rsidP="003A1BD9">
            <w:pPr>
              <w:pStyle w:val="Thead"/>
              <w:rPr>
                <w:rFonts w:ascii="Arial" w:hAnsi="Arial" w:cs="Arial"/>
                <w:sz w:val="19"/>
                <w:szCs w:val="19"/>
                <w:highlight w:val="yellow"/>
              </w:rPr>
            </w:pPr>
          </w:p>
        </w:tc>
        <w:tc>
          <w:tcPr>
            <w:tcW w:w="1134" w:type="dxa"/>
          </w:tcPr>
          <w:p w:rsidR="0094678F" w:rsidRPr="00C46A29" w:rsidRDefault="0094678F" w:rsidP="003A1BD9">
            <w:pPr>
              <w:pStyle w:val="Thead"/>
              <w:rPr>
                <w:rFonts w:ascii="Arial" w:hAnsi="Arial" w:cs="Arial"/>
                <w:sz w:val="19"/>
                <w:szCs w:val="19"/>
                <w:highlight w:val="yellow"/>
              </w:rPr>
            </w:pPr>
          </w:p>
        </w:tc>
        <w:tc>
          <w:tcPr>
            <w:tcW w:w="1134" w:type="dxa"/>
          </w:tcPr>
          <w:p w:rsidR="0094678F" w:rsidRPr="00C46A29" w:rsidRDefault="0094678F" w:rsidP="003A1BD9">
            <w:pPr>
              <w:pStyle w:val="Thead"/>
              <w:rPr>
                <w:rFonts w:ascii="Arial" w:hAnsi="Arial" w:cs="Arial"/>
                <w:sz w:val="19"/>
                <w:szCs w:val="19"/>
                <w:highlight w:val="yellow"/>
              </w:rPr>
            </w:pPr>
          </w:p>
        </w:tc>
        <w:tc>
          <w:tcPr>
            <w:tcW w:w="1134" w:type="dxa"/>
          </w:tcPr>
          <w:p w:rsidR="0094678F" w:rsidRPr="005300DC" w:rsidRDefault="002C5113" w:rsidP="003A1BD9">
            <w:pPr>
              <w:pStyle w:val="Thead"/>
              <w:rPr>
                <w:rFonts w:ascii="Arial" w:hAnsi="Arial" w:cs="Arial"/>
                <w:sz w:val="19"/>
                <w:szCs w:val="19"/>
              </w:rPr>
            </w:pPr>
            <w:r w:rsidRPr="005300DC">
              <w:rPr>
                <w:rFonts w:ascii="Arial" w:hAnsi="Arial" w:cs="Arial"/>
                <w:sz w:val="19"/>
                <w:szCs w:val="19"/>
              </w:rPr>
              <w:t>2015</w:t>
            </w:r>
          </w:p>
          <w:p w:rsidR="0094678F" w:rsidRPr="005300DC" w:rsidRDefault="0094678F" w:rsidP="003A1BD9">
            <w:pPr>
              <w:pStyle w:val="Thead"/>
              <w:rPr>
                <w:rFonts w:ascii="Arial" w:hAnsi="Arial" w:cs="Arial"/>
                <w:sz w:val="19"/>
                <w:szCs w:val="19"/>
              </w:rPr>
            </w:pPr>
            <w:r w:rsidRPr="005300DC">
              <w:rPr>
                <w:rFonts w:ascii="Arial" w:hAnsi="Arial" w:cs="Arial"/>
                <w:sz w:val="19"/>
                <w:szCs w:val="19"/>
              </w:rPr>
              <w:t>£000</w:t>
            </w:r>
          </w:p>
        </w:tc>
        <w:tc>
          <w:tcPr>
            <w:tcW w:w="1134" w:type="dxa"/>
          </w:tcPr>
          <w:p w:rsidR="0094678F" w:rsidRPr="002C5113" w:rsidRDefault="002C5113" w:rsidP="003A1BD9">
            <w:pPr>
              <w:pStyle w:val="Thead"/>
              <w:rPr>
                <w:rFonts w:ascii="Arial" w:hAnsi="Arial" w:cs="Arial"/>
                <w:sz w:val="19"/>
                <w:szCs w:val="19"/>
              </w:rPr>
            </w:pPr>
            <w:r w:rsidRPr="002C5113">
              <w:rPr>
                <w:rFonts w:ascii="Arial" w:hAnsi="Arial" w:cs="Arial"/>
                <w:sz w:val="19"/>
                <w:szCs w:val="19"/>
              </w:rPr>
              <w:t>2014</w:t>
            </w:r>
          </w:p>
          <w:p w:rsidR="0094678F" w:rsidRPr="002C5113" w:rsidRDefault="0094678F" w:rsidP="003A1BD9">
            <w:pPr>
              <w:pStyle w:val="Thead"/>
              <w:rPr>
                <w:rFonts w:ascii="Arial" w:hAnsi="Arial" w:cs="Arial"/>
                <w:sz w:val="19"/>
                <w:szCs w:val="19"/>
              </w:rPr>
            </w:pPr>
            <w:r w:rsidRPr="002C5113">
              <w:rPr>
                <w:rFonts w:ascii="Arial" w:hAnsi="Arial" w:cs="Arial"/>
                <w:sz w:val="19"/>
                <w:szCs w:val="19"/>
              </w:rPr>
              <w:t>£000</w:t>
            </w:r>
          </w:p>
        </w:tc>
      </w:tr>
      <w:tr w:rsidR="0094678F" w:rsidRPr="00C46A29" w:rsidTr="006F067F">
        <w:trPr>
          <w:cantSplit/>
        </w:trPr>
        <w:tc>
          <w:tcPr>
            <w:tcW w:w="3856" w:type="dxa"/>
            <w:gridSpan w:val="2"/>
          </w:tcPr>
          <w:p w:rsidR="0094678F" w:rsidRPr="002C5113" w:rsidRDefault="0094678F" w:rsidP="003A1BD9">
            <w:pPr>
              <w:pStyle w:val="Tindent"/>
              <w:rPr>
                <w:rFonts w:ascii="Arial" w:hAnsi="Arial" w:cs="Arial"/>
                <w:sz w:val="19"/>
                <w:szCs w:val="19"/>
              </w:rPr>
            </w:pPr>
            <w:r w:rsidRPr="002C5113">
              <w:rPr>
                <w:rFonts w:ascii="Arial" w:hAnsi="Arial" w:cs="Arial"/>
                <w:sz w:val="19"/>
                <w:szCs w:val="19"/>
              </w:rPr>
              <w:t>Costs incurred</w:t>
            </w:r>
          </w:p>
        </w:tc>
        <w:tc>
          <w:tcPr>
            <w:tcW w:w="1106" w:type="dxa"/>
          </w:tcPr>
          <w:p w:rsidR="0094678F" w:rsidRPr="00C46A29" w:rsidRDefault="0094678F" w:rsidP="003A1BD9">
            <w:pPr>
              <w:pStyle w:val="Tdec"/>
              <w:rPr>
                <w:rFonts w:ascii="Arial" w:hAnsi="Arial" w:cs="Arial"/>
                <w:sz w:val="19"/>
                <w:szCs w:val="19"/>
                <w:highlight w:val="yellow"/>
              </w:rPr>
            </w:pPr>
          </w:p>
        </w:tc>
        <w:tc>
          <w:tcPr>
            <w:tcW w:w="1134" w:type="dxa"/>
          </w:tcPr>
          <w:p w:rsidR="0094678F" w:rsidRPr="00C46A29" w:rsidRDefault="0094678F" w:rsidP="003A1BD9">
            <w:pPr>
              <w:pStyle w:val="Tdec"/>
              <w:rPr>
                <w:rFonts w:ascii="Arial" w:hAnsi="Arial" w:cs="Arial"/>
                <w:sz w:val="19"/>
                <w:szCs w:val="19"/>
                <w:highlight w:val="yellow"/>
              </w:rPr>
            </w:pPr>
          </w:p>
        </w:tc>
        <w:tc>
          <w:tcPr>
            <w:tcW w:w="1134" w:type="dxa"/>
          </w:tcPr>
          <w:p w:rsidR="0094678F" w:rsidRPr="00C46A29" w:rsidRDefault="0094678F" w:rsidP="003A1BD9">
            <w:pPr>
              <w:pStyle w:val="Tdec"/>
              <w:rPr>
                <w:rFonts w:ascii="Arial" w:hAnsi="Arial" w:cs="Arial"/>
                <w:sz w:val="19"/>
                <w:szCs w:val="19"/>
                <w:highlight w:val="yellow"/>
              </w:rPr>
            </w:pPr>
          </w:p>
        </w:tc>
        <w:tc>
          <w:tcPr>
            <w:tcW w:w="1134" w:type="dxa"/>
          </w:tcPr>
          <w:p w:rsidR="0094678F" w:rsidRPr="005300DC" w:rsidRDefault="005300DC" w:rsidP="003A1BD9">
            <w:pPr>
              <w:pStyle w:val="Tdec"/>
              <w:rPr>
                <w:rFonts w:ascii="Arial" w:hAnsi="Arial" w:cs="Arial"/>
                <w:sz w:val="19"/>
                <w:szCs w:val="19"/>
              </w:rPr>
            </w:pPr>
            <w:r w:rsidRPr="005300DC">
              <w:rPr>
                <w:rFonts w:ascii="Arial" w:hAnsi="Arial" w:cs="Arial"/>
                <w:sz w:val="19"/>
                <w:szCs w:val="19"/>
              </w:rPr>
              <w:t>(7,301</w:t>
            </w:r>
            <w:r w:rsidR="00E5223E" w:rsidRPr="005300DC">
              <w:rPr>
                <w:rFonts w:ascii="Arial" w:hAnsi="Arial" w:cs="Arial"/>
                <w:sz w:val="19"/>
                <w:szCs w:val="19"/>
              </w:rPr>
              <w:t>)</w:t>
            </w:r>
          </w:p>
        </w:tc>
        <w:tc>
          <w:tcPr>
            <w:tcW w:w="1134" w:type="dxa"/>
          </w:tcPr>
          <w:p w:rsidR="0094678F" w:rsidRPr="002C5113" w:rsidRDefault="002C5113" w:rsidP="003A1BD9">
            <w:pPr>
              <w:pStyle w:val="Tdec"/>
              <w:rPr>
                <w:rFonts w:ascii="Arial" w:hAnsi="Arial" w:cs="Arial"/>
                <w:sz w:val="19"/>
                <w:szCs w:val="19"/>
              </w:rPr>
            </w:pPr>
            <w:r w:rsidRPr="002C5113">
              <w:rPr>
                <w:rFonts w:ascii="Arial" w:hAnsi="Arial" w:cs="Arial"/>
                <w:sz w:val="19"/>
                <w:szCs w:val="19"/>
              </w:rPr>
              <w:t>(6,817</w:t>
            </w:r>
            <w:r w:rsidR="00A11D70" w:rsidRPr="002C5113">
              <w:rPr>
                <w:rFonts w:ascii="Arial" w:hAnsi="Arial" w:cs="Arial"/>
                <w:sz w:val="19"/>
                <w:szCs w:val="19"/>
              </w:rPr>
              <w:t>)</w:t>
            </w:r>
          </w:p>
        </w:tc>
      </w:tr>
      <w:tr w:rsidR="0094678F" w:rsidRPr="00C46A29" w:rsidTr="006F067F">
        <w:trPr>
          <w:cantSplit/>
        </w:trPr>
        <w:tc>
          <w:tcPr>
            <w:tcW w:w="6096" w:type="dxa"/>
            <w:gridSpan w:val="4"/>
          </w:tcPr>
          <w:p w:rsidR="0094678F" w:rsidRPr="002C5113" w:rsidRDefault="0094678F" w:rsidP="003A1BD9">
            <w:pPr>
              <w:pStyle w:val="Tdec"/>
              <w:ind w:left="567"/>
              <w:rPr>
                <w:rFonts w:ascii="Arial" w:hAnsi="Arial" w:cs="Arial"/>
                <w:sz w:val="19"/>
                <w:szCs w:val="19"/>
              </w:rPr>
            </w:pPr>
            <w:r w:rsidRPr="002C5113">
              <w:rPr>
                <w:rFonts w:ascii="Arial" w:hAnsi="Arial" w:cs="Arial"/>
                <w:sz w:val="19"/>
                <w:szCs w:val="19"/>
              </w:rPr>
              <w:t>Costs reclaimed from Northumberland County Council</w:t>
            </w:r>
          </w:p>
        </w:tc>
        <w:tc>
          <w:tcPr>
            <w:tcW w:w="1134" w:type="dxa"/>
          </w:tcPr>
          <w:p w:rsidR="0094678F" w:rsidRPr="00C46A29" w:rsidRDefault="0094678F" w:rsidP="003A1BD9">
            <w:pPr>
              <w:pStyle w:val="Tdec"/>
              <w:rPr>
                <w:rFonts w:ascii="Arial" w:hAnsi="Arial" w:cs="Arial"/>
                <w:sz w:val="19"/>
                <w:szCs w:val="19"/>
                <w:highlight w:val="yellow"/>
              </w:rPr>
            </w:pPr>
          </w:p>
        </w:tc>
        <w:tc>
          <w:tcPr>
            <w:tcW w:w="1134" w:type="dxa"/>
          </w:tcPr>
          <w:p w:rsidR="0094678F" w:rsidRPr="005300DC" w:rsidRDefault="00E5223E" w:rsidP="003A1BD9">
            <w:pPr>
              <w:pStyle w:val="Tdec"/>
              <w:rPr>
                <w:rFonts w:ascii="Arial" w:hAnsi="Arial" w:cs="Arial"/>
                <w:sz w:val="19"/>
                <w:szCs w:val="19"/>
              </w:rPr>
            </w:pPr>
            <w:r w:rsidRPr="005300DC">
              <w:rPr>
                <w:rFonts w:ascii="Arial" w:hAnsi="Arial" w:cs="Arial"/>
                <w:sz w:val="19"/>
                <w:szCs w:val="19"/>
              </w:rPr>
              <w:t>7,</w:t>
            </w:r>
            <w:r w:rsidR="005300DC" w:rsidRPr="005300DC">
              <w:rPr>
                <w:rFonts w:ascii="Arial" w:hAnsi="Arial" w:cs="Arial"/>
                <w:sz w:val="19"/>
                <w:szCs w:val="19"/>
              </w:rPr>
              <w:t>867</w:t>
            </w:r>
          </w:p>
        </w:tc>
        <w:tc>
          <w:tcPr>
            <w:tcW w:w="1134" w:type="dxa"/>
          </w:tcPr>
          <w:p w:rsidR="0094678F" w:rsidRPr="002C5113" w:rsidRDefault="002C5113" w:rsidP="003A1BD9">
            <w:pPr>
              <w:pStyle w:val="Tdec"/>
              <w:rPr>
                <w:rFonts w:ascii="Arial" w:hAnsi="Arial" w:cs="Arial"/>
                <w:sz w:val="19"/>
                <w:szCs w:val="19"/>
              </w:rPr>
            </w:pPr>
            <w:r w:rsidRPr="002C5113">
              <w:rPr>
                <w:rFonts w:ascii="Arial" w:hAnsi="Arial" w:cs="Arial"/>
                <w:sz w:val="19"/>
                <w:szCs w:val="19"/>
              </w:rPr>
              <w:t>7,342</w:t>
            </w:r>
          </w:p>
        </w:tc>
      </w:tr>
      <w:tr w:rsidR="0094678F" w:rsidRPr="00C46A29" w:rsidTr="006F067F">
        <w:trPr>
          <w:cantSplit/>
        </w:trPr>
        <w:tc>
          <w:tcPr>
            <w:tcW w:w="3856" w:type="dxa"/>
            <w:gridSpan w:val="2"/>
          </w:tcPr>
          <w:p w:rsidR="0094678F" w:rsidRPr="002C5113" w:rsidRDefault="0094678F" w:rsidP="003A1BD9">
            <w:pPr>
              <w:pStyle w:val="Tindent"/>
              <w:rPr>
                <w:rFonts w:ascii="Arial" w:hAnsi="Arial" w:cs="Arial"/>
                <w:sz w:val="19"/>
                <w:szCs w:val="19"/>
              </w:rPr>
            </w:pPr>
          </w:p>
        </w:tc>
        <w:tc>
          <w:tcPr>
            <w:tcW w:w="1106" w:type="dxa"/>
          </w:tcPr>
          <w:p w:rsidR="0094678F" w:rsidRPr="00C46A29" w:rsidRDefault="0094678F" w:rsidP="003A1BD9">
            <w:pPr>
              <w:pStyle w:val="Tdec"/>
              <w:rPr>
                <w:rFonts w:ascii="Arial" w:hAnsi="Arial" w:cs="Arial"/>
                <w:sz w:val="19"/>
                <w:szCs w:val="19"/>
                <w:highlight w:val="yellow"/>
              </w:rPr>
            </w:pPr>
          </w:p>
        </w:tc>
        <w:tc>
          <w:tcPr>
            <w:tcW w:w="1134" w:type="dxa"/>
          </w:tcPr>
          <w:p w:rsidR="0094678F" w:rsidRPr="00C46A29" w:rsidRDefault="0094678F" w:rsidP="003A1BD9">
            <w:pPr>
              <w:pStyle w:val="Tdec"/>
              <w:rPr>
                <w:rFonts w:ascii="Arial" w:hAnsi="Arial" w:cs="Arial"/>
                <w:sz w:val="19"/>
                <w:szCs w:val="19"/>
                <w:highlight w:val="yellow"/>
              </w:rPr>
            </w:pPr>
          </w:p>
        </w:tc>
        <w:tc>
          <w:tcPr>
            <w:tcW w:w="1134" w:type="dxa"/>
          </w:tcPr>
          <w:p w:rsidR="0094678F" w:rsidRPr="00C46A29" w:rsidRDefault="0094678F" w:rsidP="003A1BD9">
            <w:pPr>
              <w:pStyle w:val="Tdec"/>
              <w:rPr>
                <w:rFonts w:ascii="Arial" w:hAnsi="Arial" w:cs="Arial"/>
                <w:sz w:val="19"/>
                <w:szCs w:val="19"/>
                <w:highlight w:val="yellow"/>
              </w:rPr>
            </w:pPr>
          </w:p>
        </w:tc>
        <w:tc>
          <w:tcPr>
            <w:tcW w:w="1134" w:type="dxa"/>
          </w:tcPr>
          <w:p w:rsidR="0094678F" w:rsidRPr="005300DC" w:rsidRDefault="0094678F" w:rsidP="003A1BD9">
            <w:pPr>
              <w:pStyle w:val="S9"/>
              <w:spacing w:line="240" w:lineRule="auto"/>
              <w:rPr>
                <w:rFonts w:ascii="Arial" w:hAnsi="Arial" w:cs="Arial"/>
                <w:sz w:val="19"/>
                <w:szCs w:val="19"/>
              </w:rPr>
            </w:pPr>
          </w:p>
        </w:tc>
        <w:tc>
          <w:tcPr>
            <w:tcW w:w="1134" w:type="dxa"/>
          </w:tcPr>
          <w:p w:rsidR="0094678F" w:rsidRPr="002C5113" w:rsidRDefault="0094678F" w:rsidP="003A1BD9">
            <w:pPr>
              <w:pStyle w:val="S9"/>
              <w:spacing w:line="240" w:lineRule="auto"/>
              <w:rPr>
                <w:rFonts w:ascii="Arial" w:hAnsi="Arial" w:cs="Arial"/>
                <w:sz w:val="19"/>
                <w:szCs w:val="19"/>
              </w:rPr>
            </w:pPr>
          </w:p>
        </w:tc>
      </w:tr>
      <w:tr w:rsidR="0094678F" w:rsidRPr="00C46A29" w:rsidTr="006F067F">
        <w:trPr>
          <w:cantSplit/>
        </w:trPr>
        <w:tc>
          <w:tcPr>
            <w:tcW w:w="3856" w:type="dxa"/>
            <w:gridSpan w:val="2"/>
          </w:tcPr>
          <w:p w:rsidR="0094678F" w:rsidRPr="002C5113" w:rsidRDefault="0094678F" w:rsidP="003A1BD9">
            <w:pPr>
              <w:pStyle w:val="Tindent"/>
              <w:rPr>
                <w:rFonts w:ascii="Arial" w:hAnsi="Arial" w:cs="Arial"/>
                <w:sz w:val="19"/>
                <w:szCs w:val="19"/>
              </w:rPr>
            </w:pPr>
            <w:r w:rsidRPr="002C5113">
              <w:rPr>
                <w:rFonts w:ascii="Arial" w:hAnsi="Arial" w:cs="Arial"/>
                <w:sz w:val="19"/>
                <w:szCs w:val="19"/>
              </w:rPr>
              <w:t>Turnover declared in the Profit and Loss Account</w:t>
            </w:r>
          </w:p>
        </w:tc>
        <w:tc>
          <w:tcPr>
            <w:tcW w:w="1106" w:type="dxa"/>
          </w:tcPr>
          <w:p w:rsidR="0094678F" w:rsidRPr="00C46A29" w:rsidRDefault="0094678F" w:rsidP="003A1BD9">
            <w:pPr>
              <w:pStyle w:val="Tdec"/>
              <w:rPr>
                <w:rFonts w:ascii="Arial" w:hAnsi="Arial" w:cs="Arial"/>
                <w:sz w:val="19"/>
                <w:szCs w:val="19"/>
                <w:highlight w:val="yellow"/>
              </w:rPr>
            </w:pPr>
          </w:p>
        </w:tc>
        <w:tc>
          <w:tcPr>
            <w:tcW w:w="1134" w:type="dxa"/>
          </w:tcPr>
          <w:p w:rsidR="0094678F" w:rsidRPr="00C46A29" w:rsidRDefault="0094678F" w:rsidP="003A1BD9">
            <w:pPr>
              <w:pStyle w:val="Tdec"/>
              <w:rPr>
                <w:rFonts w:ascii="Arial" w:hAnsi="Arial" w:cs="Arial"/>
                <w:sz w:val="19"/>
                <w:szCs w:val="19"/>
                <w:highlight w:val="yellow"/>
              </w:rPr>
            </w:pPr>
          </w:p>
        </w:tc>
        <w:tc>
          <w:tcPr>
            <w:tcW w:w="1134" w:type="dxa"/>
          </w:tcPr>
          <w:p w:rsidR="0094678F" w:rsidRPr="00C46A29" w:rsidRDefault="0094678F" w:rsidP="003A1BD9">
            <w:pPr>
              <w:pStyle w:val="Tdec"/>
              <w:rPr>
                <w:rFonts w:ascii="Arial" w:hAnsi="Arial" w:cs="Arial"/>
                <w:sz w:val="19"/>
                <w:szCs w:val="19"/>
                <w:highlight w:val="yellow"/>
              </w:rPr>
            </w:pPr>
          </w:p>
        </w:tc>
        <w:tc>
          <w:tcPr>
            <w:tcW w:w="1134" w:type="dxa"/>
          </w:tcPr>
          <w:p w:rsidR="00E445E1" w:rsidRPr="005300DC" w:rsidRDefault="00E445E1" w:rsidP="003A1BD9">
            <w:pPr>
              <w:pStyle w:val="Tdec"/>
              <w:rPr>
                <w:rFonts w:ascii="Arial" w:hAnsi="Arial" w:cs="Arial"/>
                <w:sz w:val="19"/>
                <w:szCs w:val="19"/>
              </w:rPr>
            </w:pPr>
          </w:p>
          <w:p w:rsidR="0094678F" w:rsidRPr="005300DC" w:rsidRDefault="00E5223E" w:rsidP="003A1BD9">
            <w:pPr>
              <w:pStyle w:val="Tdec"/>
              <w:rPr>
                <w:rFonts w:ascii="Arial" w:hAnsi="Arial" w:cs="Arial"/>
                <w:sz w:val="19"/>
                <w:szCs w:val="19"/>
              </w:rPr>
            </w:pPr>
            <w:r w:rsidRPr="005300DC">
              <w:rPr>
                <w:rFonts w:ascii="Arial" w:hAnsi="Arial" w:cs="Arial"/>
                <w:sz w:val="19"/>
                <w:szCs w:val="19"/>
              </w:rPr>
              <w:t>5</w:t>
            </w:r>
            <w:r w:rsidR="005300DC" w:rsidRPr="005300DC">
              <w:rPr>
                <w:rFonts w:ascii="Arial" w:hAnsi="Arial" w:cs="Arial"/>
                <w:sz w:val="19"/>
                <w:szCs w:val="19"/>
              </w:rPr>
              <w:t>66</w:t>
            </w:r>
          </w:p>
        </w:tc>
        <w:tc>
          <w:tcPr>
            <w:tcW w:w="1134" w:type="dxa"/>
          </w:tcPr>
          <w:p w:rsidR="00E445E1" w:rsidRPr="002C5113" w:rsidRDefault="00E445E1" w:rsidP="003A1BD9">
            <w:pPr>
              <w:pStyle w:val="Tdec"/>
              <w:rPr>
                <w:rFonts w:ascii="Arial" w:hAnsi="Arial" w:cs="Arial"/>
                <w:sz w:val="19"/>
                <w:szCs w:val="19"/>
              </w:rPr>
            </w:pPr>
          </w:p>
          <w:p w:rsidR="0094678F" w:rsidRPr="002C5113" w:rsidRDefault="002C5113" w:rsidP="003A1BD9">
            <w:pPr>
              <w:pStyle w:val="Tdec"/>
              <w:rPr>
                <w:rFonts w:ascii="Arial" w:hAnsi="Arial" w:cs="Arial"/>
                <w:sz w:val="19"/>
                <w:szCs w:val="19"/>
              </w:rPr>
            </w:pPr>
            <w:r w:rsidRPr="002C5113">
              <w:rPr>
                <w:rFonts w:ascii="Arial" w:hAnsi="Arial" w:cs="Arial"/>
                <w:sz w:val="19"/>
                <w:szCs w:val="19"/>
              </w:rPr>
              <w:t>525</w:t>
            </w:r>
          </w:p>
        </w:tc>
      </w:tr>
      <w:tr w:rsidR="0094678F" w:rsidRPr="00C46A29" w:rsidTr="006F067F">
        <w:trPr>
          <w:cantSplit/>
        </w:trPr>
        <w:tc>
          <w:tcPr>
            <w:tcW w:w="3856" w:type="dxa"/>
            <w:gridSpan w:val="2"/>
          </w:tcPr>
          <w:p w:rsidR="0094678F" w:rsidRPr="002C5113" w:rsidRDefault="0094678F" w:rsidP="003A1BD9">
            <w:pPr>
              <w:pStyle w:val="Tindent"/>
              <w:rPr>
                <w:rFonts w:ascii="Arial" w:hAnsi="Arial" w:cs="Arial"/>
                <w:sz w:val="19"/>
                <w:szCs w:val="19"/>
              </w:rPr>
            </w:pPr>
          </w:p>
        </w:tc>
        <w:tc>
          <w:tcPr>
            <w:tcW w:w="1106" w:type="dxa"/>
          </w:tcPr>
          <w:p w:rsidR="0094678F" w:rsidRPr="00C46A29" w:rsidRDefault="0094678F" w:rsidP="003A1BD9">
            <w:pPr>
              <w:pStyle w:val="Tdec"/>
              <w:rPr>
                <w:rFonts w:ascii="Arial" w:hAnsi="Arial" w:cs="Arial"/>
                <w:sz w:val="19"/>
                <w:szCs w:val="19"/>
                <w:highlight w:val="yellow"/>
              </w:rPr>
            </w:pPr>
          </w:p>
        </w:tc>
        <w:tc>
          <w:tcPr>
            <w:tcW w:w="1134" w:type="dxa"/>
          </w:tcPr>
          <w:p w:rsidR="0094678F" w:rsidRPr="00C46A29" w:rsidRDefault="0094678F" w:rsidP="003A1BD9">
            <w:pPr>
              <w:pStyle w:val="Tdec"/>
              <w:rPr>
                <w:rFonts w:ascii="Arial" w:hAnsi="Arial" w:cs="Arial"/>
                <w:sz w:val="19"/>
                <w:szCs w:val="19"/>
                <w:highlight w:val="yellow"/>
              </w:rPr>
            </w:pPr>
          </w:p>
        </w:tc>
        <w:tc>
          <w:tcPr>
            <w:tcW w:w="1134" w:type="dxa"/>
          </w:tcPr>
          <w:p w:rsidR="0094678F" w:rsidRPr="00C46A29" w:rsidRDefault="0094678F" w:rsidP="003A1BD9">
            <w:pPr>
              <w:pStyle w:val="Tdec"/>
              <w:rPr>
                <w:rFonts w:ascii="Arial" w:hAnsi="Arial" w:cs="Arial"/>
                <w:sz w:val="19"/>
                <w:szCs w:val="19"/>
                <w:highlight w:val="yellow"/>
              </w:rPr>
            </w:pPr>
          </w:p>
        </w:tc>
        <w:tc>
          <w:tcPr>
            <w:tcW w:w="1134" w:type="dxa"/>
          </w:tcPr>
          <w:p w:rsidR="0094678F" w:rsidRPr="005300DC" w:rsidRDefault="0094678F" w:rsidP="003A1BD9">
            <w:pPr>
              <w:pStyle w:val="D9"/>
              <w:spacing w:line="240" w:lineRule="auto"/>
              <w:rPr>
                <w:rFonts w:ascii="Arial" w:hAnsi="Arial" w:cs="Arial"/>
                <w:sz w:val="19"/>
                <w:szCs w:val="19"/>
              </w:rPr>
            </w:pPr>
          </w:p>
        </w:tc>
        <w:tc>
          <w:tcPr>
            <w:tcW w:w="1134" w:type="dxa"/>
          </w:tcPr>
          <w:p w:rsidR="0094678F" w:rsidRPr="002C5113" w:rsidRDefault="0094678F" w:rsidP="003A1BD9">
            <w:pPr>
              <w:pStyle w:val="D9"/>
              <w:spacing w:line="240" w:lineRule="auto"/>
              <w:rPr>
                <w:rFonts w:ascii="Arial" w:hAnsi="Arial" w:cs="Arial"/>
                <w:sz w:val="19"/>
                <w:szCs w:val="19"/>
              </w:rPr>
            </w:pPr>
          </w:p>
        </w:tc>
      </w:tr>
    </w:tbl>
    <w:p w:rsidR="0094678F" w:rsidRPr="00C46A29" w:rsidRDefault="0094678F" w:rsidP="003A1BD9">
      <w:pPr>
        <w:pStyle w:val="NormalIndent"/>
        <w:rPr>
          <w:rFonts w:ascii="Arial" w:hAnsi="Arial" w:cs="Arial"/>
          <w:sz w:val="19"/>
          <w:szCs w:val="19"/>
          <w:highlight w:val="yellow"/>
          <w:lang w:val="en-US"/>
        </w:rPr>
      </w:pPr>
    </w:p>
    <w:p w:rsidR="0094678F" w:rsidRPr="00F836C6" w:rsidRDefault="001C57E9" w:rsidP="001C57E9">
      <w:pPr>
        <w:pStyle w:val="Heading1"/>
        <w:numPr>
          <w:ilvl w:val="0"/>
          <w:numId w:val="36"/>
        </w:numPr>
        <w:ind w:left="567" w:hanging="567"/>
        <w:rPr>
          <w:rFonts w:ascii="Arial" w:hAnsi="Arial" w:cs="Arial"/>
          <w:sz w:val="24"/>
          <w:szCs w:val="19"/>
          <w:lang w:val="en-US"/>
        </w:rPr>
      </w:pPr>
      <w:bookmarkStart w:id="31" w:name="_Toc390775336"/>
      <w:r w:rsidRPr="00F836C6">
        <w:rPr>
          <w:rFonts w:ascii="Arial" w:hAnsi="Arial" w:cs="Arial"/>
          <w:caps w:val="0"/>
          <w:sz w:val="24"/>
          <w:szCs w:val="19"/>
          <w:lang w:val="en-US"/>
        </w:rPr>
        <w:t>Subsidiary Undertakings</w:t>
      </w:r>
      <w:bookmarkEnd w:id="31"/>
      <w:r w:rsidRPr="00F836C6">
        <w:rPr>
          <w:rFonts w:ascii="Arial" w:hAnsi="Arial" w:cs="Arial"/>
          <w:caps w:val="0"/>
          <w:sz w:val="24"/>
          <w:szCs w:val="19"/>
          <w:lang w:val="en-US"/>
        </w:rPr>
        <w:t xml:space="preserve"> </w:t>
      </w:r>
    </w:p>
    <w:p w:rsidR="0094678F" w:rsidRPr="00F836C6" w:rsidRDefault="0094678F" w:rsidP="001C57E9">
      <w:pPr>
        <w:pStyle w:val="NormalIndent"/>
        <w:spacing w:after="0"/>
        <w:ind w:left="0"/>
        <w:jc w:val="left"/>
        <w:rPr>
          <w:rFonts w:ascii="Arial" w:hAnsi="Arial" w:cs="Arial"/>
          <w:sz w:val="19"/>
          <w:szCs w:val="19"/>
          <w:lang w:val="en-US"/>
        </w:rPr>
      </w:pPr>
      <w:r w:rsidRPr="00F836C6">
        <w:rPr>
          <w:rFonts w:ascii="Arial" w:hAnsi="Arial" w:cs="Arial"/>
          <w:sz w:val="19"/>
          <w:szCs w:val="19"/>
          <w:lang w:val="en-US"/>
        </w:rPr>
        <w:t xml:space="preserve">During 2014 the </w:t>
      </w:r>
      <w:r w:rsidR="00201B4C" w:rsidRPr="00F836C6">
        <w:rPr>
          <w:rFonts w:ascii="Arial" w:hAnsi="Arial" w:cs="Arial"/>
          <w:sz w:val="19"/>
          <w:szCs w:val="19"/>
          <w:lang w:val="en-US"/>
        </w:rPr>
        <w:t>Company</w:t>
      </w:r>
      <w:r w:rsidRPr="00F836C6">
        <w:rPr>
          <w:rFonts w:ascii="Arial" w:hAnsi="Arial" w:cs="Arial"/>
          <w:sz w:val="19"/>
          <w:szCs w:val="19"/>
          <w:lang w:val="en-US"/>
        </w:rPr>
        <w:t xml:space="preserve"> created three subsidiary undertakings all of whom are registered at the registered address of the </w:t>
      </w:r>
      <w:r w:rsidR="00201B4C" w:rsidRPr="00F836C6">
        <w:rPr>
          <w:rFonts w:ascii="Arial" w:hAnsi="Arial" w:cs="Arial"/>
          <w:sz w:val="19"/>
          <w:szCs w:val="19"/>
          <w:lang w:val="en-US"/>
        </w:rPr>
        <w:t>Company</w:t>
      </w:r>
      <w:r w:rsidR="00F836C6" w:rsidRPr="00F836C6">
        <w:rPr>
          <w:rFonts w:ascii="Arial" w:hAnsi="Arial" w:cs="Arial"/>
          <w:sz w:val="19"/>
          <w:szCs w:val="19"/>
          <w:lang w:val="en-US"/>
        </w:rPr>
        <w:t xml:space="preserve">. The subsidiary undertakings </w:t>
      </w:r>
      <w:r w:rsidRPr="00F836C6">
        <w:rPr>
          <w:rFonts w:ascii="Arial" w:hAnsi="Arial" w:cs="Arial"/>
          <w:sz w:val="19"/>
          <w:szCs w:val="19"/>
          <w:lang w:val="en-US"/>
        </w:rPr>
        <w:t>are</w:t>
      </w:r>
      <w:r w:rsidR="00F836C6" w:rsidRPr="00F836C6">
        <w:rPr>
          <w:rFonts w:ascii="Arial" w:hAnsi="Arial" w:cs="Arial"/>
          <w:sz w:val="19"/>
          <w:szCs w:val="19"/>
          <w:lang w:val="en-US"/>
        </w:rPr>
        <w:t>,</w:t>
      </w:r>
    </w:p>
    <w:p w:rsidR="001C57E9" w:rsidRPr="00F836C6" w:rsidRDefault="001C57E9" w:rsidP="001C57E9">
      <w:pPr>
        <w:pStyle w:val="NormalIndent"/>
        <w:spacing w:after="0"/>
        <w:ind w:left="0"/>
        <w:jc w:val="left"/>
        <w:rPr>
          <w:rFonts w:ascii="Arial" w:hAnsi="Arial" w:cs="Arial"/>
          <w:sz w:val="19"/>
          <w:szCs w:val="19"/>
          <w:lang w:val="en-US"/>
        </w:rPr>
      </w:pPr>
    </w:p>
    <w:p w:rsidR="0094678F" w:rsidRPr="00F836C6" w:rsidRDefault="0094678F" w:rsidP="001C57E9">
      <w:pPr>
        <w:pStyle w:val="NormalIndent"/>
        <w:spacing w:after="0"/>
        <w:ind w:left="0" w:firstLine="567"/>
        <w:jc w:val="left"/>
        <w:rPr>
          <w:rFonts w:ascii="Arial" w:hAnsi="Arial" w:cs="Arial"/>
          <w:sz w:val="19"/>
          <w:szCs w:val="19"/>
          <w:lang w:val="en-US"/>
        </w:rPr>
      </w:pPr>
      <w:r w:rsidRPr="00F836C6">
        <w:rPr>
          <w:rFonts w:ascii="Arial" w:hAnsi="Arial" w:cs="Arial"/>
          <w:sz w:val="19"/>
          <w:szCs w:val="19"/>
          <w:lang w:val="en-US"/>
        </w:rPr>
        <w:t>Name</w:t>
      </w:r>
      <w:r w:rsidRPr="00F836C6">
        <w:rPr>
          <w:rFonts w:ascii="Arial" w:hAnsi="Arial" w:cs="Arial"/>
          <w:sz w:val="19"/>
          <w:szCs w:val="19"/>
          <w:lang w:val="en-US"/>
        </w:rPr>
        <w:tab/>
      </w:r>
      <w:r w:rsidRPr="00F836C6">
        <w:rPr>
          <w:rFonts w:ascii="Arial" w:hAnsi="Arial" w:cs="Arial"/>
          <w:sz w:val="19"/>
          <w:szCs w:val="19"/>
          <w:lang w:val="en-US"/>
        </w:rPr>
        <w:tab/>
      </w:r>
      <w:r w:rsidRPr="00F836C6">
        <w:rPr>
          <w:rFonts w:ascii="Arial" w:hAnsi="Arial" w:cs="Arial"/>
          <w:sz w:val="19"/>
          <w:szCs w:val="19"/>
          <w:lang w:val="en-US"/>
        </w:rPr>
        <w:tab/>
      </w:r>
      <w:r w:rsidRPr="00F836C6">
        <w:rPr>
          <w:rFonts w:ascii="Arial" w:hAnsi="Arial" w:cs="Arial"/>
          <w:sz w:val="19"/>
          <w:szCs w:val="19"/>
          <w:lang w:val="en-US"/>
        </w:rPr>
        <w:tab/>
      </w:r>
      <w:r w:rsidRPr="00F836C6">
        <w:rPr>
          <w:rFonts w:ascii="Arial" w:hAnsi="Arial" w:cs="Arial"/>
          <w:sz w:val="19"/>
          <w:szCs w:val="19"/>
          <w:lang w:val="en-US"/>
        </w:rPr>
        <w:tab/>
      </w:r>
      <w:r w:rsidRPr="00F836C6">
        <w:rPr>
          <w:rFonts w:ascii="Arial" w:hAnsi="Arial" w:cs="Arial"/>
          <w:sz w:val="19"/>
          <w:szCs w:val="19"/>
          <w:lang w:val="en-US"/>
        </w:rPr>
        <w:tab/>
        <w:t>Registered Number</w:t>
      </w:r>
    </w:p>
    <w:p w:rsidR="0094678F" w:rsidRPr="00F836C6" w:rsidRDefault="0094678F" w:rsidP="001C57E9">
      <w:pPr>
        <w:pStyle w:val="NormalIndent"/>
        <w:spacing w:after="0"/>
        <w:jc w:val="left"/>
        <w:rPr>
          <w:rFonts w:ascii="Arial" w:hAnsi="Arial" w:cs="Arial"/>
          <w:sz w:val="19"/>
          <w:szCs w:val="19"/>
          <w:lang w:val="en-US"/>
        </w:rPr>
      </w:pPr>
      <w:r w:rsidRPr="00F836C6">
        <w:rPr>
          <w:rFonts w:ascii="Arial" w:hAnsi="Arial" w:cs="Arial"/>
          <w:sz w:val="19"/>
          <w:szCs w:val="19"/>
          <w:lang w:val="en-US"/>
        </w:rPr>
        <w:t>Action for Northumberland</w:t>
      </w:r>
      <w:r w:rsidR="00F36B82" w:rsidRPr="00F836C6">
        <w:rPr>
          <w:rFonts w:ascii="Arial" w:hAnsi="Arial" w:cs="Arial"/>
          <w:sz w:val="19"/>
          <w:szCs w:val="19"/>
          <w:lang w:val="en-US"/>
        </w:rPr>
        <w:t xml:space="preserve"> Ltd</w:t>
      </w:r>
      <w:r w:rsidRPr="00F836C6">
        <w:rPr>
          <w:rFonts w:ascii="Arial" w:hAnsi="Arial" w:cs="Arial"/>
          <w:sz w:val="19"/>
          <w:szCs w:val="19"/>
          <w:lang w:val="en-US"/>
        </w:rPr>
        <w:tab/>
      </w:r>
      <w:r w:rsidRPr="00F836C6">
        <w:rPr>
          <w:rFonts w:ascii="Arial" w:hAnsi="Arial" w:cs="Arial"/>
          <w:sz w:val="19"/>
          <w:szCs w:val="19"/>
          <w:lang w:val="en-US"/>
        </w:rPr>
        <w:tab/>
      </w:r>
      <w:r w:rsidR="00F36B82" w:rsidRPr="00F836C6">
        <w:rPr>
          <w:rFonts w:ascii="Arial" w:hAnsi="Arial" w:cs="Arial"/>
          <w:sz w:val="19"/>
          <w:szCs w:val="19"/>
          <w:lang w:val="en-US"/>
        </w:rPr>
        <w:t>08668749</w:t>
      </w:r>
    </w:p>
    <w:p w:rsidR="0094678F" w:rsidRPr="00F836C6" w:rsidRDefault="0094678F" w:rsidP="001C57E9">
      <w:pPr>
        <w:pStyle w:val="NormalIndent"/>
        <w:spacing w:after="0"/>
        <w:jc w:val="left"/>
        <w:rPr>
          <w:rFonts w:ascii="Arial" w:hAnsi="Arial" w:cs="Arial"/>
          <w:sz w:val="19"/>
          <w:szCs w:val="19"/>
          <w:lang w:val="en-US"/>
        </w:rPr>
      </w:pPr>
      <w:r w:rsidRPr="00F836C6">
        <w:rPr>
          <w:rFonts w:ascii="Arial" w:hAnsi="Arial" w:cs="Arial"/>
          <w:sz w:val="19"/>
          <w:szCs w:val="19"/>
          <w:lang w:val="en-US"/>
        </w:rPr>
        <w:t>Building for Northumberland</w:t>
      </w:r>
      <w:r w:rsidR="00F36B82" w:rsidRPr="00F836C6">
        <w:rPr>
          <w:rFonts w:ascii="Arial" w:hAnsi="Arial" w:cs="Arial"/>
          <w:sz w:val="19"/>
          <w:szCs w:val="19"/>
          <w:lang w:val="en-US"/>
        </w:rPr>
        <w:t xml:space="preserve"> Ltd</w:t>
      </w:r>
      <w:r w:rsidRPr="00F836C6">
        <w:rPr>
          <w:rFonts w:ascii="Arial" w:hAnsi="Arial" w:cs="Arial"/>
          <w:sz w:val="19"/>
          <w:szCs w:val="19"/>
          <w:lang w:val="en-US"/>
        </w:rPr>
        <w:tab/>
      </w:r>
      <w:r w:rsidRPr="00F836C6">
        <w:rPr>
          <w:rFonts w:ascii="Arial" w:hAnsi="Arial" w:cs="Arial"/>
          <w:sz w:val="19"/>
          <w:szCs w:val="19"/>
          <w:lang w:val="en-US"/>
        </w:rPr>
        <w:tab/>
      </w:r>
      <w:r w:rsidR="00F36B82" w:rsidRPr="00F836C6">
        <w:rPr>
          <w:rFonts w:ascii="Arial" w:hAnsi="Arial" w:cs="Arial"/>
          <w:sz w:val="19"/>
          <w:szCs w:val="19"/>
          <w:lang w:val="en-US"/>
        </w:rPr>
        <w:t>08668889</w:t>
      </w:r>
    </w:p>
    <w:p w:rsidR="0094678F" w:rsidRPr="00F836C6" w:rsidRDefault="0094678F" w:rsidP="001C57E9">
      <w:pPr>
        <w:pStyle w:val="NormalIndent"/>
        <w:spacing w:after="0"/>
        <w:jc w:val="left"/>
        <w:rPr>
          <w:rFonts w:ascii="Arial" w:hAnsi="Arial" w:cs="Arial"/>
          <w:sz w:val="19"/>
          <w:szCs w:val="19"/>
          <w:lang w:val="en-US"/>
        </w:rPr>
      </w:pPr>
      <w:r w:rsidRPr="00F836C6">
        <w:rPr>
          <w:rFonts w:ascii="Arial" w:hAnsi="Arial" w:cs="Arial"/>
          <w:sz w:val="19"/>
          <w:szCs w:val="19"/>
          <w:lang w:val="en-US"/>
        </w:rPr>
        <w:t>Cari</w:t>
      </w:r>
      <w:r w:rsidR="00A812FF" w:rsidRPr="00F836C6">
        <w:rPr>
          <w:rFonts w:ascii="Arial" w:hAnsi="Arial" w:cs="Arial"/>
          <w:sz w:val="19"/>
          <w:szCs w:val="19"/>
          <w:lang w:val="en-US"/>
        </w:rPr>
        <w:t>ng for Northumberland</w:t>
      </w:r>
      <w:r w:rsidR="00AF2A52" w:rsidRPr="00F836C6">
        <w:rPr>
          <w:rFonts w:ascii="Arial" w:hAnsi="Arial" w:cs="Arial"/>
          <w:sz w:val="19"/>
          <w:szCs w:val="19"/>
          <w:lang w:val="en-US"/>
        </w:rPr>
        <w:t xml:space="preserve"> Ltd</w:t>
      </w:r>
      <w:r w:rsidR="00F36B82" w:rsidRPr="00F836C6">
        <w:rPr>
          <w:rFonts w:ascii="Arial" w:hAnsi="Arial" w:cs="Arial"/>
          <w:sz w:val="19"/>
          <w:szCs w:val="19"/>
          <w:lang w:val="en-US"/>
        </w:rPr>
        <w:tab/>
      </w:r>
      <w:r w:rsidR="00F36B82" w:rsidRPr="00F836C6">
        <w:rPr>
          <w:rFonts w:ascii="Arial" w:hAnsi="Arial" w:cs="Arial"/>
          <w:sz w:val="19"/>
          <w:szCs w:val="19"/>
          <w:lang w:val="en-US"/>
        </w:rPr>
        <w:tab/>
        <w:t>08668782</w:t>
      </w:r>
    </w:p>
    <w:p w:rsidR="001C57E9" w:rsidRPr="00F836C6" w:rsidRDefault="001C57E9" w:rsidP="001C57E9">
      <w:pPr>
        <w:pStyle w:val="NormalIndent"/>
        <w:spacing w:after="0"/>
        <w:jc w:val="left"/>
        <w:rPr>
          <w:rFonts w:ascii="Arial" w:hAnsi="Arial" w:cs="Arial"/>
          <w:sz w:val="19"/>
          <w:szCs w:val="19"/>
          <w:lang w:val="en-US"/>
        </w:rPr>
      </w:pPr>
    </w:p>
    <w:p w:rsidR="00F836C6" w:rsidRDefault="00F836C6" w:rsidP="00F836C6">
      <w:pPr>
        <w:pStyle w:val="NormalIndent"/>
        <w:spacing w:after="0"/>
        <w:ind w:left="0"/>
        <w:jc w:val="left"/>
        <w:rPr>
          <w:rFonts w:ascii="Arial" w:hAnsi="Arial" w:cs="Arial"/>
          <w:sz w:val="19"/>
          <w:szCs w:val="19"/>
          <w:lang w:val="en-US"/>
        </w:rPr>
      </w:pPr>
      <w:r w:rsidRPr="00F836C6">
        <w:rPr>
          <w:rFonts w:ascii="Arial" w:hAnsi="Arial" w:cs="Arial"/>
          <w:sz w:val="19"/>
          <w:szCs w:val="19"/>
          <w:lang w:val="en-US"/>
        </w:rPr>
        <w:t>Two of the subsidiary undertakings did not trade during the year and have remained dormant since incorporation. These (Action for Northumberland Ltd and Caring for Northumberland Ltd) are in the process of being struck off at Companies House. In these cases the aggregate amount of capital and reserves £nil and, as none have traded in the year, the profit or loss for the year is also £nil.</w:t>
      </w:r>
    </w:p>
    <w:p w:rsidR="00F836C6" w:rsidRPr="00743922" w:rsidRDefault="00743922" w:rsidP="001C57E9">
      <w:pPr>
        <w:pStyle w:val="NormalIndent"/>
        <w:spacing w:after="0"/>
        <w:ind w:left="0"/>
        <w:jc w:val="left"/>
        <w:rPr>
          <w:rFonts w:ascii="Arial" w:hAnsi="Arial" w:cs="Arial"/>
          <w:b/>
          <w:sz w:val="19"/>
          <w:szCs w:val="19"/>
          <w:lang w:val="en-US"/>
        </w:rPr>
      </w:pPr>
      <w:r w:rsidRPr="00743922">
        <w:rPr>
          <w:rFonts w:ascii="Arial" w:hAnsi="Arial" w:cs="Arial"/>
          <w:b/>
          <w:sz w:val="19"/>
          <w:szCs w:val="19"/>
          <w:lang w:val="en-US"/>
        </w:rPr>
        <w:lastRenderedPageBreak/>
        <w:t>23 Subsidiary Undertakings (continued)</w:t>
      </w:r>
    </w:p>
    <w:p w:rsidR="00F836C6" w:rsidRDefault="00F836C6" w:rsidP="001C57E9">
      <w:pPr>
        <w:pStyle w:val="NormalIndent"/>
        <w:spacing w:after="0"/>
        <w:ind w:left="0"/>
        <w:jc w:val="left"/>
        <w:rPr>
          <w:rFonts w:ascii="Arial" w:hAnsi="Arial" w:cs="Arial"/>
          <w:sz w:val="19"/>
          <w:szCs w:val="19"/>
          <w:highlight w:val="yellow"/>
          <w:lang w:val="en-US"/>
        </w:rPr>
      </w:pPr>
    </w:p>
    <w:p w:rsidR="00F836C6" w:rsidRPr="00743922" w:rsidRDefault="00F836C6" w:rsidP="001C57E9">
      <w:pPr>
        <w:pStyle w:val="NormalIndent"/>
        <w:spacing w:after="0"/>
        <w:ind w:left="0"/>
        <w:jc w:val="left"/>
        <w:rPr>
          <w:rFonts w:ascii="Arial" w:hAnsi="Arial" w:cs="Arial"/>
          <w:sz w:val="19"/>
          <w:szCs w:val="19"/>
          <w:lang w:val="en-US"/>
        </w:rPr>
      </w:pPr>
      <w:r w:rsidRPr="00743922">
        <w:rPr>
          <w:rFonts w:ascii="Arial" w:hAnsi="Arial" w:cs="Arial"/>
          <w:sz w:val="19"/>
          <w:szCs w:val="19"/>
          <w:lang w:val="en-US"/>
        </w:rPr>
        <w:t xml:space="preserve">Building for Northumberland </w:t>
      </w:r>
      <w:r w:rsidR="00743922" w:rsidRPr="00743922">
        <w:rPr>
          <w:rFonts w:ascii="Arial" w:hAnsi="Arial" w:cs="Arial"/>
          <w:sz w:val="19"/>
          <w:szCs w:val="19"/>
          <w:lang w:val="en-US"/>
        </w:rPr>
        <w:t>became a registered provider of social housing in 2014/15 and is in the process of building houses. However, the volume of financial activity in this subsidiary in 2014/15 was insignificant. Homes for Northumberland Limited has elected not to prepare group financial statements in respect of this undertaking in accordance with s405 of the Companies Act 2006 as it is not material to present a true and fair view of performance.</w:t>
      </w:r>
    </w:p>
    <w:p w:rsidR="00F836C6" w:rsidRDefault="00F836C6" w:rsidP="001C57E9">
      <w:pPr>
        <w:pStyle w:val="NormalIndent"/>
        <w:spacing w:after="0"/>
        <w:ind w:left="0"/>
        <w:jc w:val="left"/>
        <w:rPr>
          <w:rFonts w:ascii="Arial" w:hAnsi="Arial" w:cs="Arial"/>
          <w:sz w:val="19"/>
          <w:szCs w:val="19"/>
          <w:highlight w:val="yellow"/>
          <w:lang w:val="en-US"/>
        </w:rPr>
      </w:pPr>
    </w:p>
    <w:p w:rsidR="0094678F" w:rsidRPr="00F836C6" w:rsidRDefault="0094678F" w:rsidP="001C57E9">
      <w:pPr>
        <w:pStyle w:val="NormalIndent"/>
        <w:spacing w:after="0"/>
        <w:ind w:left="0"/>
        <w:jc w:val="left"/>
        <w:rPr>
          <w:rFonts w:ascii="Arial" w:hAnsi="Arial" w:cs="Arial"/>
          <w:sz w:val="19"/>
          <w:szCs w:val="19"/>
          <w:lang w:val="en-US"/>
        </w:rPr>
      </w:pPr>
      <w:r w:rsidRPr="00F836C6">
        <w:rPr>
          <w:rFonts w:ascii="Arial" w:hAnsi="Arial" w:cs="Arial"/>
          <w:sz w:val="19"/>
          <w:szCs w:val="19"/>
          <w:lang w:val="en-US"/>
        </w:rPr>
        <w:t>Homes for Northumberland</w:t>
      </w:r>
      <w:r w:rsidR="00743922">
        <w:rPr>
          <w:rFonts w:ascii="Arial" w:hAnsi="Arial" w:cs="Arial"/>
          <w:sz w:val="19"/>
          <w:szCs w:val="19"/>
          <w:lang w:val="en-US"/>
        </w:rPr>
        <w:t xml:space="preserve"> Limited</w:t>
      </w:r>
      <w:r w:rsidRPr="00F836C6">
        <w:rPr>
          <w:rFonts w:ascii="Arial" w:hAnsi="Arial" w:cs="Arial"/>
          <w:sz w:val="19"/>
          <w:szCs w:val="19"/>
          <w:lang w:val="en-US"/>
        </w:rPr>
        <w:t xml:space="preserve"> is the sole member of each of these </w:t>
      </w:r>
      <w:r w:rsidR="00C5267F" w:rsidRPr="00F836C6">
        <w:rPr>
          <w:rFonts w:ascii="Arial" w:hAnsi="Arial" w:cs="Arial"/>
          <w:sz w:val="19"/>
          <w:szCs w:val="19"/>
          <w:lang w:val="en-US"/>
        </w:rPr>
        <w:t>subsidiary</w:t>
      </w:r>
      <w:r w:rsidRPr="00F836C6">
        <w:rPr>
          <w:rFonts w:ascii="Arial" w:hAnsi="Arial" w:cs="Arial"/>
          <w:sz w:val="19"/>
          <w:szCs w:val="19"/>
          <w:lang w:val="en-US"/>
        </w:rPr>
        <w:t xml:space="preserve"> undertakings each of which are companies </w:t>
      </w:r>
      <w:r w:rsidR="00C5267F" w:rsidRPr="00F836C6">
        <w:rPr>
          <w:rFonts w:ascii="Arial" w:hAnsi="Arial" w:cs="Arial"/>
          <w:sz w:val="19"/>
          <w:szCs w:val="19"/>
          <w:lang w:val="en-US"/>
        </w:rPr>
        <w:t>limited</w:t>
      </w:r>
      <w:r w:rsidRPr="00F836C6">
        <w:rPr>
          <w:rFonts w:ascii="Arial" w:hAnsi="Arial" w:cs="Arial"/>
          <w:sz w:val="19"/>
          <w:szCs w:val="19"/>
          <w:lang w:val="en-US"/>
        </w:rPr>
        <w:t xml:space="preserve"> by guarantee.</w:t>
      </w:r>
    </w:p>
    <w:p w:rsidR="001C57E9" w:rsidRPr="00C46A29" w:rsidRDefault="001C57E9" w:rsidP="001C57E9">
      <w:pPr>
        <w:pStyle w:val="NormalIndent"/>
        <w:spacing w:after="0"/>
        <w:ind w:left="0"/>
        <w:jc w:val="left"/>
        <w:rPr>
          <w:rFonts w:ascii="Arial" w:hAnsi="Arial" w:cs="Arial"/>
          <w:sz w:val="19"/>
          <w:szCs w:val="19"/>
          <w:highlight w:val="yellow"/>
          <w:lang w:val="en-US"/>
        </w:rPr>
      </w:pPr>
    </w:p>
    <w:p w:rsidR="0094678F" w:rsidRPr="005300DC" w:rsidRDefault="001C57E9" w:rsidP="001C57E9">
      <w:pPr>
        <w:pStyle w:val="Heading1"/>
        <w:numPr>
          <w:ilvl w:val="0"/>
          <w:numId w:val="0"/>
        </w:numPr>
        <w:rPr>
          <w:rFonts w:ascii="Arial" w:hAnsi="Arial" w:cs="Arial"/>
          <w:sz w:val="24"/>
          <w:szCs w:val="19"/>
          <w:lang w:val="en-US"/>
        </w:rPr>
      </w:pPr>
      <w:bookmarkStart w:id="32" w:name="_Toc390775337"/>
      <w:r w:rsidRPr="001C57E9">
        <w:rPr>
          <w:rFonts w:ascii="Arial" w:hAnsi="Arial" w:cs="Arial"/>
          <w:caps w:val="0"/>
          <w:sz w:val="24"/>
          <w:szCs w:val="19"/>
          <w:lang w:val="en-US"/>
        </w:rPr>
        <w:t>24</w:t>
      </w:r>
      <w:r w:rsidRPr="001C57E9">
        <w:rPr>
          <w:rFonts w:ascii="Arial" w:hAnsi="Arial" w:cs="Arial"/>
          <w:caps w:val="0"/>
          <w:sz w:val="24"/>
          <w:szCs w:val="19"/>
          <w:lang w:val="en-US"/>
        </w:rPr>
        <w:tab/>
      </w:r>
      <w:r w:rsidRPr="005300DC">
        <w:rPr>
          <w:rFonts w:ascii="Arial" w:hAnsi="Arial" w:cs="Arial"/>
          <w:caps w:val="0"/>
          <w:sz w:val="24"/>
          <w:szCs w:val="19"/>
          <w:lang w:val="en-US"/>
        </w:rPr>
        <w:t>Post Balance Sheet Events</w:t>
      </w:r>
      <w:bookmarkEnd w:id="32"/>
    </w:p>
    <w:p w:rsidR="00D229FC" w:rsidRDefault="00D229FC" w:rsidP="00D229FC">
      <w:pPr>
        <w:rPr>
          <w:rFonts w:ascii="Arial" w:eastAsia="Calibri" w:hAnsi="Arial" w:cs="Arial"/>
          <w:sz w:val="19"/>
          <w:szCs w:val="19"/>
        </w:rPr>
      </w:pPr>
      <w:r>
        <w:rPr>
          <w:rFonts w:ascii="Arial" w:eastAsia="Calibri" w:hAnsi="Arial" w:cs="Arial"/>
          <w:sz w:val="19"/>
          <w:szCs w:val="19"/>
        </w:rPr>
        <w:t xml:space="preserve">In June 2015 Northumberland County Council announced that it would take back the delivery of housing management from 1 September 2015. The Council propose to transfer all of Homes for Northumberland Limited’s staff at that date on a TUPE basis into the Council. Homes for Northumberland Limited will continue to operate after this date but only as a vehicle to hold the 22 properties in Allendale. </w:t>
      </w:r>
    </w:p>
    <w:p w:rsidR="00D229FC" w:rsidRPr="005300DC" w:rsidRDefault="00D229FC" w:rsidP="001C57E9">
      <w:pPr>
        <w:pStyle w:val="NormalIndent"/>
        <w:spacing w:after="0"/>
        <w:ind w:left="0"/>
        <w:jc w:val="left"/>
        <w:rPr>
          <w:rFonts w:ascii="Arial" w:hAnsi="Arial" w:cs="Arial"/>
          <w:sz w:val="19"/>
          <w:szCs w:val="19"/>
          <w:lang w:val="en-US"/>
        </w:rPr>
      </w:pPr>
      <w:r w:rsidRPr="005300DC">
        <w:rPr>
          <w:rFonts w:ascii="Arial" w:hAnsi="Arial" w:cs="Arial"/>
          <w:sz w:val="19"/>
          <w:szCs w:val="19"/>
          <w:lang w:val="en-US"/>
        </w:rPr>
        <w:t xml:space="preserve">There were no </w:t>
      </w:r>
      <w:r>
        <w:rPr>
          <w:rFonts w:ascii="Arial" w:hAnsi="Arial" w:cs="Arial"/>
          <w:sz w:val="19"/>
          <w:szCs w:val="19"/>
          <w:lang w:val="en-US"/>
        </w:rPr>
        <w:t>other</w:t>
      </w:r>
      <w:r w:rsidRPr="005300DC">
        <w:rPr>
          <w:rFonts w:ascii="Arial" w:hAnsi="Arial" w:cs="Arial"/>
          <w:sz w:val="19"/>
          <w:szCs w:val="19"/>
          <w:lang w:val="en-US"/>
        </w:rPr>
        <w:t xml:space="preserve"> balance sheet events requiring adjustment to the financial statements or disclosure as non adjusting events</w:t>
      </w:r>
    </w:p>
    <w:p w:rsidR="00CE7964" w:rsidRPr="00C46A29" w:rsidRDefault="00CE7964" w:rsidP="001C57E9">
      <w:pPr>
        <w:pStyle w:val="NormalIndent"/>
        <w:spacing w:after="0"/>
        <w:ind w:left="0"/>
        <w:jc w:val="left"/>
        <w:rPr>
          <w:rFonts w:ascii="Arial" w:hAnsi="Arial" w:cs="Arial"/>
          <w:sz w:val="19"/>
          <w:szCs w:val="19"/>
          <w:highlight w:val="yellow"/>
          <w:lang w:val="en-US"/>
        </w:rPr>
      </w:pPr>
    </w:p>
    <w:p w:rsidR="00866217" w:rsidRPr="00ED2B58" w:rsidRDefault="00866217" w:rsidP="00866217">
      <w:pPr>
        <w:pStyle w:val="Heading1"/>
        <w:numPr>
          <w:ilvl w:val="0"/>
          <w:numId w:val="0"/>
        </w:numPr>
        <w:rPr>
          <w:rFonts w:ascii="Arial" w:hAnsi="Arial" w:cs="Arial"/>
          <w:sz w:val="24"/>
          <w:szCs w:val="19"/>
          <w:lang w:val="en-US"/>
        </w:rPr>
      </w:pPr>
      <w:r w:rsidRPr="00ED2B58">
        <w:rPr>
          <w:rFonts w:ascii="Arial" w:hAnsi="Arial" w:cs="Arial"/>
          <w:caps w:val="0"/>
          <w:sz w:val="24"/>
          <w:szCs w:val="19"/>
          <w:lang w:val="en-US"/>
        </w:rPr>
        <w:t>25</w:t>
      </w:r>
      <w:r w:rsidRPr="00ED2B58">
        <w:rPr>
          <w:rFonts w:ascii="Arial" w:hAnsi="Arial" w:cs="Arial"/>
          <w:caps w:val="0"/>
          <w:sz w:val="24"/>
          <w:szCs w:val="19"/>
          <w:lang w:val="en-US"/>
        </w:rPr>
        <w:tab/>
      </w:r>
      <w:r w:rsidR="004A11E8" w:rsidRPr="00ED2B58">
        <w:rPr>
          <w:rFonts w:ascii="Arial" w:hAnsi="Arial" w:cs="Arial"/>
          <w:caps w:val="0"/>
          <w:sz w:val="24"/>
          <w:szCs w:val="19"/>
          <w:lang w:val="en-US"/>
        </w:rPr>
        <w:t>Prior Year A</w:t>
      </w:r>
      <w:r w:rsidRPr="00ED2B58">
        <w:rPr>
          <w:rFonts w:ascii="Arial" w:hAnsi="Arial" w:cs="Arial"/>
          <w:caps w:val="0"/>
          <w:sz w:val="24"/>
          <w:szCs w:val="19"/>
          <w:lang w:val="en-US"/>
        </w:rPr>
        <w:t>djustments</w:t>
      </w:r>
    </w:p>
    <w:p w:rsidR="00866217" w:rsidRPr="00ED2B58" w:rsidRDefault="00ED2B58" w:rsidP="00CE7964">
      <w:pPr>
        <w:pStyle w:val="Default"/>
        <w:rPr>
          <w:sz w:val="19"/>
          <w:szCs w:val="19"/>
        </w:rPr>
      </w:pPr>
      <w:r w:rsidRPr="00ED2B58">
        <w:rPr>
          <w:sz w:val="19"/>
          <w:szCs w:val="19"/>
        </w:rPr>
        <w:t>There are no prior year adjustments required to the financial statements.</w:t>
      </w:r>
    </w:p>
    <w:p w:rsidR="00866217" w:rsidRPr="00ED2B58" w:rsidRDefault="00866217" w:rsidP="00CE7964">
      <w:pPr>
        <w:pStyle w:val="Default"/>
        <w:rPr>
          <w:sz w:val="19"/>
          <w:szCs w:val="19"/>
        </w:rPr>
      </w:pPr>
    </w:p>
    <w:p w:rsidR="00CE7964" w:rsidRPr="00ED2B58" w:rsidRDefault="00CE7964" w:rsidP="009C2669">
      <w:pPr>
        <w:pStyle w:val="Default"/>
        <w:rPr>
          <w:sz w:val="19"/>
          <w:szCs w:val="19"/>
        </w:rPr>
      </w:pPr>
    </w:p>
    <w:p w:rsidR="009C2669" w:rsidRDefault="009C2669" w:rsidP="00CE7964">
      <w:pPr>
        <w:pStyle w:val="Default"/>
        <w:rPr>
          <w:sz w:val="19"/>
          <w:szCs w:val="19"/>
        </w:rPr>
      </w:pPr>
    </w:p>
    <w:sectPr w:rsidR="009C2669" w:rsidSect="00743922">
      <w:headerReference w:type="even" r:id="rId68"/>
      <w:headerReference w:type="default" r:id="rId69"/>
      <w:headerReference w:type="first" r:id="rId70"/>
      <w:footerReference w:type="first" r:id="rId71"/>
      <w:pgSz w:w="11907" w:h="16834" w:code="9"/>
      <w:pgMar w:top="1247" w:right="994" w:bottom="1138" w:left="851" w:header="562" w:footer="850" w:gutter="0"/>
      <w:pgNumType w:start="16"/>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76" w:rsidRDefault="00043476">
      <w:r>
        <w:separator/>
      </w:r>
    </w:p>
  </w:endnote>
  <w:endnote w:type="continuationSeparator" w:id="0">
    <w:p w:rsidR="00043476" w:rsidRDefault="00043476">
      <w:r>
        <w:continuationSeparator/>
      </w:r>
    </w:p>
  </w:endnote>
  <w:endnote w:type="continuationNotice" w:id="1">
    <w:p w:rsidR="00043476" w:rsidRDefault="000434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Default="00ED441A">
    <w:pPr>
      <w:pStyle w:val="Footer"/>
      <w:jc w:val="center"/>
    </w:pPr>
  </w:p>
  <w:p w:rsidR="00ED441A" w:rsidRDefault="00ED441A">
    <w:pPr>
      <w:pStyle w:val="Footer"/>
      <w:ind w:right="-2"/>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Default="00ED441A" w:rsidP="00337F66">
    <w:pPr>
      <w:pStyle w:val="Footer"/>
      <w:jc w:val="both"/>
    </w:pPr>
    <w:r>
      <w:tab/>
    </w:r>
    <w:r>
      <w:tab/>
    </w:r>
    <w:r>
      <w:tab/>
    </w:r>
    <w:r>
      <w:tab/>
    </w:r>
    <w:r>
      <w:tab/>
    </w:r>
  </w:p>
  <w:p w:rsidR="00ED441A" w:rsidRPr="00337F66" w:rsidRDefault="00ED441A" w:rsidP="00835572">
    <w:pPr>
      <w:pStyle w:val="Footer"/>
      <w:tabs>
        <w:tab w:val="left" w:pos="4550"/>
      </w:tabs>
      <w:jc w:val="both"/>
    </w:pPr>
    <w:r>
      <w:rPr>
        <w:i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13009"/>
      <w:docPartObj>
        <w:docPartGallery w:val="Page Numbers (Bottom of Page)"/>
        <w:docPartUnique/>
      </w:docPartObj>
    </w:sdtPr>
    <w:sdtEndPr>
      <w:rPr>
        <w:noProof/>
      </w:rPr>
    </w:sdtEndPr>
    <w:sdtContent>
      <w:p w:rsidR="00ED441A" w:rsidRDefault="00ED441A">
        <w:pPr>
          <w:pStyle w:val="Footer"/>
          <w:jc w:val="center"/>
        </w:pPr>
        <w:r>
          <w:fldChar w:fldCharType="begin"/>
        </w:r>
        <w:r>
          <w:instrText xml:space="preserve"> PAGE   \* MERGEFORMAT </w:instrText>
        </w:r>
        <w:r>
          <w:fldChar w:fldCharType="separate"/>
        </w:r>
        <w:r w:rsidR="00404BAE">
          <w:rPr>
            <w:noProof/>
          </w:rPr>
          <w:t>20</w:t>
        </w:r>
        <w:r>
          <w:rPr>
            <w:noProof/>
          </w:rPr>
          <w:fldChar w:fldCharType="end"/>
        </w:r>
      </w:p>
    </w:sdtContent>
  </w:sdt>
  <w:p w:rsidR="00ED441A" w:rsidRDefault="00ED441A">
    <w:pPr>
      <w:pStyle w:val="Footer"/>
      <w:ind w:right="-2"/>
      <w:rPr>
        <w:i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382582"/>
      <w:docPartObj>
        <w:docPartGallery w:val="Page Numbers (Bottom of Page)"/>
        <w:docPartUnique/>
      </w:docPartObj>
    </w:sdtPr>
    <w:sdtEndPr>
      <w:rPr>
        <w:noProof/>
      </w:rPr>
    </w:sdtEndPr>
    <w:sdtContent>
      <w:p w:rsidR="00ED441A" w:rsidRDefault="00ED441A">
        <w:pPr>
          <w:pStyle w:val="Footer"/>
          <w:jc w:val="center"/>
        </w:pPr>
        <w:r>
          <w:fldChar w:fldCharType="begin"/>
        </w:r>
        <w:r>
          <w:instrText xml:space="preserve"> PAGE   \* MERGEFORMAT </w:instrText>
        </w:r>
        <w:r>
          <w:fldChar w:fldCharType="separate"/>
        </w:r>
        <w:r w:rsidR="00404BAE">
          <w:rPr>
            <w:noProof/>
          </w:rPr>
          <w:t>1</w:t>
        </w:r>
        <w:r>
          <w:rPr>
            <w:noProof/>
          </w:rPr>
          <w:fldChar w:fldCharType="end"/>
        </w:r>
      </w:p>
    </w:sdtContent>
  </w:sdt>
  <w:p w:rsidR="00ED441A" w:rsidRPr="00337F66" w:rsidRDefault="00ED441A" w:rsidP="00835572">
    <w:pPr>
      <w:pStyle w:val="Footer"/>
      <w:tabs>
        <w:tab w:val="left" w:pos="4550"/>
      </w:tabs>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85444"/>
      <w:docPartObj>
        <w:docPartGallery w:val="Page Numbers (Bottom of Page)"/>
        <w:docPartUnique/>
      </w:docPartObj>
    </w:sdtPr>
    <w:sdtEndPr>
      <w:rPr>
        <w:noProof/>
      </w:rPr>
    </w:sdtEndPr>
    <w:sdtContent>
      <w:p w:rsidR="00ED441A" w:rsidRDefault="00ED441A">
        <w:pPr>
          <w:pStyle w:val="Footer"/>
          <w:jc w:val="center"/>
        </w:pPr>
        <w:r>
          <w:fldChar w:fldCharType="begin"/>
        </w:r>
        <w:r>
          <w:instrText xml:space="preserve"> PAGE   \* MERGEFORMAT </w:instrText>
        </w:r>
        <w:r>
          <w:fldChar w:fldCharType="separate"/>
        </w:r>
        <w:r w:rsidR="00404BAE">
          <w:rPr>
            <w:noProof/>
          </w:rPr>
          <w:t>16</w:t>
        </w:r>
        <w:r>
          <w:rPr>
            <w:noProof/>
          </w:rPr>
          <w:fldChar w:fldCharType="end"/>
        </w:r>
      </w:p>
    </w:sdtContent>
  </w:sdt>
  <w:p w:rsidR="00ED441A" w:rsidRPr="00337F66" w:rsidRDefault="00ED441A" w:rsidP="00835572">
    <w:pPr>
      <w:pStyle w:val="Footer"/>
      <w:tabs>
        <w:tab w:val="left" w:pos="4550"/>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76" w:rsidRDefault="00043476">
      <w:r>
        <w:separator/>
      </w:r>
    </w:p>
  </w:footnote>
  <w:footnote w:type="continuationSeparator" w:id="0">
    <w:p w:rsidR="00043476" w:rsidRDefault="00043476">
      <w:r>
        <w:continuationSeparator/>
      </w:r>
    </w:p>
  </w:footnote>
  <w:footnote w:type="continuationNotice" w:id="1">
    <w:p w:rsidR="00043476" w:rsidRDefault="0004347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Default="00ED441A">
    <w:pPr>
      <w:pStyle w:val="Header"/>
      <w:framePr w:wrap="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Default="00ED441A">
    <w:pPr>
      <w:pStyle w:val="Header"/>
      <w:framePr w:wrap="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Pr="00B373AC" w:rsidRDefault="00ED441A" w:rsidP="00550144">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Homes for Northumberland Limited</w:t>
    </w:r>
  </w:p>
  <w:p w:rsidR="00ED441A" w:rsidRPr="00B373AC" w:rsidRDefault="00ED441A" w:rsidP="00550144">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 xml:space="preserve">Annual Report and Financial Statements </w:t>
    </w:r>
  </w:p>
  <w:p w:rsidR="00ED441A" w:rsidRPr="00B373AC" w:rsidRDefault="00ED441A" w:rsidP="00550144">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for the Year</w:t>
    </w:r>
    <w:r>
      <w:rPr>
        <w:rFonts w:ascii="Arial" w:hAnsi="Arial" w:cs="Arial"/>
        <w:b w:val="0"/>
        <w:sz w:val="16"/>
        <w:szCs w:val="16"/>
      </w:rPr>
      <w:t xml:space="preserve"> Ended 31 March 2015</w:t>
    </w:r>
  </w:p>
  <w:p w:rsidR="00ED441A" w:rsidRPr="005B78BF" w:rsidRDefault="00ED441A" w:rsidP="00F57092">
    <w:pPr>
      <w:pStyle w:val="Header"/>
      <w:framePr w:hSpace="0" w:vSpace="0" w:wrap="auto" w:vAnchor="margin" w:hAnchor="text" w:xAlign="left" w:yAlign="inline"/>
      <w:jc w:val="right"/>
      <w:rPr>
        <w:rFonts w:ascii="Arial" w:hAnsi="Arial" w:cs="Arial"/>
      </w:rPr>
    </w:pPr>
  </w:p>
  <w:p w:rsidR="00ED441A" w:rsidRPr="005B78BF" w:rsidRDefault="00ED441A" w:rsidP="00EC355A">
    <w:pPr>
      <w:pStyle w:val="Header"/>
      <w:framePr w:wrap="auto" w:vAnchor="margin" w:hAnchor="text" w:xAlign="left" w:yAlign="inline"/>
      <w:rPr>
        <w:rFonts w:ascii="Arial" w:hAnsi="Arial" w:cs="Arial"/>
      </w:rPr>
    </w:pPr>
    <w:r w:rsidRPr="005B78BF">
      <w:rPr>
        <w:rFonts w:ascii="Arial" w:hAnsi="Arial" w:cs="Arial"/>
      </w:rPr>
      <w:t>B</w:t>
    </w:r>
    <w:r>
      <w:rPr>
        <w:rFonts w:ascii="Arial" w:hAnsi="Arial" w:cs="Arial"/>
      </w:rPr>
      <w:t>alance Sheet</w:t>
    </w:r>
  </w:p>
  <w:p w:rsidR="00ED441A" w:rsidRPr="005B78BF" w:rsidRDefault="00ED441A" w:rsidP="00EC355A">
    <w:pPr>
      <w:pStyle w:val="Header"/>
      <w:framePr w:wrap="auto" w:vAnchor="margin" w:hAnchor="text" w:xAlign="left" w:yAlign="inline"/>
      <w:rPr>
        <w:rFonts w:ascii="Arial" w:hAnsi="Arial" w:cs="Arial"/>
      </w:rPr>
    </w:pPr>
    <w:r>
      <w:rPr>
        <w:rFonts w:ascii="Arial" w:hAnsi="Arial" w:cs="Arial"/>
      </w:rPr>
      <w:t xml:space="preserve">As at </w:t>
    </w:r>
    <w:r w:rsidRPr="005B78BF">
      <w:rPr>
        <w:rFonts w:ascii="Arial" w:hAnsi="Arial" w:cs="Arial"/>
      </w:rPr>
      <w:fldChar w:fldCharType="begin"/>
    </w:r>
    <w:r w:rsidRPr="005B78BF">
      <w:rPr>
        <w:rFonts w:ascii="Arial" w:hAnsi="Arial" w:cs="Arial"/>
      </w:rPr>
      <w:instrText>Date_Year /* charformat</w:instrText>
    </w:r>
    <w:r w:rsidRPr="005B78BF">
      <w:rPr>
        <w:rFonts w:ascii="Arial" w:hAnsi="Arial" w:cs="Arial"/>
      </w:rPr>
      <w:fldChar w:fldCharType="separate"/>
    </w:r>
    <w:r w:rsidRPr="005B78BF">
      <w:rPr>
        <w:rFonts w:ascii="Arial" w:hAnsi="Arial" w:cs="Arial"/>
        <w:noProof/>
      </w:rPr>
      <w:t>31 March 201</w:t>
    </w:r>
    <w:r>
      <w:rPr>
        <w:rFonts w:ascii="Arial" w:hAnsi="Arial" w:cs="Arial"/>
        <w:noProof/>
      </w:rPr>
      <w:t>5</w:t>
    </w:r>
    <w:r w:rsidRPr="005B78BF">
      <w:rPr>
        <w:rFonts w:ascii="Arial" w:hAnsi="Arial" w:cs="Arial"/>
        <w:noProof/>
      </w:rPr>
      <w:fldChar w:fldCharType="end"/>
    </w:r>
  </w:p>
  <w:p w:rsidR="00ED441A" w:rsidRDefault="00ED441A">
    <w:pPr>
      <w:pStyle w:val="Header"/>
      <w:framePr w:wrap="auto" w:vAnchor="margin" w:hAnchor="text" w:xAlign="left" w:yAlign="inli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Default="00ED441A">
    <w:pPr>
      <w:pStyle w:val="Header"/>
      <w:framePr w:wrap="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Default="00ED441A">
    <w:pPr>
      <w:pStyle w:val="Header"/>
      <w:framePr w:wrap="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Pr="00B373AC" w:rsidRDefault="00ED441A" w:rsidP="00964B74">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Homes for Northumberland Limited</w:t>
    </w:r>
  </w:p>
  <w:p w:rsidR="00ED441A" w:rsidRPr="00B373AC" w:rsidRDefault="00ED441A" w:rsidP="00964B74">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 xml:space="preserve">Annual Report and Financial Statements </w:t>
    </w:r>
  </w:p>
  <w:p w:rsidR="00ED441A" w:rsidRPr="00964B74" w:rsidRDefault="00ED441A" w:rsidP="00964B74">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f</w:t>
    </w:r>
    <w:r>
      <w:rPr>
        <w:rFonts w:ascii="Arial" w:hAnsi="Arial" w:cs="Arial"/>
        <w:b w:val="0"/>
        <w:sz w:val="16"/>
        <w:szCs w:val="16"/>
      </w:rPr>
      <w:t>or the Year Ended 31 March 2015</w:t>
    </w:r>
  </w:p>
  <w:p w:rsidR="00ED441A" w:rsidRPr="005B78BF" w:rsidRDefault="00ED441A">
    <w:pPr>
      <w:pStyle w:val="Header"/>
      <w:framePr w:hSpace="0" w:vSpace="0" w:wrap="auto" w:vAnchor="margin" w:hAnchor="text" w:xAlign="left" w:yAlign="inline"/>
      <w:rPr>
        <w:rFonts w:ascii="Arial" w:hAnsi="Arial" w:cs="Arial"/>
      </w:rPr>
    </w:pPr>
  </w:p>
  <w:p w:rsidR="00ED441A" w:rsidRPr="005B78BF" w:rsidRDefault="00ED441A" w:rsidP="00EC355A">
    <w:pPr>
      <w:pStyle w:val="Header"/>
      <w:framePr w:wrap="auto" w:vAnchor="margin" w:hAnchor="text" w:xAlign="left" w:yAlign="inline"/>
      <w:rPr>
        <w:rFonts w:ascii="Arial" w:hAnsi="Arial" w:cs="Arial"/>
      </w:rPr>
    </w:pPr>
    <w:r w:rsidRPr="005B78BF">
      <w:rPr>
        <w:rFonts w:ascii="Arial" w:hAnsi="Arial" w:cs="Arial"/>
      </w:rPr>
      <w:t>State</w:t>
    </w:r>
    <w:r>
      <w:rPr>
        <w:rFonts w:ascii="Arial" w:hAnsi="Arial" w:cs="Arial"/>
      </w:rPr>
      <w:t>ment Of Total Recognised Gains a</w:t>
    </w:r>
    <w:r w:rsidRPr="005B78BF">
      <w:rPr>
        <w:rFonts w:ascii="Arial" w:hAnsi="Arial" w:cs="Arial"/>
      </w:rPr>
      <w:t>nd Losses</w:t>
    </w:r>
  </w:p>
  <w:p w:rsidR="00ED441A" w:rsidRPr="005B78BF" w:rsidRDefault="00ED441A" w:rsidP="00EC355A">
    <w:pPr>
      <w:pStyle w:val="Header"/>
      <w:framePr w:wrap="auto" w:vAnchor="margin" w:hAnchor="text" w:xAlign="left" w:yAlign="inline"/>
      <w:rPr>
        <w:rFonts w:ascii="Arial" w:hAnsi="Arial" w:cs="Arial"/>
      </w:rPr>
    </w:pPr>
    <w:r>
      <w:rPr>
        <w:rFonts w:ascii="Arial" w:hAnsi="Arial" w:cs="Arial"/>
      </w:rPr>
      <w:t>For The Year E</w:t>
    </w:r>
    <w:r w:rsidRPr="005B78BF">
      <w:rPr>
        <w:rFonts w:ascii="Arial" w:hAnsi="Arial" w:cs="Arial"/>
      </w:rPr>
      <w:t xml:space="preserve">nded </w:t>
    </w:r>
    <w:r w:rsidRPr="005B78BF">
      <w:rPr>
        <w:rFonts w:ascii="Arial" w:hAnsi="Arial" w:cs="Arial"/>
      </w:rPr>
      <w:fldChar w:fldCharType="begin"/>
    </w:r>
    <w:r w:rsidRPr="005B78BF">
      <w:rPr>
        <w:rFonts w:ascii="Arial" w:hAnsi="Arial" w:cs="Arial"/>
      </w:rPr>
      <w:instrText>Date_Year /* charformat</w:instrText>
    </w:r>
    <w:r w:rsidRPr="005B78BF">
      <w:rPr>
        <w:rFonts w:ascii="Arial" w:hAnsi="Arial" w:cs="Arial"/>
      </w:rPr>
      <w:fldChar w:fldCharType="separate"/>
    </w:r>
    <w:r w:rsidRPr="005B78BF">
      <w:rPr>
        <w:rFonts w:ascii="Arial" w:hAnsi="Arial" w:cs="Arial"/>
        <w:noProof/>
      </w:rPr>
      <w:t>31 March 201</w:t>
    </w:r>
    <w:r>
      <w:rPr>
        <w:rFonts w:ascii="Arial" w:hAnsi="Arial" w:cs="Arial"/>
        <w:noProof/>
      </w:rPr>
      <w:t>5</w:t>
    </w:r>
    <w:r w:rsidRPr="005B78BF">
      <w:rPr>
        <w:rFonts w:ascii="Arial" w:hAnsi="Arial" w:cs="Arial"/>
        <w:noProof/>
      </w:rPr>
      <w:fldChar w:fldCharType="end"/>
    </w:r>
  </w:p>
  <w:p w:rsidR="00ED441A" w:rsidRDefault="00ED441A">
    <w:pPr>
      <w:pStyle w:val="Header"/>
      <w:framePr w:wrap="auto" w:vAnchor="margin" w:hAnchor="text" w:xAlign="left" w:yAlign="inlin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Default="00ED441A">
    <w:pPr>
      <w:pStyle w:val="Header"/>
      <w:framePr w:wrap="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Default="00ED441A">
    <w:pPr>
      <w:pStyle w:val="Header"/>
      <w:framePr w:wrap="aut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Pr="00B373AC" w:rsidRDefault="00ED441A" w:rsidP="00964B74">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Homes for Northumberland Limited</w:t>
    </w:r>
  </w:p>
  <w:p w:rsidR="00ED441A" w:rsidRPr="00B373AC" w:rsidRDefault="00ED441A" w:rsidP="00964B74">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 xml:space="preserve">Annual Report and Financial Statements </w:t>
    </w:r>
  </w:p>
  <w:p w:rsidR="00ED441A" w:rsidRDefault="00ED441A" w:rsidP="00964B74">
    <w:pPr>
      <w:pStyle w:val="Header"/>
      <w:framePr w:wrap="auto" w:vAnchor="margin" w:hAnchor="text" w:xAlign="left" w:yAlign="inline"/>
      <w:jc w:val="right"/>
      <w:rPr>
        <w:rFonts w:ascii="Arial" w:hAnsi="Arial" w:cs="Arial"/>
        <w:b w:val="0"/>
        <w:sz w:val="16"/>
        <w:szCs w:val="16"/>
      </w:rPr>
    </w:pPr>
    <w:r>
      <w:rPr>
        <w:rFonts w:ascii="Arial" w:hAnsi="Arial" w:cs="Arial"/>
        <w:b w:val="0"/>
        <w:sz w:val="16"/>
        <w:szCs w:val="16"/>
      </w:rPr>
      <w:t>for the Year Ended 31 March 2015</w:t>
    </w:r>
  </w:p>
  <w:p w:rsidR="00ED441A" w:rsidRDefault="00ED441A" w:rsidP="005F7A56">
    <w:pPr>
      <w:pStyle w:val="Header"/>
      <w:framePr w:wrap="auto" w:vAnchor="margin" w:hAnchor="text" w:xAlign="left" w:yAlign="inline"/>
      <w:rPr>
        <w:rFonts w:ascii="Arial" w:hAnsi="Arial" w:cs="Arial"/>
        <w:b w:val="0"/>
        <w:sz w:val="16"/>
        <w:szCs w:val="16"/>
      </w:rPr>
    </w:pPr>
  </w:p>
  <w:p w:rsidR="00ED441A" w:rsidRDefault="00ED441A" w:rsidP="005F7A56">
    <w:pPr>
      <w:pStyle w:val="Header"/>
      <w:framePr w:wrap="auto" w:vAnchor="margin" w:hAnchor="text" w:xAlign="left" w:yAlign="inline"/>
      <w:rPr>
        <w:rFonts w:ascii="Arial" w:hAnsi="Arial" w:cs="Arial"/>
        <w:szCs w:val="16"/>
      </w:rPr>
    </w:pPr>
    <w:r w:rsidRPr="005F7A56">
      <w:rPr>
        <w:rFonts w:ascii="Arial" w:hAnsi="Arial" w:cs="Arial"/>
        <w:szCs w:val="16"/>
      </w:rPr>
      <w:t xml:space="preserve">Notes to the </w:t>
    </w:r>
    <w:r>
      <w:rPr>
        <w:rFonts w:ascii="Arial" w:hAnsi="Arial" w:cs="Arial"/>
        <w:szCs w:val="16"/>
      </w:rPr>
      <w:t>Financial Statements</w:t>
    </w:r>
    <w:r w:rsidRPr="005F7A56">
      <w:rPr>
        <w:rFonts w:ascii="Arial" w:hAnsi="Arial" w:cs="Arial"/>
        <w:szCs w:val="16"/>
      </w:rPr>
      <w:t xml:space="preserve"> (continued)</w:t>
    </w:r>
  </w:p>
  <w:p w:rsidR="00ED441A" w:rsidRPr="005F7A56" w:rsidRDefault="00ED441A" w:rsidP="005F7A56">
    <w:pPr>
      <w:pStyle w:val="Header"/>
      <w:framePr w:wrap="auto" w:vAnchor="margin" w:hAnchor="text" w:xAlign="left" w:yAlign="inline"/>
      <w:rPr>
        <w:rFonts w:ascii="Arial" w:hAnsi="Arial" w:cs="Arial"/>
        <w:szCs w:val="16"/>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Default="00ED441A">
    <w:pPr>
      <w:pStyle w:val="Header"/>
      <w:framePr w:wrap="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Pr="00B373AC" w:rsidRDefault="00ED441A" w:rsidP="00B373AC">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Homes for Northumberland Limited</w:t>
    </w:r>
  </w:p>
  <w:p w:rsidR="00ED441A" w:rsidRPr="00B373AC" w:rsidRDefault="00ED441A" w:rsidP="00B373AC">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 xml:space="preserve">Annual Report and Financial Statements </w:t>
    </w:r>
  </w:p>
  <w:p w:rsidR="00ED441A" w:rsidRPr="00B373AC" w:rsidRDefault="00ED441A" w:rsidP="00B373AC">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 xml:space="preserve">for </w:t>
    </w:r>
    <w:r>
      <w:rPr>
        <w:rFonts w:ascii="Arial" w:hAnsi="Arial" w:cs="Arial"/>
        <w:b w:val="0"/>
        <w:sz w:val="16"/>
        <w:szCs w:val="16"/>
      </w:rPr>
      <w:t>the Year Ended 31 March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Pr="00B373AC" w:rsidRDefault="00ED441A" w:rsidP="004F2030">
    <w:pPr>
      <w:pStyle w:val="Header"/>
      <w:framePr w:wrap="auto"/>
      <w:jc w:val="right"/>
      <w:rPr>
        <w:rFonts w:ascii="Arial" w:hAnsi="Arial" w:cs="Arial"/>
        <w:b w:val="0"/>
        <w:sz w:val="16"/>
        <w:szCs w:val="16"/>
      </w:rPr>
    </w:pPr>
  </w:p>
  <w:p w:rsidR="00ED441A" w:rsidRDefault="00ED441A">
    <w:pPr>
      <w:pStyle w:val="Header"/>
      <w:framePr w:wrap="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Default="00ED441A">
    <w:pPr>
      <w:pStyle w:val="Header"/>
      <w:framePr w:wrap="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Pr="00B373AC" w:rsidRDefault="00ED441A" w:rsidP="00B373AC">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Homes for Northumberland Limited</w:t>
    </w:r>
  </w:p>
  <w:p w:rsidR="00ED441A" w:rsidRPr="00B373AC" w:rsidRDefault="00ED441A" w:rsidP="00B373AC">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 xml:space="preserve">Annual Report and Financial Statements </w:t>
    </w:r>
  </w:p>
  <w:p w:rsidR="00ED441A" w:rsidRPr="00B373AC" w:rsidRDefault="00ED441A" w:rsidP="00B373AC">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 xml:space="preserve">for </w:t>
    </w:r>
    <w:r>
      <w:rPr>
        <w:rFonts w:ascii="Arial" w:hAnsi="Arial" w:cs="Arial"/>
        <w:b w:val="0"/>
        <w:sz w:val="16"/>
        <w:szCs w:val="16"/>
      </w:rPr>
      <w:t>the Year Ended 31 March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Default="00ED441A">
    <w:pPr>
      <w:pStyle w:val="Header"/>
      <w:framePr w:wrap="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Default="00ED441A">
    <w:pPr>
      <w:pStyle w:val="Header"/>
      <w:framePr w:wrap="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Pr="005B78BF" w:rsidRDefault="00ED441A" w:rsidP="00550144">
    <w:pPr>
      <w:pStyle w:val="Header"/>
      <w:framePr w:hSpace="0" w:vSpace="0" w:wrap="auto" w:vAnchor="margin" w:hAnchor="text" w:xAlign="left" w:yAlign="inline"/>
      <w:jc w:val="right"/>
      <w:rPr>
        <w:rFonts w:ascii="Arial" w:hAnsi="Arial" w:cs="Arial"/>
      </w:rPr>
    </w:pPr>
  </w:p>
  <w:p w:rsidR="00ED441A" w:rsidRPr="00B373AC" w:rsidRDefault="00ED441A" w:rsidP="00550144">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Homes for Northumberland Limited</w:t>
    </w:r>
  </w:p>
  <w:p w:rsidR="00ED441A" w:rsidRPr="00B373AC" w:rsidRDefault="00ED441A" w:rsidP="00550144">
    <w:pPr>
      <w:pStyle w:val="Header"/>
      <w:framePr w:wrap="auto" w:vAnchor="margin" w:hAnchor="text" w:xAlign="left" w:yAlign="inline"/>
      <w:jc w:val="right"/>
      <w:rPr>
        <w:rFonts w:ascii="Arial" w:hAnsi="Arial" w:cs="Arial"/>
        <w:b w:val="0"/>
        <w:sz w:val="16"/>
        <w:szCs w:val="16"/>
      </w:rPr>
    </w:pPr>
    <w:r w:rsidRPr="00B373AC">
      <w:rPr>
        <w:rFonts w:ascii="Arial" w:hAnsi="Arial" w:cs="Arial"/>
        <w:b w:val="0"/>
        <w:sz w:val="16"/>
        <w:szCs w:val="16"/>
      </w:rPr>
      <w:t xml:space="preserve">Annual Report and Financial Statements </w:t>
    </w:r>
  </w:p>
  <w:p w:rsidR="00ED441A" w:rsidRPr="00B373AC" w:rsidRDefault="00ED441A" w:rsidP="00550144">
    <w:pPr>
      <w:pStyle w:val="Header"/>
      <w:framePr w:wrap="auto" w:vAnchor="margin" w:hAnchor="text" w:xAlign="left" w:yAlign="inline"/>
      <w:jc w:val="right"/>
      <w:rPr>
        <w:rFonts w:ascii="Arial" w:hAnsi="Arial" w:cs="Arial"/>
        <w:b w:val="0"/>
        <w:sz w:val="16"/>
        <w:szCs w:val="16"/>
      </w:rPr>
    </w:pPr>
    <w:r>
      <w:rPr>
        <w:rFonts w:ascii="Arial" w:hAnsi="Arial" w:cs="Arial"/>
        <w:b w:val="0"/>
        <w:sz w:val="16"/>
        <w:szCs w:val="16"/>
      </w:rPr>
      <w:t>for the Year Ended 31 March 2015</w:t>
    </w:r>
  </w:p>
  <w:p w:rsidR="00ED441A" w:rsidRPr="005B78BF" w:rsidRDefault="00ED441A">
    <w:pPr>
      <w:pStyle w:val="Header"/>
      <w:framePr w:wrap="auto" w:vAnchor="margin" w:hAnchor="text" w:xAlign="left" w:yAlign="inline"/>
      <w:rPr>
        <w:rFonts w:ascii="Arial" w:hAnsi="Arial" w:cs="Arial"/>
      </w:rPr>
    </w:pPr>
    <w:r>
      <w:rPr>
        <w:rFonts w:ascii="Arial" w:hAnsi="Arial" w:cs="Arial"/>
      </w:rPr>
      <w:t>Income a</w:t>
    </w:r>
    <w:r w:rsidRPr="005B78BF">
      <w:rPr>
        <w:rFonts w:ascii="Arial" w:hAnsi="Arial" w:cs="Arial"/>
      </w:rPr>
      <w:t>nd Expenditure Account</w:t>
    </w:r>
  </w:p>
  <w:p w:rsidR="00ED441A" w:rsidRPr="005B78BF" w:rsidRDefault="00ED441A" w:rsidP="006963AD">
    <w:pPr>
      <w:pStyle w:val="Header"/>
      <w:framePr w:hSpace="0" w:vSpace="0" w:wrap="auto" w:vAnchor="margin" w:hAnchor="text" w:xAlign="left" w:yAlign="inline"/>
      <w:rPr>
        <w:rFonts w:ascii="Arial" w:hAnsi="Arial" w:cs="Arial"/>
      </w:rPr>
    </w:pPr>
    <w:r>
      <w:rPr>
        <w:rFonts w:ascii="Arial" w:hAnsi="Arial" w:cs="Arial"/>
      </w:rPr>
      <w:t>For the Year E</w:t>
    </w:r>
    <w:r w:rsidRPr="005B78BF">
      <w:rPr>
        <w:rFonts w:ascii="Arial" w:hAnsi="Arial" w:cs="Arial"/>
      </w:rPr>
      <w:t xml:space="preserve">nded </w:t>
    </w:r>
    <w:r>
      <w:rPr>
        <w:rFonts w:ascii="Arial" w:hAnsi="Arial" w:cs="Arial"/>
      </w:rPr>
      <w:t>31 March 2015</w:t>
    </w:r>
  </w:p>
  <w:p w:rsidR="00ED441A" w:rsidRDefault="00ED441A">
    <w:pPr>
      <w:pStyle w:val="Header"/>
      <w:framePr w:wrap="auto" w:vAnchor="margin" w:hAnchor="text" w:xAlign="left" w:yAlign="inli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1A" w:rsidRDefault="00ED441A">
    <w:pPr>
      <w:pStyle w:val="Header"/>
      <w:framePr w:wrap="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pPr>
        <w:ind w:left="567"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7127807"/>
    <w:multiLevelType w:val="hybridMultilevel"/>
    <w:tmpl w:val="C756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E23E4"/>
    <w:multiLevelType w:val="hybridMultilevel"/>
    <w:tmpl w:val="63DC8DB8"/>
    <w:lvl w:ilvl="0" w:tplc="09FC87CE">
      <w:start w:val="2006"/>
      <w:numFmt w:val="decimal"/>
      <w:lvlText w:val="%1"/>
      <w:lvlJc w:val="left"/>
      <w:pPr>
        <w:tabs>
          <w:tab w:val="num" w:pos="7920"/>
        </w:tabs>
        <w:ind w:left="7920" w:hanging="720"/>
      </w:pPr>
      <w:rPr>
        <w:rFonts w:hint="default"/>
        <w:b/>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4">
    <w:nsid w:val="0B254445"/>
    <w:multiLevelType w:val="hybridMultilevel"/>
    <w:tmpl w:val="94F4DFE2"/>
    <w:lvl w:ilvl="0" w:tplc="252451D8">
      <w:start w:val="1"/>
      <w:numFmt w:val="bullet"/>
      <w:lvlText w:val="l"/>
      <w:lvlJc w:val="left"/>
      <w:pPr>
        <w:tabs>
          <w:tab w:val="num" w:pos="360"/>
        </w:tabs>
        <w:ind w:left="36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643B9C"/>
    <w:multiLevelType w:val="hybridMultilevel"/>
    <w:tmpl w:val="DC96EDE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1215E73"/>
    <w:multiLevelType w:val="hybridMultilevel"/>
    <w:tmpl w:val="25FA4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4B0AA8"/>
    <w:multiLevelType w:val="hybridMultilevel"/>
    <w:tmpl w:val="E082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6F7717"/>
    <w:multiLevelType w:val="hybridMultilevel"/>
    <w:tmpl w:val="F6221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B15CB3"/>
    <w:multiLevelType w:val="hybridMultilevel"/>
    <w:tmpl w:val="30126E72"/>
    <w:lvl w:ilvl="0" w:tplc="9398929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1A27556"/>
    <w:multiLevelType w:val="hybridMultilevel"/>
    <w:tmpl w:val="6114BE92"/>
    <w:lvl w:ilvl="0" w:tplc="66F88DFC">
      <w:start w:val="1"/>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1">
    <w:nsid w:val="286560B6"/>
    <w:multiLevelType w:val="hybridMultilevel"/>
    <w:tmpl w:val="D5B4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AE312D"/>
    <w:multiLevelType w:val="hybridMultilevel"/>
    <w:tmpl w:val="C8785266"/>
    <w:lvl w:ilvl="0" w:tplc="CEB0EF02">
      <w:start w:val="20"/>
      <w:numFmt w:val="decimal"/>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3">
    <w:nsid w:val="419B1054"/>
    <w:multiLevelType w:val="hybridMultilevel"/>
    <w:tmpl w:val="788AC18A"/>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42D357EA"/>
    <w:multiLevelType w:val="hybridMultilevel"/>
    <w:tmpl w:val="ABB84214"/>
    <w:lvl w:ilvl="0" w:tplc="6150CA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34C01D5"/>
    <w:multiLevelType w:val="hybridMultilevel"/>
    <w:tmpl w:val="6A42EB6C"/>
    <w:lvl w:ilvl="0" w:tplc="B9EC163C">
      <w:start w:val="2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41B7208"/>
    <w:multiLevelType w:val="hybridMultilevel"/>
    <w:tmpl w:val="E6D8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0C0EBA"/>
    <w:multiLevelType w:val="hybridMultilevel"/>
    <w:tmpl w:val="684A3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494850"/>
    <w:multiLevelType w:val="hybridMultilevel"/>
    <w:tmpl w:val="E2E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F26F05"/>
    <w:multiLevelType w:val="hybridMultilevel"/>
    <w:tmpl w:val="224ADE88"/>
    <w:lvl w:ilvl="0" w:tplc="DE027162">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5C72569F"/>
    <w:multiLevelType w:val="hybridMultilevel"/>
    <w:tmpl w:val="B73616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5D2C2CE9"/>
    <w:multiLevelType w:val="hybridMultilevel"/>
    <w:tmpl w:val="64BC17CC"/>
    <w:lvl w:ilvl="0" w:tplc="08090001">
      <w:start w:val="1"/>
      <w:numFmt w:val="bullet"/>
      <w:lvlText w:val=""/>
      <w:lvlJc w:val="left"/>
      <w:pPr>
        <w:tabs>
          <w:tab w:val="num" w:pos="1282"/>
        </w:tabs>
        <w:ind w:left="1282" w:hanging="360"/>
      </w:pPr>
      <w:rPr>
        <w:rFonts w:ascii="Symbol" w:hAnsi="Symbol" w:hint="default"/>
      </w:rPr>
    </w:lvl>
    <w:lvl w:ilvl="1" w:tplc="08090003">
      <w:start w:val="1"/>
      <w:numFmt w:val="bullet"/>
      <w:lvlText w:val="o"/>
      <w:lvlJc w:val="left"/>
      <w:pPr>
        <w:tabs>
          <w:tab w:val="num" w:pos="2002"/>
        </w:tabs>
        <w:ind w:left="2002" w:hanging="360"/>
      </w:pPr>
      <w:rPr>
        <w:rFonts w:ascii="Courier New" w:hAnsi="Courier New" w:cs="Courier New" w:hint="default"/>
      </w:rPr>
    </w:lvl>
    <w:lvl w:ilvl="2" w:tplc="08090005" w:tentative="1">
      <w:start w:val="1"/>
      <w:numFmt w:val="bullet"/>
      <w:lvlText w:val=""/>
      <w:lvlJc w:val="left"/>
      <w:pPr>
        <w:tabs>
          <w:tab w:val="num" w:pos="2722"/>
        </w:tabs>
        <w:ind w:left="2722" w:hanging="360"/>
      </w:pPr>
      <w:rPr>
        <w:rFonts w:ascii="Wingdings" w:hAnsi="Wingdings" w:hint="default"/>
      </w:rPr>
    </w:lvl>
    <w:lvl w:ilvl="3" w:tplc="08090001" w:tentative="1">
      <w:start w:val="1"/>
      <w:numFmt w:val="bullet"/>
      <w:lvlText w:val=""/>
      <w:lvlJc w:val="left"/>
      <w:pPr>
        <w:tabs>
          <w:tab w:val="num" w:pos="3442"/>
        </w:tabs>
        <w:ind w:left="3442" w:hanging="360"/>
      </w:pPr>
      <w:rPr>
        <w:rFonts w:ascii="Symbol" w:hAnsi="Symbol" w:hint="default"/>
      </w:rPr>
    </w:lvl>
    <w:lvl w:ilvl="4" w:tplc="08090003" w:tentative="1">
      <w:start w:val="1"/>
      <w:numFmt w:val="bullet"/>
      <w:lvlText w:val="o"/>
      <w:lvlJc w:val="left"/>
      <w:pPr>
        <w:tabs>
          <w:tab w:val="num" w:pos="4162"/>
        </w:tabs>
        <w:ind w:left="4162" w:hanging="360"/>
      </w:pPr>
      <w:rPr>
        <w:rFonts w:ascii="Courier New" w:hAnsi="Courier New" w:cs="Courier New" w:hint="default"/>
      </w:rPr>
    </w:lvl>
    <w:lvl w:ilvl="5" w:tplc="08090005" w:tentative="1">
      <w:start w:val="1"/>
      <w:numFmt w:val="bullet"/>
      <w:lvlText w:val=""/>
      <w:lvlJc w:val="left"/>
      <w:pPr>
        <w:tabs>
          <w:tab w:val="num" w:pos="4882"/>
        </w:tabs>
        <w:ind w:left="4882" w:hanging="360"/>
      </w:pPr>
      <w:rPr>
        <w:rFonts w:ascii="Wingdings" w:hAnsi="Wingdings" w:hint="default"/>
      </w:rPr>
    </w:lvl>
    <w:lvl w:ilvl="6" w:tplc="08090001" w:tentative="1">
      <w:start w:val="1"/>
      <w:numFmt w:val="bullet"/>
      <w:lvlText w:val=""/>
      <w:lvlJc w:val="left"/>
      <w:pPr>
        <w:tabs>
          <w:tab w:val="num" w:pos="5602"/>
        </w:tabs>
        <w:ind w:left="5602" w:hanging="360"/>
      </w:pPr>
      <w:rPr>
        <w:rFonts w:ascii="Symbol" w:hAnsi="Symbol" w:hint="default"/>
      </w:rPr>
    </w:lvl>
    <w:lvl w:ilvl="7" w:tplc="08090003" w:tentative="1">
      <w:start w:val="1"/>
      <w:numFmt w:val="bullet"/>
      <w:lvlText w:val="o"/>
      <w:lvlJc w:val="left"/>
      <w:pPr>
        <w:tabs>
          <w:tab w:val="num" w:pos="6322"/>
        </w:tabs>
        <w:ind w:left="6322" w:hanging="360"/>
      </w:pPr>
      <w:rPr>
        <w:rFonts w:ascii="Courier New" w:hAnsi="Courier New" w:cs="Courier New" w:hint="default"/>
      </w:rPr>
    </w:lvl>
    <w:lvl w:ilvl="8" w:tplc="08090005" w:tentative="1">
      <w:start w:val="1"/>
      <w:numFmt w:val="bullet"/>
      <w:lvlText w:val=""/>
      <w:lvlJc w:val="left"/>
      <w:pPr>
        <w:tabs>
          <w:tab w:val="num" w:pos="7042"/>
        </w:tabs>
        <w:ind w:left="7042" w:hanging="360"/>
      </w:pPr>
      <w:rPr>
        <w:rFonts w:ascii="Wingdings" w:hAnsi="Wingdings" w:hint="default"/>
      </w:rPr>
    </w:lvl>
  </w:abstractNum>
  <w:abstractNum w:abstractNumId="22">
    <w:nsid w:val="5EB764F1"/>
    <w:multiLevelType w:val="hybridMultilevel"/>
    <w:tmpl w:val="1138E59A"/>
    <w:lvl w:ilvl="0" w:tplc="253CB0E0">
      <w:start w:val="2"/>
      <w:numFmt w:val="bullet"/>
      <w:lvlText w:val="-"/>
      <w:lvlJc w:val="left"/>
      <w:pPr>
        <w:ind w:left="972" w:hanging="360"/>
      </w:pPr>
      <w:rPr>
        <w:rFonts w:ascii="Times New Roman" w:eastAsia="Times New Roman" w:hAnsi="Times New Roman" w:cs="Times New Roman"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3">
    <w:nsid w:val="5F977461"/>
    <w:multiLevelType w:val="hybridMultilevel"/>
    <w:tmpl w:val="1EB8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BE402D"/>
    <w:multiLevelType w:val="hybridMultilevel"/>
    <w:tmpl w:val="BDCE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170092"/>
    <w:multiLevelType w:val="hybridMultilevel"/>
    <w:tmpl w:val="396A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C22EC1"/>
    <w:multiLevelType w:val="hybridMultilevel"/>
    <w:tmpl w:val="DB14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83176D"/>
    <w:multiLevelType w:val="hybridMultilevel"/>
    <w:tmpl w:val="CF14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8E407E"/>
    <w:multiLevelType w:val="hybridMultilevel"/>
    <w:tmpl w:val="A378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8F2B6B"/>
    <w:multiLevelType w:val="hybridMultilevel"/>
    <w:tmpl w:val="C680CF12"/>
    <w:lvl w:ilvl="0" w:tplc="8042F7FA">
      <w:start w:val="21"/>
      <w:numFmt w:val="decimal"/>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0">
    <w:nsid w:val="6B8474A9"/>
    <w:multiLevelType w:val="hybridMultilevel"/>
    <w:tmpl w:val="AB8499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B921F9B"/>
    <w:multiLevelType w:val="hybridMultilevel"/>
    <w:tmpl w:val="545EF4F6"/>
    <w:lvl w:ilvl="0" w:tplc="252451D8">
      <w:start w:val="1"/>
      <w:numFmt w:val="bullet"/>
      <w:lvlText w:val="l"/>
      <w:lvlJc w:val="left"/>
      <w:pPr>
        <w:tabs>
          <w:tab w:val="num" w:pos="360"/>
        </w:tabs>
        <w:ind w:left="36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08B6511"/>
    <w:multiLevelType w:val="hybridMultilevel"/>
    <w:tmpl w:val="02BC6722"/>
    <w:lvl w:ilvl="0" w:tplc="D52CB486">
      <w:start w:val="1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nsid w:val="7805352D"/>
    <w:multiLevelType w:val="hybridMultilevel"/>
    <w:tmpl w:val="8A149BEA"/>
    <w:lvl w:ilvl="0" w:tplc="FC3874E8">
      <w:start w:val="3"/>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DB5577A"/>
    <w:multiLevelType w:val="hybridMultilevel"/>
    <w:tmpl w:val="5944F0D0"/>
    <w:lvl w:ilvl="0" w:tplc="7BC23BA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5">
    <w:nsid w:val="7E4A21F8"/>
    <w:multiLevelType w:val="hybridMultilevel"/>
    <w:tmpl w:val="9944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4"/>
  </w:num>
  <w:num w:numId="7">
    <w:abstractNumId w:val="20"/>
  </w:num>
  <w:num w:numId="8">
    <w:abstractNumId w:val="27"/>
  </w:num>
  <w:num w:numId="9">
    <w:abstractNumId w:val="30"/>
  </w:num>
  <w:num w:numId="10">
    <w:abstractNumId w:val="21"/>
  </w:num>
  <w:num w:numId="11">
    <w:abstractNumId w:val="10"/>
  </w:num>
  <w:num w:numId="12">
    <w:abstractNumId w:val="19"/>
  </w:num>
  <w:num w:numId="13">
    <w:abstractNumId w:val="7"/>
  </w:num>
  <w:num w:numId="14">
    <w:abstractNumId w:val="28"/>
  </w:num>
  <w:num w:numId="15">
    <w:abstractNumId w:val="17"/>
  </w:num>
  <w:num w:numId="16">
    <w:abstractNumId w:val="13"/>
  </w:num>
  <w:num w:numId="17">
    <w:abstractNumId w:val="35"/>
  </w:num>
  <w:num w:numId="18">
    <w:abstractNumId w:val="9"/>
  </w:num>
  <w:num w:numId="19">
    <w:abstractNumId w:val="14"/>
  </w:num>
  <w:num w:numId="20">
    <w:abstractNumId w:val="26"/>
  </w:num>
  <w:num w:numId="21">
    <w:abstractNumId w:val="3"/>
  </w:num>
  <w:num w:numId="22">
    <w:abstractNumId w:val="22"/>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6"/>
  </w:num>
  <w:num w:numId="33">
    <w:abstractNumId w:val="33"/>
  </w:num>
  <w:num w:numId="34">
    <w:abstractNumId w:val="12"/>
  </w:num>
  <w:num w:numId="35">
    <w:abstractNumId w:val="29"/>
  </w:num>
  <w:num w:numId="36">
    <w:abstractNumId w:val="15"/>
  </w:num>
  <w:num w:numId="37">
    <w:abstractNumId w:val="23"/>
  </w:num>
  <w:num w:numId="38">
    <w:abstractNumId w:val="16"/>
  </w:num>
  <w:num w:numId="39">
    <w:abstractNumId w:val="2"/>
  </w:num>
  <w:num w:numId="40">
    <w:abstractNumId w:val="24"/>
  </w:num>
  <w:num w:numId="41">
    <w:abstractNumId w:val="8"/>
  </w:num>
  <w:num w:numId="42">
    <w:abstractNumId w:val="18"/>
  </w:num>
  <w:num w:numId="43">
    <w:abstractNumId w:val="11"/>
  </w:num>
  <w:num w:numId="44">
    <w:abstractNumId w:val="2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F57092"/>
    <w:rsid w:val="00001A41"/>
    <w:rsid w:val="00002697"/>
    <w:rsid w:val="00002859"/>
    <w:rsid w:val="00003770"/>
    <w:rsid w:val="00004960"/>
    <w:rsid w:val="0000497D"/>
    <w:rsid w:val="0000682D"/>
    <w:rsid w:val="00007248"/>
    <w:rsid w:val="00014894"/>
    <w:rsid w:val="00016ADA"/>
    <w:rsid w:val="0002148A"/>
    <w:rsid w:val="00022450"/>
    <w:rsid w:val="00023CB8"/>
    <w:rsid w:val="00024220"/>
    <w:rsid w:val="00024BFD"/>
    <w:rsid w:val="00027626"/>
    <w:rsid w:val="00031246"/>
    <w:rsid w:val="00031797"/>
    <w:rsid w:val="000325CA"/>
    <w:rsid w:val="00033627"/>
    <w:rsid w:val="0004133A"/>
    <w:rsid w:val="00043476"/>
    <w:rsid w:val="000436E4"/>
    <w:rsid w:val="000444AC"/>
    <w:rsid w:val="00046495"/>
    <w:rsid w:val="00046748"/>
    <w:rsid w:val="00050AF5"/>
    <w:rsid w:val="00051188"/>
    <w:rsid w:val="000535CC"/>
    <w:rsid w:val="00054975"/>
    <w:rsid w:val="000600A6"/>
    <w:rsid w:val="0006021D"/>
    <w:rsid w:val="00062B32"/>
    <w:rsid w:val="00065341"/>
    <w:rsid w:val="0006633A"/>
    <w:rsid w:val="000667A6"/>
    <w:rsid w:val="00070A13"/>
    <w:rsid w:val="00070D17"/>
    <w:rsid w:val="000736D0"/>
    <w:rsid w:val="00074DDE"/>
    <w:rsid w:val="0007582E"/>
    <w:rsid w:val="00076DCE"/>
    <w:rsid w:val="00080F69"/>
    <w:rsid w:val="000833C8"/>
    <w:rsid w:val="000848D7"/>
    <w:rsid w:val="00085411"/>
    <w:rsid w:val="000866D1"/>
    <w:rsid w:val="00091700"/>
    <w:rsid w:val="000931CA"/>
    <w:rsid w:val="000943EA"/>
    <w:rsid w:val="000963BF"/>
    <w:rsid w:val="000A0FF2"/>
    <w:rsid w:val="000A12DA"/>
    <w:rsid w:val="000A30E0"/>
    <w:rsid w:val="000A335E"/>
    <w:rsid w:val="000B3ACD"/>
    <w:rsid w:val="000B44CF"/>
    <w:rsid w:val="000B47DB"/>
    <w:rsid w:val="000B571B"/>
    <w:rsid w:val="000B6F29"/>
    <w:rsid w:val="000C2F5B"/>
    <w:rsid w:val="000C3E8F"/>
    <w:rsid w:val="000C54C9"/>
    <w:rsid w:val="000C5A43"/>
    <w:rsid w:val="000C5B6A"/>
    <w:rsid w:val="000C6223"/>
    <w:rsid w:val="000D7653"/>
    <w:rsid w:val="000D7A60"/>
    <w:rsid w:val="000E565E"/>
    <w:rsid w:val="000E5F74"/>
    <w:rsid w:val="000E623B"/>
    <w:rsid w:val="000E665E"/>
    <w:rsid w:val="000F2110"/>
    <w:rsid w:val="000F7D66"/>
    <w:rsid w:val="00100A3C"/>
    <w:rsid w:val="0010143E"/>
    <w:rsid w:val="0010236C"/>
    <w:rsid w:val="0010411C"/>
    <w:rsid w:val="00105AF2"/>
    <w:rsid w:val="00106383"/>
    <w:rsid w:val="00107A87"/>
    <w:rsid w:val="00107EAE"/>
    <w:rsid w:val="00110DA6"/>
    <w:rsid w:val="00111206"/>
    <w:rsid w:val="0011384D"/>
    <w:rsid w:val="00114071"/>
    <w:rsid w:val="00116432"/>
    <w:rsid w:val="00117706"/>
    <w:rsid w:val="00117B7A"/>
    <w:rsid w:val="00120AE3"/>
    <w:rsid w:val="001222B7"/>
    <w:rsid w:val="00123B90"/>
    <w:rsid w:val="00125362"/>
    <w:rsid w:val="00126A5B"/>
    <w:rsid w:val="00126BC8"/>
    <w:rsid w:val="00132D60"/>
    <w:rsid w:val="00135DA4"/>
    <w:rsid w:val="001361C9"/>
    <w:rsid w:val="001373DB"/>
    <w:rsid w:val="00143053"/>
    <w:rsid w:val="0014568A"/>
    <w:rsid w:val="00147A49"/>
    <w:rsid w:val="00151418"/>
    <w:rsid w:val="00151E58"/>
    <w:rsid w:val="00152C30"/>
    <w:rsid w:val="00155D7C"/>
    <w:rsid w:val="0015726A"/>
    <w:rsid w:val="00166614"/>
    <w:rsid w:val="00172CC5"/>
    <w:rsid w:val="00173694"/>
    <w:rsid w:val="00175707"/>
    <w:rsid w:val="001772CB"/>
    <w:rsid w:val="0018004D"/>
    <w:rsid w:val="00183283"/>
    <w:rsid w:val="0018556E"/>
    <w:rsid w:val="001856E4"/>
    <w:rsid w:val="00185FBC"/>
    <w:rsid w:val="0018634B"/>
    <w:rsid w:val="0018791E"/>
    <w:rsid w:val="00190BFF"/>
    <w:rsid w:val="00191575"/>
    <w:rsid w:val="00191DF7"/>
    <w:rsid w:val="00192AA5"/>
    <w:rsid w:val="001A05FB"/>
    <w:rsid w:val="001A0912"/>
    <w:rsid w:val="001A1D8B"/>
    <w:rsid w:val="001A43FC"/>
    <w:rsid w:val="001B0062"/>
    <w:rsid w:val="001B4A94"/>
    <w:rsid w:val="001B5219"/>
    <w:rsid w:val="001C57E9"/>
    <w:rsid w:val="001D3973"/>
    <w:rsid w:val="001D4590"/>
    <w:rsid w:val="001D51FE"/>
    <w:rsid w:val="001E02D6"/>
    <w:rsid w:val="001E0AFD"/>
    <w:rsid w:val="001E2A2A"/>
    <w:rsid w:val="001E5F1B"/>
    <w:rsid w:val="001F074A"/>
    <w:rsid w:val="001F1404"/>
    <w:rsid w:val="001F55DB"/>
    <w:rsid w:val="001F5C15"/>
    <w:rsid w:val="00201B4C"/>
    <w:rsid w:val="002028D0"/>
    <w:rsid w:val="002112A5"/>
    <w:rsid w:val="00213428"/>
    <w:rsid w:val="002156D1"/>
    <w:rsid w:val="00215CBC"/>
    <w:rsid w:val="00220A60"/>
    <w:rsid w:val="00222CB4"/>
    <w:rsid w:val="0022593E"/>
    <w:rsid w:val="002260FF"/>
    <w:rsid w:val="002275CC"/>
    <w:rsid w:val="00230C36"/>
    <w:rsid w:val="00233A36"/>
    <w:rsid w:val="00233FAE"/>
    <w:rsid w:val="00234FD7"/>
    <w:rsid w:val="00235798"/>
    <w:rsid w:val="00236BA6"/>
    <w:rsid w:val="00242DCF"/>
    <w:rsid w:val="0024359E"/>
    <w:rsid w:val="00245B89"/>
    <w:rsid w:val="00245BC9"/>
    <w:rsid w:val="002467B3"/>
    <w:rsid w:val="00246BF0"/>
    <w:rsid w:val="00246F2C"/>
    <w:rsid w:val="00250618"/>
    <w:rsid w:val="0025452D"/>
    <w:rsid w:val="00257591"/>
    <w:rsid w:val="00257C40"/>
    <w:rsid w:val="00257ECA"/>
    <w:rsid w:val="002601A9"/>
    <w:rsid w:val="00260234"/>
    <w:rsid w:val="00261187"/>
    <w:rsid w:val="00261EB7"/>
    <w:rsid w:val="00261EBA"/>
    <w:rsid w:val="00263A0D"/>
    <w:rsid w:val="00270631"/>
    <w:rsid w:val="00270CEB"/>
    <w:rsid w:val="00272B4B"/>
    <w:rsid w:val="00273510"/>
    <w:rsid w:val="00276232"/>
    <w:rsid w:val="0028203D"/>
    <w:rsid w:val="00282056"/>
    <w:rsid w:val="00284AE0"/>
    <w:rsid w:val="00291318"/>
    <w:rsid w:val="00295F6C"/>
    <w:rsid w:val="00296B77"/>
    <w:rsid w:val="002A0EFF"/>
    <w:rsid w:val="002A1B30"/>
    <w:rsid w:val="002B3635"/>
    <w:rsid w:val="002B4212"/>
    <w:rsid w:val="002B4C5C"/>
    <w:rsid w:val="002B5B44"/>
    <w:rsid w:val="002B611A"/>
    <w:rsid w:val="002C0315"/>
    <w:rsid w:val="002C32BD"/>
    <w:rsid w:val="002C4619"/>
    <w:rsid w:val="002C4966"/>
    <w:rsid w:val="002C5113"/>
    <w:rsid w:val="002C5AF9"/>
    <w:rsid w:val="002C69D8"/>
    <w:rsid w:val="002C7969"/>
    <w:rsid w:val="002D110C"/>
    <w:rsid w:val="002D1BB2"/>
    <w:rsid w:val="002D4A9D"/>
    <w:rsid w:val="002D719C"/>
    <w:rsid w:val="002D7567"/>
    <w:rsid w:val="002D7B08"/>
    <w:rsid w:val="002D7FD2"/>
    <w:rsid w:val="002E1588"/>
    <w:rsid w:val="002E69C5"/>
    <w:rsid w:val="002E6D4B"/>
    <w:rsid w:val="002F0F36"/>
    <w:rsid w:val="002F4A62"/>
    <w:rsid w:val="002F5799"/>
    <w:rsid w:val="002F5A00"/>
    <w:rsid w:val="002F747A"/>
    <w:rsid w:val="00301804"/>
    <w:rsid w:val="00301E15"/>
    <w:rsid w:val="0030240C"/>
    <w:rsid w:val="00302816"/>
    <w:rsid w:val="00307D75"/>
    <w:rsid w:val="00311270"/>
    <w:rsid w:val="003113F8"/>
    <w:rsid w:val="00312AFF"/>
    <w:rsid w:val="00312D1A"/>
    <w:rsid w:val="00313E0B"/>
    <w:rsid w:val="00314EC5"/>
    <w:rsid w:val="00316E15"/>
    <w:rsid w:val="003170A9"/>
    <w:rsid w:val="00317438"/>
    <w:rsid w:val="0032017B"/>
    <w:rsid w:val="0032180A"/>
    <w:rsid w:val="00321CFE"/>
    <w:rsid w:val="00322CF4"/>
    <w:rsid w:val="00323D93"/>
    <w:rsid w:val="00325758"/>
    <w:rsid w:val="00325DB0"/>
    <w:rsid w:val="003267E2"/>
    <w:rsid w:val="003348EE"/>
    <w:rsid w:val="00335197"/>
    <w:rsid w:val="0033600A"/>
    <w:rsid w:val="0033626B"/>
    <w:rsid w:val="00337C77"/>
    <w:rsid w:val="00337F66"/>
    <w:rsid w:val="00340DB8"/>
    <w:rsid w:val="0034173B"/>
    <w:rsid w:val="00343F20"/>
    <w:rsid w:val="003440AB"/>
    <w:rsid w:val="003517C6"/>
    <w:rsid w:val="00352F65"/>
    <w:rsid w:val="00360D05"/>
    <w:rsid w:val="003662ED"/>
    <w:rsid w:val="00371165"/>
    <w:rsid w:val="00374FAB"/>
    <w:rsid w:val="00383740"/>
    <w:rsid w:val="0038387F"/>
    <w:rsid w:val="00385AAE"/>
    <w:rsid w:val="00386CB5"/>
    <w:rsid w:val="00394F58"/>
    <w:rsid w:val="00397ADC"/>
    <w:rsid w:val="00397B50"/>
    <w:rsid w:val="003A13C7"/>
    <w:rsid w:val="003A1BD9"/>
    <w:rsid w:val="003A21B2"/>
    <w:rsid w:val="003A235C"/>
    <w:rsid w:val="003A3DD7"/>
    <w:rsid w:val="003A4B0A"/>
    <w:rsid w:val="003A56D6"/>
    <w:rsid w:val="003A6266"/>
    <w:rsid w:val="003A7671"/>
    <w:rsid w:val="003B232A"/>
    <w:rsid w:val="003B2453"/>
    <w:rsid w:val="003B27DC"/>
    <w:rsid w:val="003B4510"/>
    <w:rsid w:val="003B58A7"/>
    <w:rsid w:val="003B5E9F"/>
    <w:rsid w:val="003B6147"/>
    <w:rsid w:val="003C0A1F"/>
    <w:rsid w:val="003C1032"/>
    <w:rsid w:val="003C145B"/>
    <w:rsid w:val="003C2499"/>
    <w:rsid w:val="003C24CE"/>
    <w:rsid w:val="003C4414"/>
    <w:rsid w:val="003C4484"/>
    <w:rsid w:val="003D06E8"/>
    <w:rsid w:val="003D0B08"/>
    <w:rsid w:val="003D2A66"/>
    <w:rsid w:val="003D3752"/>
    <w:rsid w:val="003E68EB"/>
    <w:rsid w:val="003F18B4"/>
    <w:rsid w:val="003F1F8B"/>
    <w:rsid w:val="003F68B5"/>
    <w:rsid w:val="003F77BC"/>
    <w:rsid w:val="004028DF"/>
    <w:rsid w:val="00402E60"/>
    <w:rsid w:val="00403E96"/>
    <w:rsid w:val="00404BAE"/>
    <w:rsid w:val="00404C25"/>
    <w:rsid w:val="00405AEF"/>
    <w:rsid w:val="00406565"/>
    <w:rsid w:val="0041050C"/>
    <w:rsid w:val="00410DB8"/>
    <w:rsid w:val="00411081"/>
    <w:rsid w:val="00411118"/>
    <w:rsid w:val="0041245A"/>
    <w:rsid w:val="004148A4"/>
    <w:rsid w:val="00420384"/>
    <w:rsid w:val="004212F6"/>
    <w:rsid w:val="0042142A"/>
    <w:rsid w:val="00426F92"/>
    <w:rsid w:val="00431E59"/>
    <w:rsid w:val="00431F38"/>
    <w:rsid w:val="00435F7A"/>
    <w:rsid w:val="004407B4"/>
    <w:rsid w:val="00441E01"/>
    <w:rsid w:val="004424C1"/>
    <w:rsid w:val="00442D78"/>
    <w:rsid w:val="00444964"/>
    <w:rsid w:val="00445ADA"/>
    <w:rsid w:val="00451C81"/>
    <w:rsid w:val="004532EA"/>
    <w:rsid w:val="00453C56"/>
    <w:rsid w:val="00455564"/>
    <w:rsid w:val="00455A55"/>
    <w:rsid w:val="0045669E"/>
    <w:rsid w:val="00470F38"/>
    <w:rsid w:val="0047295A"/>
    <w:rsid w:val="004763D8"/>
    <w:rsid w:val="00482669"/>
    <w:rsid w:val="00482912"/>
    <w:rsid w:val="004857EF"/>
    <w:rsid w:val="00490A92"/>
    <w:rsid w:val="0049109D"/>
    <w:rsid w:val="0049263E"/>
    <w:rsid w:val="00492BFA"/>
    <w:rsid w:val="00494B9A"/>
    <w:rsid w:val="00494C50"/>
    <w:rsid w:val="004A0103"/>
    <w:rsid w:val="004A086B"/>
    <w:rsid w:val="004A11E8"/>
    <w:rsid w:val="004A1F0C"/>
    <w:rsid w:val="004A238E"/>
    <w:rsid w:val="004A2CC3"/>
    <w:rsid w:val="004A6EDA"/>
    <w:rsid w:val="004A7DDE"/>
    <w:rsid w:val="004B10CD"/>
    <w:rsid w:val="004B2F9A"/>
    <w:rsid w:val="004B42EC"/>
    <w:rsid w:val="004B4553"/>
    <w:rsid w:val="004B6126"/>
    <w:rsid w:val="004C0B78"/>
    <w:rsid w:val="004C13C1"/>
    <w:rsid w:val="004C447A"/>
    <w:rsid w:val="004C464D"/>
    <w:rsid w:val="004C50B8"/>
    <w:rsid w:val="004C52B5"/>
    <w:rsid w:val="004C7821"/>
    <w:rsid w:val="004D26E1"/>
    <w:rsid w:val="004D56B4"/>
    <w:rsid w:val="004D6620"/>
    <w:rsid w:val="004D7301"/>
    <w:rsid w:val="004E3E84"/>
    <w:rsid w:val="004E71DC"/>
    <w:rsid w:val="004E7B2F"/>
    <w:rsid w:val="004F2030"/>
    <w:rsid w:val="004F264A"/>
    <w:rsid w:val="004F3395"/>
    <w:rsid w:val="004F517C"/>
    <w:rsid w:val="004F6D5F"/>
    <w:rsid w:val="00501052"/>
    <w:rsid w:val="0050152D"/>
    <w:rsid w:val="00502276"/>
    <w:rsid w:val="00503213"/>
    <w:rsid w:val="00505605"/>
    <w:rsid w:val="0051210A"/>
    <w:rsid w:val="0051343B"/>
    <w:rsid w:val="005138EB"/>
    <w:rsid w:val="00514CF9"/>
    <w:rsid w:val="00522089"/>
    <w:rsid w:val="0052629E"/>
    <w:rsid w:val="005266EE"/>
    <w:rsid w:val="005274DA"/>
    <w:rsid w:val="005300DC"/>
    <w:rsid w:val="00531B44"/>
    <w:rsid w:val="00531B8E"/>
    <w:rsid w:val="005405CE"/>
    <w:rsid w:val="005420F4"/>
    <w:rsid w:val="00544603"/>
    <w:rsid w:val="005458D9"/>
    <w:rsid w:val="005463BB"/>
    <w:rsid w:val="005479E4"/>
    <w:rsid w:val="00550144"/>
    <w:rsid w:val="00555078"/>
    <w:rsid w:val="00555387"/>
    <w:rsid w:val="00555A6F"/>
    <w:rsid w:val="00566F58"/>
    <w:rsid w:val="005723A5"/>
    <w:rsid w:val="00575705"/>
    <w:rsid w:val="005814B5"/>
    <w:rsid w:val="00581681"/>
    <w:rsid w:val="00583FC6"/>
    <w:rsid w:val="0059047A"/>
    <w:rsid w:val="00590D88"/>
    <w:rsid w:val="00591665"/>
    <w:rsid w:val="005A339A"/>
    <w:rsid w:val="005A4A12"/>
    <w:rsid w:val="005A7565"/>
    <w:rsid w:val="005A771F"/>
    <w:rsid w:val="005B467A"/>
    <w:rsid w:val="005B5549"/>
    <w:rsid w:val="005B5FE8"/>
    <w:rsid w:val="005B6F76"/>
    <w:rsid w:val="005B78BF"/>
    <w:rsid w:val="005C09EE"/>
    <w:rsid w:val="005C0F2B"/>
    <w:rsid w:val="005C1729"/>
    <w:rsid w:val="005C229F"/>
    <w:rsid w:val="005C4337"/>
    <w:rsid w:val="005C515D"/>
    <w:rsid w:val="005C6768"/>
    <w:rsid w:val="005C724B"/>
    <w:rsid w:val="005D00A6"/>
    <w:rsid w:val="005D0C01"/>
    <w:rsid w:val="005D2AD4"/>
    <w:rsid w:val="005D4940"/>
    <w:rsid w:val="005E2BAB"/>
    <w:rsid w:val="005E2FBC"/>
    <w:rsid w:val="005E50D0"/>
    <w:rsid w:val="005F1CC2"/>
    <w:rsid w:val="005F3DD8"/>
    <w:rsid w:val="005F7A56"/>
    <w:rsid w:val="005F7FAE"/>
    <w:rsid w:val="0060057F"/>
    <w:rsid w:val="00603917"/>
    <w:rsid w:val="00604AB4"/>
    <w:rsid w:val="00604ACC"/>
    <w:rsid w:val="00605FC1"/>
    <w:rsid w:val="00606F21"/>
    <w:rsid w:val="006105A4"/>
    <w:rsid w:val="00611460"/>
    <w:rsid w:val="00613873"/>
    <w:rsid w:val="0061671F"/>
    <w:rsid w:val="00616B3D"/>
    <w:rsid w:val="00621A9F"/>
    <w:rsid w:val="00622A4B"/>
    <w:rsid w:val="0062416F"/>
    <w:rsid w:val="00624BAE"/>
    <w:rsid w:val="00624FA3"/>
    <w:rsid w:val="00627336"/>
    <w:rsid w:val="00631CC6"/>
    <w:rsid w:val="006368FB"/>
    <w:rsid w:val="00641D54"/>
    <w:rsid w:val="006449BF"/>
    <w:rsid w:val="00646993"/>
    <w:rsid w:val="006502C5"/>
    <w:rsid w:val="00652827"/>
    <w:rsid w:val="0065468F"/>
    <w:rsid w:val="00655DDE"/>
    <w:rsid w:val="00656B26"/>
    <w:rsid w:val="006574D6"/>
    <w:rsid w:val="00657CAE"/>
    <w:rsid w:val="00661CD4"/>
    <w:rsid w:val="006621ED"/>
    <w:rsid w:val="00662204"/>
    <w:rsid w:val="006640B0"/>
    <w:rsid w:val="00664B04"/>
    <w:rsid w:val="00665ED7"/>
    <w:rsid w:val="006666FA"/>
    <w:rsid w:val="00666968"/>
    <w:rsid w:val="00666F99"/>
    <w:rsid w:val="00672E83"/>
    <w:rsid w:val="00673FEA"/>
    <w:rsid w:val="00674A93"/>
    <w:rsid w:val="00674E33"/>
    <w:rsid w:val="006758B7"/>
    <w:rsid w:val="0067769A"/>
    <w:rsid w:val="00680314"/>
    <w:rsid w:val="00680CD0"/>
    <w:rsid w:val="00681EE0"/>
    <w:rsid w:val="006900A4"/>
    <w:rsid w:val="00691756"/>
    <w:rsid w:val="00692F09"/>
    <w:rsid w:val="00692F91"/>
    <w:rsid w:val="00693F9C"/>
    <w:rsid w:val="0069415F"/>
    <w:rsid w:val="00694798"/>
    <w:rsid w:val="00695139"/>
    <w:rsid w:val="006963AD"/>
    <w:rsid w:val="006A0F5E"/>
    <w:rsid w:val="006A515C"/>
    <w:rsid w:val="006A55F1"/>
    <w:rsid w:val="006A5A11"/>
    <w:rsid w:val="006B090F"/>
    <w:rsid w:val="006B133D"/>
    <w:rsid w:val="006B1CB6"/>
    <w:rsid w:val="006B40BF"/>
    <w:rsid w:val="006B74B3"/>
    <w:rsid w:val="006C1662"/>
    <w:rsid w:val="006C4EA1"/>
    <w:rsid w:val="006C6C0D"/>
    <w:rsid w:val="006C6F52"/>
    <w:rsid w:val="006D0F96"/>
    <w:rsid w:val="006D4331"/>
    <w:rsid w:val="006D4766"/>
    <w:rsid w:val="006D55AF"/>
    <w:rsid w:val="006D5777"/>
    <w:rsid w:val="006E18C4"/>
    <w:rsid w:val="006E54CF"/>
    <w:rsid w:val="006E6D1B"/>
    <w:rsid w:val="006F067F"/>
    <w:rsid w:val="006F06B4"/>
    <w:rsid w:val="006F1205"/>
    <w:rsid w:val="006F2BE3"/>
    <w:rsid w:val="006F389C"/>
    <w:rsid w:val="006F3923"/>
    <w:rsid w:val="006F4AEB"/>
    <w:rsid w:val="006F513C"/>
    <w:rsid w:val="006F7B53"/>
    <w:rsid w:val="006F7E5F"/>
    <w:rsid w:val="00700D49"/>
    <w:rsid w:val="00701583"/>
    <w:rsid w:val="007046E9"/>
    <w:rsid w:val="00710747"/>
    <w:rsid w:val="00710C4B"/>
    <w:rsid w:val="007149FC"/>
    <w:rsid w:val="00714A74"/>
    <w:rsid w:val="00716E0D"/>
    <w:rsid w:val="00717491"/>
    <w:rsid w:val="00723338"/>
    <w:rsid w:val="0072395C"/>
    <w:rsid w:val="00723DFA"/>
    <w:rsid w:val="00724263"/>
    <w:rsid w:val="007263AD"/>
    <w:rsid w:val="00732FF9"/>
    <w:rsid w:val="00740A7F"/>
    <w:rsid w:val="0074170C"/>
    <w:rsid w:val="00743922"/>
    <w:rsid w:val="0074625B"/>
    <w:rsid w:val="00746EA9"/>
    <w:rsid w:val="0075081A"/>
    <w:rsid w:val="0075284A"/>
    <w:rsid w:val="007539F9"/>
    <w:rsid w:val="0075559C"/>
    <w:rsid w:val="00756286"/>
    <w:rsid w:val="00756AF1"/>
    <w:rsid w:val="00757237"/>
    <w:rsid w:val="00760371"/>
    <w:rsid w:val="00760843"/>
    <w:rsid w:val="0076147B"/>
    <w:rsid w:val="00761ED5"/>
    <w:rsid w:val="00762EF4"/>
    <w:rsid w:val="00763867"/>
    <w:rsid w:val="00765FC6"/>
    <w:rsid w:val="00766BF7"/>
    <w:rsid w:val="00767737"/>
    <w:rsid w:val="00773EC3"/>
    <w:rsid w:val="00774F38"/>
    <w:rsid w:val="0077682C"/>
    <w:rsid w:val="00776A78"/>
    <w:rsid w:val="00777332"/>
    <w:rsid w:val="007808D3"/>
    <w:rsid w:val="00781306"/>
    <w:rsid w:val="00787D2A"/>
    <w:rsid w:val="00790B85"/>
    <w:rsid w:val="007921C3"/>
    <w:rsid w:val="0079425F"/>
    <w:rsid w:val="007A1A9F"/>
    <w:rsid w:val="007A338B"/>
    <w:rsid w:val="007A6194"/>
    <w:rsid w:val="007A6A06"/>
    <w:rsid w:val="007A75D6"/>
    <w:rsid w:val="007B14F8"/>
    <w:rsid w:val="007B509D"/>
    <w:rsid w:val="007C0931"/>
    <w:rsid w:val="007C1AF4"/>
    <w:rsid w:val="007C284D"/>
    <w:rsid w:val="007C307C"/>
    <w:rsid w:val="007C42DF"/>
    <w:rsid w:val="007C63CE"/>
    <w:rsid w:val="007C67F5"/>
    <w:rsid w:val="007C7FC4"/>
    <w:rsid w:val="007D03F4"/>
    <w:rsid w:val="007D10E5"/>
    <w:rsid w:val="007D59F1"/>
    <w:rsid w:val="007D6587"/>
    <w:rsid w:val="007D6ABD"/>
    <w:rsid w:val="007E0F64"/>
    <w:rsid w:val="007E2B7C"/>
    <w:rsid w:val="007E2C70"/>
    <w:rsid w:val="007E7DF7"/>
    <w:rsid w:val="007F139F"/>
    <w:rsid w:val="007F3720"/>
    <w:rsid w:val="007F5B06"/>
    <w:rsid w:val="00800D2F"/>
    <w:rsid w:val="00801B14"/>
    <w:rsid w:val="008031B4"/>
    <w:rsid w:val="008109AB"/>
    <w:rsid w:val="00810AEF"/>
    <w:rsid w:val="00811CBE"/>
    <w:rsid w:val="008140F6"/>
    <w:rsid w:val="00814CDC"/>
    <w:rsid w:val="008175B5"/>
    <w:rsid w:val="00822E17"/>
    <w:rsid w:val="00826412"/>
    <w:rsid w:val="008269B6"/>
    <w:rsid w:val="0083100A"/>
    <w:rsid w:val="0083182E"/>
    <w:rsid w:val="008320B6"/>
    <w:rsid w:val="0083395F"/>
    <w:rsid w:val="00834E1F"/>
    <w:rsid w:val="00835572"/>
    <w:rsid w:val="00836ABF"/>
    <w:rsid w:val="00840197"/>
    <w:rsid w:val="00840725"/>
    <w:rsid w:val="00844F25"/>
    <w:rsid w:val="00846952"/>
    <w:rsid w:val="008507CA"/>
    <w:rsid w:val="00850FA5"/>
    <w:rsid w:val="008526C4"/>
    <w:rsid w:val="008539BC"/>
    <w:rsid w:val="008552EF"/>
    <w:rsid w:val="008557AC"/>
    <w:rsid w:val="00855E08"/>
    <w:rsid w:val="0086525B"/>
    <w:rsid w:val="00866217"/>
    <w:rsid w:val="008665A2"/>
    <w:rsid w:val="008702A2"/>
    <w:rsid w:val="00872694"/>
    <w:rsid w:val="0087273D"/>
    <w:rsid w:val="00873505"/>
    <w:rsid w:val="008741A7"/>
    <w:rsid w:val="008767CC"/>
    <w:rsid w:val="0087778A"/>
    <w:rsid w:val="00877C44"/>
    <w:rsid w:val="00882E49"/>
    <w:rsid w:val="008849C2"/>
    <w:rsid w:val="008857FA"/>
    <w:rsid w:val="008872B6"/>
    <w:rsid w:val="0089368E"/>
    <w:rsid w:val="008A588D"/>
    <w:rsid w:val="008A58D2"/>
    <w:rsid w:val="008A639C"/>
    <w:rsid w:val="008B3B0A"/>
    <w:rsid w:val="008C0347"/>
    <w:rsid w:val="008C0893"/>
    <w:rsid w:val="008C22FC"/>
    <w:rsid w:val="008C2669"/>
    <w:rsid w:val="008C3C0A"/>
    <w:rsid w:val="008D008E"/>
    <w:rsid w:val="008D0384"/>
    <w:rsid w:val="008D1E66"/>
    <w:rsid w:val="008D22F3"/>
    <w:rsid w:val="008D2D83"/>
    <w:rsid w:val="008D7995"/>
    <w:rsid w:val="008E3B2F"/>
    <w:rsid w:val="008E7B17"/>
    <w:rsid w:val="008F3AEF"/>
    <w:rsid w:val="008F5AAB"/>
    <w:rsid w:val="00900443"/>
    <w:rsid w:val="00900A62"/>
    <w:rsid w:val="0090162E"/>
    <w:rsid w:val="00902A93"/>
    <w:rsid w:val="00902D3A"/>
    <w:rsid w:val="009034FC"/>
    <w:rsid w:val="00903A61"/>
    <w:rsid w:val="00904929"/>
    <w:rsid w:val="0090555D"/>
    <w:rsid w:val="0090586E"/>
    <w:rsid w:val="009073AF"/>
    <w:rsid w:val="009110F0"/>
    <w:rsid w:val="0091286C"/>
    <w:rsid w:val="0091529D"/>
    <w:rsid w:val="009164F7"/>
    <w:rsid w:val="009238EB"/>
    <w:rsid w:val="00923A74"/>
    <w:rsid w:val="00924360"/>
    <w:rsid w:val="009318FE"/>
    <w:rsid w:val="00935108"/>
    <w:rsid w:val="00940E9B"/>
    <w:rsid w:val="009419EB"/>
    <w:rsid w:val="00942488"/>
    <w:rsid w:val="009465B5"/>
    <w:rsid w:val="0094678F"/>
    <w:rsid w:val="009533EB"/>
    <w:rsid w:val="00954113"/>
    <w:rsid w:val="00955D2C"/>
    <w:rsid w:val="00957E0C"/>
    <w:rsid w:val="00957EE7"/>
    <w:rsid w:val="00963EEA"/>
    <w:rsid w:val="00964B74"/>
    <w:rsid w:val="009710E8"/>
    <w:rsid w:val="0097303B"/>
    <w:rsid w:val="009755DD"/>
    <w:rsid w:val="00977B93"/>
    <w:rsid w:val="00982E00"/>
    <w:rsid w:val="00985B74"/>
    <w:rsid w:val="00985DCF"/>
    <w:rsid w:val="00986556"/>
    <w:rsid w:val="0098766A"/>
    <w:rsid w:val="00990223"/>
    <w:rsid w:val="0099185F"/>
    <w:rsid w:val="00991BA0"/>
    <w:rsid w:val="00996536"/>
    <w:rsid w:val="009A23A9"/>
    <w:rsid w:val="009A3707"/>
    <w:rsid w:val="009A40F2"/>
    <w:rsid w:val="009A458E"/>
    <w:rsid w:val="009A51B6"/>
    <w:rsid w:val="009B09E9"/>
    <w:rsid w:val="009B1E7C"/>
    <w:rsid w:val="009B3930"/>
    <w:rsid w:val="009B6024"/>
    <w:rsid w:val="009B7C06"/>
    <w:rsid w:val="009C0988"/>
    <w:rsid w:val="009C1311"/>
    <w:rsid w:val="009C2669"/>
    <w:rsid w:val="009C2F74"/>
    <w:rsid w:val="009C3F77"/>
    <w:rsid w:val="009C6A04"/>
    <w:rsid w:val="009D5BD3"/>
    <w:rsid w:val="009D7865"/>
    <w:rsid w:val="009E06F3"/>
    <w:rsid w:val="009E0803"/>
    <w:rsid w:val="009E45EB"/>
    <w:rsid w:val="009E7DAD"/>
    <w:rsid w:val="009E7E78"/>
    <w:rsid w:val="009F3E40"/>
    <w:rsid w:val="009F3F07"/>
    <w:rsid w:val="009F562A"/>
    <w:rsid w:val="009F590B"/>
    <w:rsid w:val="009F5AF3"/>
    <w:rsid w:val="009F680F"/>
    <w:rsid w:val="009F6BF6"/>
    <w:rsid w:val="00A00A55"/>
    <w:rsid w:val="00A0685E"/>
    <w:rsid w:val="00A06DE4"/>
    <w:rsid w:val="00A0750E"/>
    <w:rsid w:val="00A1071E"/>
    <w:rsid w:val="00A11D70"/>
    <w:rsid w:val="00A158A8"/>
    <w:rsid w:val="00A15DE4"/>
    <w:rsid w:val="00A16BAE"/>
    <w:rsid w:val="00A2023B"/>
    <w:rsid w:val="00A203BD"/>
    <w:rsid w:val="00A21BA1"/>
    <w:rsid w:val="00A22B57"/>
    <w:rsid w:val="00A24EAA"/>
    <w:rsid w:val="00A30DD3"/>
    <w:rsid w:val="00A3414E"/>
    <w:rsid w:val="00A35291"/>
    <w:rsid w:val="00A36EC9"/>
    <w:rsid w:val="00A408C2"/>
    <w:rsid w:val="00A415BD"/>
    <w:rsid w:val="00A427E2"/>
    <w:rsid w:val="00A45169"/>
    <w:rsid w:val="00A4526D"/>
    <w:rsid w:val="00A46DD5"/>
    <w:rsid w:val="00A4725B"/>
    <w:rsid w:val="00A501F4"/>
    <w:rsid w:val="00A5342E"/>
    <w:rsid w:val="00A5704C"/>
    <w:rsid w:val="00A5731F"/>
    <w:rsid w:val="00A600AF"/>
    <w:rsid w:val="00A62C75"/>
    <w:rsid w:val="00A635F2"/>
    <w:rsid w:val="00A638B1"/>
    <w:rsid w:val="00A63BD2"/>
    <w:rsid w:val="00A64082"/>
    <w:rsid w:val="00A7075A"/>
    <w:rsid w:val="00A72408"/>
    <w:rsid w:val="00A75B87"/>
    <w:rsid w:val="00A75F84"/>
    <w:rsid w:val="00A812FF"/>
    <w:rsid w:val="00A824E1"/>
    <w:rsid w:val="00A85643"/>
    <w:rsid w:val="00A86788"/>
    <w:rsid w:val="00A872D4"/>
    <w:rsid w:val="00A902FB"/>
    <w:rsid w:val="00A96172"/>
    <w:rsid w:val="00AA2C74"/>
    <w:rsid w:val="00AA31B8"/>
    <w:rsid w:val="00AA632A"/>
    <w:rsid w:val="00AA6DF8"/>
    <w:rsid w:val="00AA7B35"/>
    <w:rsid w:val="00AB0D22"/>
    <w:rsid w:val="00AB18D9"/>
    <w:rsid w:val="00AB1E98"/>
    <w:rsid w:val="00AB2442"/>
    <w:rsid w:val="00AB39AD"/>
    <w:rsid w:val="00AB6603"/>
    <w:rsid w:val="00AC0717"/>
    <w:rsid w:val="00AC0FF4"/>
    <w:rsid w:val="00AC1CC7"/>
    <w:rsid w:val="00AC6E1B"/>
    <w:rsid w:val="00AC711A"/>
    <w:rsid w:val="00AD40AB"/>
    <w:rsid w:val="00AD509A"/>
    <w:rsid w:val="00AD62D4"/>
    <w:rsid w:val="00AE0B3B"/>
    <w:rsid w:val="00AE2475"/>
    <w:rsid w:val="00AE2B0E"/>
    <w:rsid w:val="00AE33DF"/>
    <w:rsid w:val="00AE377C"/>
    <w:rsid w:val="00AE45D4"/>
    <w:rsid w:val="00AF0162"/>
    <w:rsid w:val="00AF0499"/>
    <w:rsid w:val="00AF2A52"/>
    <w:rsid w:val="00AF47E3"/>
    <w:rsid w:val="00AF4D16"/>
    <w:rsid w:val="00B01C45"/>
    <w:rsid w:val="00B050D8"/>
    <w:rsid w:val="00B072E7"/>
    <w:rsid w:val="00B1075E"/>
    <w:rsid w:val="00B12114"/>
    <w:rsid w:val="00B1443E"/>
    <w:rsid w:val="00B15A1E"/>
    <w:rsid w:val="00B15EC2"/>
    <w:rsid w:val="00B16B7E"/>
    <w:rsid w:val="00B173C5"/>
    <w:rsid w:val="00B175D2"/>
    <w:rsid w:val="00B20754"/>
    <w:rsid w:val="00B211E1"/>
    <w:rsid w:val="00B2183D"/>
    <w:rsid w:val="00B220DC"/>
    <w:rsid w:val="00B22744"/>
    <w:rsid w:val="00B2359B"/>
    <w:rsid w:val="00B254BE"/>
    <w:rsid w:val="00B264EE"/>
    <w:rsid w:val="00B332CA"/>
    <w:rsid w:val="00B33A52"/>
    <w:rsid w:val="00B3574C"/>
    <w:rsid w:val="00B36C8A"/>
    <w:rsid w:val="00B373AC"/>
    <w:rsid w:val="00B37A53"/>
    <w:rsid w:val="00B403F9"/>
    <w:rsid w:val="00B42540"/>
    <w:rsid w:val="00B435F9"/>
    <w:rsid w:val="00B438BA"/>
    <w:rsid w:val="00B47327"/>
    <w:rsid w:val="00B534D2"/>
    <w:rsid w:val="00B53D23"/>
    <w:rsid w:val="00B549A1"/>
    <w:rsid w:val="00B6219B"/>
    <w:rsid w:val="00B62345"/>
    <w:rsid w:val="00B6760A"/>
    <w:rsid w:val="00B67B35"/>
    <w:rsid w:val="00B71191"/>
    <w:rsid w:val="00B713B4"/>
    <w:rsid w:val="00B71F7F"/>
    <w:rsid w:val="00B76847"/>
    <w:rsid w:val="00B768B5"/>
    <w:rsid w:val="00B81582"/>
    <w:rsid w:val="00B82447"/>
    <w:rsid w:val="00B825A8"/>
    <w:rsid w:val="00B83EA3"/>
    <w:rsid w:val="00B84E0D"/>
    <w:rsid w:val="00B862E8"/>
    <w:rsid w:val="00B86570"/>
    <w:rsid w:val="00B879AF"/>
    <w:rsid w:val="00B87C2E"/>
    <w:rsid w:val="00B9071E"/>
    <w:rsid w:val="00B91AE5"/>
    <w:rsid w:val="00B92CDE"/>
    <w:rsid w:val="00B92F63"/>
    <w:rsid w:val="00B939F0"/>
    <w:rsid w:val="00B94DEC"/>
    <w:rsid w:val="00B94FC3"/>
    <w:rsid w:val="00B95F53"/>
    <w:rsid w:val="00BA0349"/>
    <w:rsid w:val="00BA05ED"/>
    <w:rsid w:val="00BA1DC5"/>
    <w:rsid w:val="00BA3E14"/>
    <w:rsid w:val="00BA5661"/>
    <w:rsid w:val="00BB0129"/>
    <w:rsid w:val="00BB02A0"/>
    <w:rsid w:val="00BB0859"/>
    <w:rsid w:val="00BB1C9F"/>
    <w:rsid w:val="00BB2A59"/>
    <w:rsid w:val="00BB4106"/>
    <w:rsid w:val="00BC2409"/>
    <w:rsid w:val="00BC2C36"/>
    <w:rsid w:val="00BC2CD5"/>
    <w:rsid w:val="00BC4323"/>
    <w:rsid w:val="00BD00DE"/>
    <w:rsid w:val="00BD0581"/>
    <w:rsid w:val="00BD3D81"/>
    <w:rsid w:val="00BD5EFB"/>
    <w:rsid w:val="00BD6B39"/>
    <w:rsid w:val="00BD7E95"/>
    <w:rsid w:val="00BE0132"/>
    <w:rsid w:val="00BE1366"/>
    <w:rsid w:val="00BE2C7C"/>
    <w:rsid w:val="00BE32B5"/>
    <w:rsid w:val="00BE4974"/>
    <w:rsid w:val="00BE5A6A"/>
    <w:rsid w:val="00BE6E96"/>
    <w:rsid w:val="00BE7E72"/>
    <w:rsid w:val="00BF10F7"/>
    <w:rsid w:val="00BF1425"/>
    <w:rsid w:val="00BF1492"/>
    <w:rsid w:val="00BF20DA"/>
    <w:rsid w:val="00BF2CB1"/>
    <w:rsid w:val="00BF371C"/>
    <w:rsid w:val="00C007D8"/>
    <w:rsid w:val="00C020BA"/>
    <w:rsid w:val="00C029ED"/>
    <w:rsid w:val="00C03D21"/>
    <w:rsid w:val="00C04640"/>
    <w:rsid w:val="00C0775C"/>
    <w:rsid w:val="00C105E0"/>
    <w:rsid w:val="00C10837"/>
    <w:rsid w:val="00C10AED"/>
    <w:rsid w:val="00C131E6"/>
    <w:rsid w:val="00C14310"/>
    <w:rsid w:val="00C155FE"/>
    <w:rsid w:val="00C1655E"/>
    <w:rsid w:val="00C16706"/>
    <w:rsid w:val="00C1735F"/>
    <w:rsid w:val="00C176D0"/>
    <w:rsid w:val="00C17AC7"/>
    <w:rsid w:val="00C20F5C"/>
    <w:rsid w:val="00C22398"/>
    <w:rsid w:val="00C22B82"/>
    <w:rsid w:val="00C244F9"/>
    <w:rsid w:val="00C25094"/>
    <w:rsid w:val="00C253B2"/>
    <w:rsid w:val="00C26A43"/>
    <w:rsid w:val="00C30369"/>
    <w:rsid w:val="00C31202"/>
    <w:rsid w:val="00C33111"/>
    <w:rsid w:val="00C37F5C"/>
    <w:rsid w:val="00C42989"/>
    <w:rsid w:val="00C46A29"/>
    <w:rsid w:val="00C47093"/>
    <w:rsid w:val="00C52554"/>
    <w:rsid w:val="00C5267F"/>
    <w:rsid w:val="00C5283E"/>
    <w:rsid w:val="00C555D0"/>
    <w:rsid w:val="00C569FB"/>
    <w:rsid w:val="00C61449"/>
    <w:rsid w:val="00C62939"/>
    <w:rsid w:val="00C633DB"/>
    <w:rsid w:val="00C64A29"/>
    <w:rsid w:val="00C65A79"/>
    <w:rsid w:val="00C70189"/>
    <w:rsid w:val="00C7098A"/>
    <w:rsid w:val="00C70B97"/>
    <w:rsid w:val="00C7134F"/>
    <w:rsid w:val="00C717A6"/>
    <w:rsid w:val="00C717C4"/>
    <w:rsid w:val="00C76EBF"/>
    <w:rsid w:val="00C77830"/>
    <w:rsid w:val="00C81CCD"/>
    <w:rsid w:val="00C9002C"/>
    <w:rsid w:val="00C90E77"/>
    <w:rsid w:val="00C93870"/>
    <w:rsid w:val="00CB4518"/>
    <w:rsid w:val="00CB51F5"/>
    <w:rsid w:val="00CB5CC1"/>
    <w:rsid w:val="00CC256F"/>
    <w:rsid w:val="00CC5916"/>
    <w:rsid w:val="00CD0DD9"/>
    <w:rsid w:val="00CD3EF1"/>
    <w:rsid w:val="00CE16E2"/>
    <w:rsid w:val="00CE4DD5"/>
    <w:rsid w:val="00CE7825"/>
    <w:rsid w:val="00CE7964"/>
    <w:rsid w:val="00CF160F"/>
    <w:rsid w:val="00CF439B"/>
    <w:rsid w:val="00CF7A04"/>
    <w:rsid w:val="00D0019D"/>
    <w:rsid w:val="00D01EEA"/>
    <w:rsid w:val="00D02F3B"/>
    <w:rsid w:val="00D03261"/>
    <w:rsid w:val="00D03AC5"/>
    <w:rsid w:val="00D04868"/>
    <w:rsid w:val="00D0644C"/>
    <w:rsid w:val="00D1076D"/>
    <w:rsid w:val="00D11C61"/>
    <w:rsid w:val="00D16705"/>
    <w:rsid w:val="00D17525"/>
    <w:rsid w:val="00D179E6"/>
    <w:rsid w:val="00D229FC"/>
    <w:rsid w:val="00D252B7"/>
    <w:rsid w:val="00D258E9"/>
    <w:rsid w:val="00D261DE"/>
    <w:rsid w:val="00D31D92"/>
    <w:rsid w:val="00D338AC"/>
    <w:rsid w:val="00D41083"/>
    <w:rsid w:val="00D4469C"/>
    <w:rsid w:val="00D458D4"/>
    <w:rsid w:val="00D47A37"/>
    <w:rsid w:val="00D47D81"/>
    <w:rsid w:val="00D47E93"/>
    <w:rsid w:val="00D511BC"/>
    <w:rsid w:val="00D53A52"/>
    <w:rsid w:val="00D54B8B"/>
    <w:rsid w:val="00D57E05"/>
    <w:rsid w:val="00D6008F"/>
    <w:rsid w:val="00D63993"/>
    <w:rsid w:val="00D67D63"/>
    <w:rsid w:val="00D71A88"/>
    <w:rsid w:val="00D71EEA"/>
    <w:rsid w:val="00D72335"/>
    <w:rsid w:val="00D73196"/>
    <w:rsid w:val="00D748E0"/>
    <w:rsid w:val="00D74BE2"/>
    <w:rsid w:val="00D75E2C"/>
    <w:rsid w:val="00D77F65"/>
    <w:rsid w:val="00D8001B"/>
    <w:rsid w:val="00D82C23"/>
    <w:rsid w:val="00D87A34"/>
    <w:rsid w:val="00D92531"/>
    <w:rsid w:val="00D950A5"/>
    <w:rsid w:val="00D96AC0"/>
    <w:rsid w:val="00DA2F17"/>
    <w:rsid w:val="00DA37EB"/>
    <w:rsid w:val="00DA6081"/>
    <w:rsid w:val="00DB1D56"/>
    <w:rsid w:val="00DB393E"/>
    <w:rsid w:val="00DB4013"/>
    <w:rsid w:val="00DB5582"/>
    <w:rsid w:val="00DB6524"/>
    <w:rsid w:val="00DB6C00"/>
    <w:rsid w:val="00DB7073"/>
    <w:rsid w:val="00DC11DD"/>
    <w:rsid w:val="00DC316C"/>
    <w:rsid w:val="00DC3980"/>
    <w:rsid w:val="00DC3C01"/>
    <w:rsid w:val="00DC7B35"/>
    <w:rsid w:val="00DD25B8"/>
    <w:rsid w:val="00DD26A8"/>
    <w:rsid w:val="00DD4861"/>
    <w:rsid w:val="00DD4C64"/>
    <w:rsid w:val="00DD5BE8"/>
    <w:rsid w:val="00DD7CD4"/>
    <w:rsid w:val="00DE11E8"/>
    <w:rsid w:val="00DE1A52"/>
    <w:rsid w:val="00DE580C"/>
    <w:rsid w:val="00DE77CD"/>
    <w:rsid w:val="00DF6DE4"/>
    <w:rsid w:val="00E01331"/>
    <w:rsid w:val="00E03489"/>
    <w:rsid w:val="00E059E1"/>
    <w:rsid w:val="00E05C8E"/>
    <w:rsid w:val="00E072C6"/>
    <w:rsid w:val="00E07412"/>
    <w:rsid w:val="00E07F92"/>
    <w:rsid w:val="00E11902"/>
    <w:rsid w:val="00E11DCC"/>
    <w:rsid w:val="00E12474"/>
    <w:rsid w:val="00E14B37"/>
    <w:rsid w:val="00E16A14"/>
    <w:rsid w:val="00E17564"/>
    <w:rsid w:val="00E201D4"/>
    <w:rsid w:val="00E2029E"/>
    <w:rsid w:val="00E2215B"/>
    <w:rsid w:val="00E25568"/>
    <w:rsid w:val="00E2614E"/>
    <w:rsid w:val="00E27104"/>
    <w:rsid w:val="00E273F3"/>
    <w:rsid w:val="00E323BE"/>
    <w:rsid w:val="00E376E2"/>
    <w:rsid w:val="00E410F3"/>
    <w:rsid w:val="00E412F1"/>
    <w:rsid w:val="00E431AC"/>
    <w:rsid w:val="00E445E1"/>
    <w:rsid w:val="00E458AE"/>
    <w:rsid w:val="00E45C96"/>
    <w:rsid w:val="00E45DE1"/>
    <w:rsid w:val="00E46A27"/>
    <w:rsid w:val="00E47CDB"/>
    <w:rsid w:val="00E5223E"/>
    <w:rsid w:val="00E55735"/>
    <w:rsid w:val="00E55DFA"/>
    <w:rsid w:val="00E566B0"/>
    <w:rsid w:val="00E56D25"/>
    <w:rsid w:val="00E61488"/>
    <w:rsid w:val="00E618AB"/>
    <w:rsid w:val="00E63074"/>
    <w:rsid w:val="00E63195"/>
    <w:rsid w:val="00E65F63"/>
    <w:rsid w:val="00E74899"/>
    <w:rsid w:val="00E75384"/>
    <w:rsid w:val="00E75F01"/>
    <w:rsid w:val="00E81231"/>
    <w:rsid w:val="00E839BC"/>
    <w:rsid w:val="00E87275"/>
    <w:rsid w:val="00E9168B"/>
    <w:rsid w:val="00E969B0"/>
    <w:rsid w:val="00EA34C3"/>
    <w:rsid w:val="00EA7059"/>
    <w:rsid w:val="00EA7F13"/>
    <w:rsid w:val="00EB0226"/>
    <w:rsid w:val="00EB26E1"/>
    <w:rsid w:val="00EB3147"/>
    <w:rsid w:val="00EB6606"/>
    <w:rsid w:val="00EC06DA"/>
    <w:rsid w:val="00EC2717"/>
    <w:rsid w:val="00EC352E"/>
    <w:rsid w:val="00EC355A"/>
    <w:rsid w:val="00EC62B7"/>
    <w:rsid w:val="00EC6B60"/>
    <w:rsid w:val="00ED02DC"/>
    <w:rsid w:val="00ED1840"/>
    <w:rsid w:val="00ED19AD"/>
    <w:rsid w:val="00ED2654"/>
    <w:rsid w:val="00ED2874"/>
    <w:rsid w:val="00ED2B58"/>
    <w:rsid w:val="00ED441A"/>
    <w:rsid w:val="00EE0A45"/>
    <w:rsid w:val="00EE10C1"/>
    <w:rsid w:val="00EE11B1"/>
    <w:rsid w:val="00EE2C89"/>
    <w:rsid w:val="00EE308C"/>
    <w:rsid w:val="00EE329C"/>
    <w:rsid w:val="00EE4B81"/>
    <w:rsid w:val="00EF06BB"/>
    <w:rsid w:val="00EF0B10"/>
    <w:rsid w:val="00EF0EC7"/>
    <w:rsid w:val="00EF150D"/>
    <w:rsid w:val="00EF49D0"/>
    <w:rsid w:val="00EF5B08"/>
    <w:rsid w:val="00F0031C"/>
    <w:rsid w:val="00F00A3F"/>
    <w:rsid w:val="00F015B7"/>
    <w:rsid w:val="00F07819"/>
    <w:rsid w:val="00F1199C"/>
    <w:rsid w:val="00F124E2"/>
    <w:rsid w:val="00F13973"/>
    <w:rsid w:val="00F152D9"/>
    <w:rsid w:val="00F16068"/>
    <w:rsid w:val="00F2164B"/>
    <w:rsid w:val="00F24F4D"/>
    <w:rsid w:val="00F256AA"/>
    <w:rsid w:val="00F27315"/>
    <w:rsid w:val="00F31BB9"/>
    <w:rsid w:val="00F3331D"/>
    <w:rsid w:val="00F36B82"/>
    <w:rsid w:val="00F370B0"/>
    <w:rsid w:val="00F45B3D"/>
    <w:rsid w:val="00F46981"/>
    <w:rsid w:val="00F501D9"/>
    <w:rsid w:val="00F535C4"/>
    <w:rsid w:val="00F544FA"/>
    <w:rsid w:val="00F57092"/>
    <w:rsid w:val="00F60E9B"/>
    <w:rsid w:val="00F61AE3"/>
    <w:rsid w:val="00F63CE7"/>
    <w:rsid w:val="00F67381"/>
    <w:rsid w:val="00F67B67"/>
    <w:rsid w:val="00F706EE"/>
    <w:rsid w:val="00F71F15"/>
    <w:rsid w:val="00F836C6"/>
    <w:rsid w:val="00F844C7"/>
    <w:rsid w:val="00F85786"/>
    <w:rsid w:val="00F86E54"/>
    <w:rsid w:val="00F87DF8"/>
    <w:rsid w:val="00F91808"/>
    <w:rsid w:val="00F9370A"/>
    <w:rsid w:val="00F96783"/>
    <w:rsid w:val="00F96A15"/>
    <w:rsid w:val="00FA04CB"/>
    <w:rsid w:val="00FA1CC6"/>
    <w:rsid w:val="00FA2084"/>
    <w:rsid w:val="00FA2584"/>
    <w:rsid w:val="00FA2837"/>
    <w:rsid w:val="00FA4325"/>
    <w:rsid w:val="00FA4515"/>
    <w:rsid w:val="00FB04E2"/>
    <w:rsid w:val="00FB1CA8"/>
    <w:rsid w:val="00FB2E5A"/>
    <w:rsid w:val="00FB3247"/>
    <w:rsid w:val="00FB3554"/>
    <w:rsid w:val="00FB494D"/>
    <w:rsid w:val="00FB5E7C"/>
    <w:rsid w:val="00FB68FE"/>
    <w:rsid w:val="00FB7342"/>
    <w:rsid w:val="00FC1015"/>
    <w:rsid w:val="00FC3E6B"/>
    <w:rsid w:val="00FC5078"/>
    <w:rsid w:val="00FC5269"/>
    <w:rsid w:val="00FC60D4"/>
    <w:rsid w:val="00FD33BB"/>
    <w:rsid w:val="00FD40D4"/>
    <w:rsid w:val="00FD50C9"/>
    <w:rsid w:val="00FD5107"/>
    <w:rsid w:val="00FD54D8"/>
    <w:rsid w:val="00FD6B99"/>
    <w:rsid w:val="00FE1CE9"/>
    <w:rsid w:val="00FE5500"/>
    <w:rsid w:val="00FE56A7"/>
    <w:rsid w:val="00FE5A89"/>
    <w:rsid w:val="00FE69DF"/>
    <w:rsid w:val="00FE6F10"/>
    <w:rsid w:val="00FE7543"/>
    <w:rsid w:val="00FF4654"/>
    <w:rsid w:val="00FF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0FF"/>
    <w:pPr>
      <w:spacing w:after="120"/>
      <w:jc w:val="both"/>
    </w:pPr>
    <w:rPr>
      <w:rFonts w:ascii="Times New Roman" w:hAnsi="Times New Roman"/>
    </w:rPr>
  </w:style>
  <w:style w:type="paragraph" w:styleId="Heading1">
    <w:name w:val="heading 1"/>
    <w:next w:val="NormalIndent"/>
    <w:qFormat/>
    <w:rsid w:val="00273510"/>
    <w:pPr>
      <w:keepNext/>
      <w:numPr>
        <w:numId w:val="1"/>
      </w:numPr>
      <w:tabs>
        <w:tab w:val="left" w:pos="567"/>
      </w:tabs>
      <w:spacing w:before="180" w:after="120"/>
      <w:outlineLvl w:val="0"/>
    </w:pPr>
    <w:rPr>
      <w:rFonts w:ascii="Times New Roman" w:hAnsi="Times New Roman"/>
      <w:b/>
      <w:caps/>
    </w:rPr>
  </w:style>
  <w:style w:type="paragraph" w:styleId="Heading2">
    <w:name w:val="heading 2"/>
    <w:next w:val="NormalIndent"/>
    <w:qFormat/>
    <w:rsid w:val="00273510"/>
    <w:pPr>
      <w:keepNext/>
      <w:numPr>
        <w:ilvl w:val="1"/>
        <w:numId w:val="1"/>
      </w:numPr>
      <w:spacing w:after="120"/>
      <w:outlineLvl w:val="1"/>
    </w:pPr>
    <w:rPr>
      <w:rFonts w:ascii="Times New Roman" w:hAnsi="Times New Roman"/>
      <w:b/>
    </w:rPr>
  </w:style>
  <w:style w:type="paragraph" w:styleId="Heading3">
    <w:name w:val="heading 3"/>
    <w:next w:val="IndentOne"/>
    <w:qFormat/>
    <w:rsid w:val="00273510"/>
    <w:pPr>
      <w:keepNext/>
      <w:numPr>
        <w:ilvl w:val="2"/>
        <w:numId w:val="1"/>
      </w:numPr>
      <w:spacing w:after="120"/>
      <w:outlineLvl w:val="2"/>
    </w:pPr>
    <w:rPr>
      <w:rFonts w:ascii="Times New Roman" w:hAnsi="Times New Roman"/>
      <w:b/>
    </w:rPr>
  </w:style>
  <w:style w:type="paragraph" w:styleId="Heading4">
    <w:name w:val="heading 4"/>
    <w:next w:val="NormalIndent"/>
    <w:qFormat/>
    <w:rsid w:val="00273510"/>
    <w:pPr>
      <w:keepNext/>
      <w:numPr>
        <w:ilvl w:val="3"/>
        <w:numId w:val="1"/>
      </w:numPr>
      <w:spacing w:before="240"/>
      <w:outlineLvl w:val="3"/>
    </w:pPr>
    <w:rPr>
      <w:rFonts w:ascii="Times New Roman" w:hAnsi="Times New Roman"/>
      <w:b/>
      <w:i/>
    </w:rPr>
  </w:style>
  <w:style w:type="paragraph" w:styleId="Heading5">
    <w:name w:val="heading 5"/>
    <w:next w:val="Normal"/>
    <w:qFormat/>
    <w:rsid w:val="00273510"/>
    <w:pPr>
      <w:keepNext/>
      <w:numPr>
        <w:ilvl w:val="4"/>
        <w:numId w:val="1"/>
      </w:numPr>
      <w:outlineLvl w:val="4"/>
    </w:pPr>
    <w:rPr>
      <w:rFonts w:ascii="Times New Roman" w:hAnsi="Times New Roman"/>
      <w:i/>
    </w:rPr>
  </w:style>
  <w:style w:type="paragraph" w:styleId="Heading6">
    <w:name w:val="heading 6"/>
    <w:basedOn w:val="Normal"/>
    <w:next w:val="NormalIndent"/>
    <w:qFormat/>
    <w:rsid w:val="00273510"/>
    <w:pPr>
      <w:numPr>
        <w:ilvl w:val="5"/>
        <w:numId w:val="1"/>
      </w:numPr>
      <w:outlineLvl w:val="5"/>
    </w:pPr>
    <w:rPr>
      <w:u w:val="single"/>
    </w:rPr>
  </w:style>
  <w:style w:type="paragraph" w:styleId="Heading7">
    <w:name w:val="heading 7"/>
    <w:basedOn w:val="Normal"/>
    <w:next w:val="NormalIndent"/>
    <w:qFormat/>
    <w:rsid w:val="00273510"/>
    <w:pPr>
      <w:numPr>
        <w:ilvl w:val="6"/>
        <w:numId w:val="1"/>
      </w:numPr>
      <w:outlineLvl w:val="6"/>
    </w:pPr>
    <w:rPr>
      <w:i/>
    </w:rPr>
  </w:style>
  <w:style w:type="paragraph" w:styleId="Heading8">
    <w:name w:val="heading 8"/>
    <w:basedOn w:val="Normal"/>
    <w:next w:val="NormalIndent"/>
    <w:qFormat/>
    <w:rsid w:val="00273510"/>
    <w:pPr>
      <w:numPr>
        <w:ilvl w:val="7"/>
        <w:numId w:val="1"/>
      </w:numPr>
      <w:outlineLvl w:val="7"/>
    </w:pPr>
    <w:rPr>
      <w:i/>
    </w:rPr>
  </w:style>
  <w:style w:type="paragraph" w:styleId="Heading9">
    <w:name w:val="heading 9"/>
    <w:basedOn w:val="Normal"/>
    <w:next w:val="NormalIndent"/>
    <w:qFormat/>
    <w:rsid w:val="00273510"/>
    <w:pPr>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rsid w:val="00273510"/>
    <w:pPr>
      <w:spacing w:after="120"/>
      <w:ind w:left="567"/>
      <w:jc w:val="both"/>
    </w:pPr>
    <w:rPr>
      <w:rFonts w:ascii="Times New Roman" w:hAnsi="Times New Roman"/>
    </w:rPr>
  </w:style>
  <w:style w:type="paragraph" w:customStyle="1" w:styleId="IndentOne">
    <w:name w:val="Indent One"/>
    <w:rsid w:val="00273510"/>
    <w:pPr>
      <w:spacing w:after="120"/>
      <w:ind w:left="567"/>
      <w:jc w:val="both"/>
    </w:pPr>
    <w:rPr>
      <w:rFonts w:ascii="Times New Roman" w:hAnsi="Times New Roman"/>
    </w:rPr>
  </w:style>
  <w:style w:type="character" w:styleId="CommentReference">
    <w:name w:val="annotation reference"/>
    <w:basedOn w:val="DefaultParagraphFont"/>
    <w:semiHidden/>
    <w:rsid w:val="00273510"/>
    <w:rPr>
      <w:rFonts w:ascii="Times New Roman" w:hAnsi="Times New Roman"/>
      <w:sz w:val="16"/>
    </w:rPr>
  </w:style>
  <w:style w:type="character" w:styleId="EndnoteReference">
    <w:name w:val="endnote reference"/>
    <w:basedOn w:val="DefaultParagraphFont"/>
    <w:semiHidden/>
    <w:rsid w:val="00273510"/>
    <w:rPr>
      <w:rFonts w:ascii="Times New Roman" w:hAnsi="Times New Roman"/>
      <w:vertAlign w:val="superscript"/>
    </w:rPr>
  </w:style>
  <w:style w:type="character" w:styleId="PageNumber">
    <w:name w:val="page number"/>
    <w:basedOn w:val="DefaultParagraphFont"/>
    <w:rsid w:val="00273510"/>
    <w:rPr>
      <w:rFonts w:ascii="Times New Roman" w:hAnsi="Times New Roman"/>
    </w:rPr>
  </w:style>
  <w:style w:type="paragraph" w:styleId="TOC3">
    <w:name w:val="toc 3"/>
    <w:basedOn w:val="Normal"/>
    <w:next w:val="Normal"/>
    <w:semiHidden/>
    <w:rsid w:val="00273510"/>
    <w:pPr>
      <w:tabs>
        <w:tab w:val="left" w:pos="2127"/>
        <w:tab w:val="right" w:pos="8930"/>
      </w:tabs>
      <w:spacing w:after="0"/>
      <w:ind w:left="1418" w:right="851"/>
    </w:pPr>
    <w:rPr>
      <w:sz w:val="24"/>
    </w:rPr>
  </w:style>
  <w:style w:type="paragraph" w:styleId="TOC2">
    <w:name w:val="toc 2"/>
    <w:basedOn w:val="Normal"/>
    <w:next w:val="Normal"/>
    <w:semiHidden/>
    <w:rsid w:val="00273510"/>
    <w:pPr>
      <w:tabs>
        <w:tab w:val="left" w:pos="1418"/>
        <w:tab w:val="right" w:pos="8930"/>
      </w:tabs>
      <w:spacing w:after="0"/>
      <w:ind w:left="709" w:right="851"/>
    </w:pPr>
    <w:rPr>
      <w:sz w:val="24"/>
    </w:rPr>
  </w:style>
  <w:style w:type="paragraph" w:styleId="TOC1">
    <w:name w:val="toc 1"/>
    <w:next w:val="Normal"/>
    <w:uiPriority w:val="39"/>
    <w:rsid w:val="00273510"/>
    <w:pPr>
      <w:keepLines/>
      <w:tabs>
        <w:tab w:val="right" w:pos="9356"/>
      </w:tabs>
      <w:spacing w:after="500"/>
      <w:ind w:right="851"/>
    </w:pPr>
    <w:rPr>
      <w:rFonts w:ascii="Times New Roman" w:hAnsi="Times New Roman"/>
      <w:b/>
    </w:rPr>
  </w:style>
  <w:style w:type="paragraph" w:styleId="Index7">
    <w:name w:val="index 7"/>
    <w:basedOn w:val="Normal"/>
    <w:next w:val="Normal"/>
    <w:semiHidden/>
    <w:rsid w:val="00273510"/>
    <w:pPr>
      <w:ind w:left="1698"/>
    </w:pPr>
  </w:style>
  <w:style w:type="paragraph" w:styleId="Index6">
    <w:name w:val="index 6"/>
    <w:basedOn w:val="Normal"/>
    <w:next w:val="Normal"/>
    <w:semiHidden/>
    <w:rsid w:val="00273510"/>
    <w:pPr>
      <w:ind w:left="1415"/>
    </w:pPr>
  </w:style>
  <w:style w:type="paragraph" w:styleId="Index5">
    <w:name w:val="index 5"/>
    <w:basedOn w:val="Normal"/>
    <w:next w:val="Normal"/>
    <w:semiHidden/>
    <w:rsid w:val="00273510"/>
    <w:pPr>
      <w:ind w:left="1132"/>
    </w:pPr>
  </w:style>
  <w:style w:type="paragraph" w:styleId="Index4">
    <w:name w:val="index 4"/>
    <w:basedOn w:val="Normal"/>
    <w:next w:val="Normal"/>
    <w:semiHidden/>
    <w:rsid w:val="00273510"/>
    <w:pPr>
      <w:ind w:left="849"/>
    </w:pPr>
  </w:style>
  <w:style w:type="paragraph" w:styleId="Index3">
    <w:name w:val="index 3"/>
    <w:basedOn w:val="Normal"/>
    <w:next w:val="Normal"/>
    <w:semiHidden/>
    <w:rsid w:val="00273510"/>
    <w:pPr>
      <w:ind w:left="566"/>
    </w:pPr>
  </w:style>
  <w:style w:type="paragraph" w:styleId="Index2">
    <w:name w:val="index 2"/>
    <w:basedOn w:val="Normal"/>
    <w:next w:val="Normal"/>
    <w:semiHidden/>
    <w:rsid w:val="00273510"/>
    <w:pPr>
      <w:ind w:left="283"/>
    </w:pPr>
  </w:style>
  <w:style w:type="character" w:styleId="LineNumber">
    <w:name w:val="line number"/>
    <w:basedOn w:val="DefaultParagraphFont"/>
    <w:rsid w:val="00273510"/>
    <w:rPr>
      <w:rFonts w:ascii="Times New Roman" w:hAnsi="Times New Roman"/>
    </w:rPr>
  </w:style>
  <w:style w:type="paragraph" w:styleId="IndexHeading">
    <w:name w:val="index heading"/>
    <w:basedOn w:val="Normal"/>
    <w:next w:val="Normal"/>
    <w:semiHidden/>
    <w:rsid w:val="00273510"/>
  </w:style>
  <w:style w:type="paragraph" w:styleId="Footer">
    <w:name w:val="footer"/>
    <w:link w:val="FooterChar"/>
    <w:uiPriority w:val="99"/>
    <w:rsid w:val="00273510"/>
    <w:pPr>
      <w:jc w:val="right"/>
    </w:pPr>
    <w:rPr>
      <w:rFonts w:ascii="Times New Roman" w:hAnsi="Times New Roman"/>
      <w:i/>
    </w:rPr>
  </w:style>
  <w:style w:type="paragraph" w:styleId="Header">
    <w:name w:val="header"/>
    <w:link w:val="HeaderChar"/>
    <w:rsid w:val="00273510"/>
    <w:pPr>
      <w:framePr w:hSpace="181" w:vSpace="181" w:wrap="auto" w:vAnchor="page" w:hAnchor="margin" w:xAlign="right" w:y="634"/>
    </w:pPr>
    <w:rPr>
      <w:rFonts w:ascii="Times New Roman" w:hAnsi="Times New Roman"/>
      <w:b/>
      <w:sz w:val="24"/>
    </w:rPr>
  </w:style>
  <w:style w:type="character" w:styleId="FootnoteReference">
    <w:name w:val="footnote reference"/>
    <w:basedOn w:val="DefaultParagraphFont"/>
    <w:semiHidden/>
    <w:rsid w:val="00273510"/>
    <w:rPr>
      <w:rFonts w:ascii="Times New Roman" w:hAnsi="Times New Roman"/>
      <w:position w:val="6"/>
      <w:sz w:val="16"/>
    </w:rPr>
  </w:style>
  <w:style w:type="paragraph" w:styleId="FootnoteText">
    <w:name w:val="footnote text"/>
    <w:aliases w:val="ARM footnote Text,Footnote Text Char2,Footnote Text Char11,Footnote Text Char3,Footnote Text Char4,Footnote Text Char5,Footnote Text Char6,Footnote Text Char12,Footnote Text Char21,Footnote Text Char31,Footnote New, Ch"/>
    <w:basedOn w:val="Normal"/>
    <w:link w:val="FootnoteTextChar"/>
    <w:semiHidden/>
    <w:rsid w:val="00273510"/>
  </w:style>
  <w:style w:type="paragraph" w:customStyle="1" w:styleId="Tindent">
    <w:name w:val="Tindent"/>
    <w:basedOn w:val="Tnormal"/>
    <w:rsid w:val="00273510"/>
    <w:pPr>
      <w:tabs>
        <w:tab w:val="clear" w:pos="284"/>
        <w:tab w:val="left" w:pos="851"/>
      </w:tabs>
      <w:ind w:left="709"/>
    </w:pPr>
  </w:style>
  <w:style w:type="paragraph" w:customStyle="1" w:styleId="Tnormal">
    <w:name w:val="Tnormal"/>
    <w:basedOn w:val="NoSpace"/>
    <w:rsid w:val="00273510"/>
    <w:pPr>
      <w:keepNext/>
      <w:tabs>
        <w:tab w:val="left" w:pos="284"/>
      </w:tabs>
      <w:ind w:left="142" w:hanging="142"/>
      <w:jc w:val="left"/>
    </w:pPr>
  </w:style>
  <w:style w:type="paragraph" w:customStyle="1" w:styleId="NoSpace">
    <w:name w:val="No Space"/>
    <w:basedOn w:val="Normal"/>
    <w:rsid w:val="00273510"/>
    <w:pPr>
      <w:spacing w:after="0"/>
    </w:pPr>
  </w:style>
  <w:style w:type="paragraph" w:customStyle="1" w:styleId="B0">
    <w:name w:val="B0"/>
    <w:basedOn w:val="Normal"/>
    <w:rsid w:val="00273510"/>
    <w:pPr>
      <w:spacing w:after="113" w:line="57" w:lineRule="exact"/>
      <w:jc w:val="left"/>
    </w:pPr>
  </w:style>
  <w:style w:type="paragraph" w:customStyle="1" w:styleId="RJ">
    <w:name w:val="RJ"/>
    <w:basedOn w:val="Thead"/>
    <w:rsid w:val="00273510"/>
    <w:rPr>
      <w:b w:val="0"/>
    </w:rPr>
  </w:style>
  <w:style w:type="paragraph" w:customStyle="1" w:styleId="Thead">
    <w:name w:val="Thead"/>
    <w:basedOn w:val="Tdec"/>
    <w:rsid w:val="00273510"/>
    <w:pPr>
      <w:keepNext/>
      <w:tabs>
        <w:tab w:val="clear" w:pos="993"/>
      </w:tabs>
      <w:ind w:right="86"/>
      <w:jc w:val="right"/>
    </w:pPr>
    <w:rPr>
      <w:b/>
    </w:rPr>
  </w:style>
  <w:style w:type="paragraph" w:customStyle="1" w:styleId="Tdec">
    <w:name w:val="Tdec"/>
    <w:basedOn w:val="NoSpace"/>
    <w:rsid w:val="00273510"/>
    <w:pPr>
      <w:tabs>
        <w:tab w:val="decimal" w:pos="993"/>
      </w:tabs>
      <w:ind w:right="-6"/>
    </w:pPr>
  </w:style>
  <w:style w:type="paragraph" w:customStyle="1" w:styleId="S9">
    <w:name w:val="S9"/>
    <w:basedOn w:val="B0"/>
    <w:rsid w:val="00273510"/>
    <w:pPr>
      <w:pBdr>
        <w:bottom w:val="single" w:sz="6" w:space="1" w:color="auto"/>
        <w:between w:val="single" w:sz="6" w:space="1" w:color="auto"/>
      </w:pBdr>
      <w:ind w:left="170" w:right="113"/>
    </w:pPr>
  </w:style>
  <w:style w:type="paragraph" w:customStyle="1" w:styleId="S11">
    <w:name w:val="S11"/>
    <w:basedOn w:val="S9"/>
    <w:next w:val="S9"/>
    <w:rsid w:val="00273510"/>
    <w:pPr>
      <w:ind w:left="57"/>
    </w:pPr>
  </w:style>
  <w:style w:type="paragraph" w:customStyle="1" w:styleId="D11">
    <w:name w:val="D11"/>
    <w:basedOn w:val="S11"/>
    <w:rsid w:val="00273510"/>
    <w:pPr>
      <w:pBdr>
        <w:bottom w:val="double" w:sz="6" w:space="1" w:color="auto"/>
        <w:between w:val="double" w:sz="6" w:space="1" w:color="auto"/>
      </w:pBdr>
    </w:pPr>
  </w:style>
  <w:style w:type="paragraph" w:customStyle="1" w:styleId="Advisers">
    <w:name w:val="Advisers"/>
    <w:basedOn w:val="Normal"/>
    <w:next w:val="NoSpace"/>
    <w:rsid w:val="00273510"/>
    <w:pPr>
      <w:spacing w:before="180"/>
    </w:pPr>
    <w:rPr>
      <w:b/>
      <w:smallCaps/>
      <w:sz w:val="24"/>
    </w:rPr>
  </w:style>
  <w:style w:type="paragraph" w:customStyle="1" w:styleId="S7">
    <w:name w:val="S7"/>
    <w:basedOn w:val="B0"/>
    <w:rsid w:val="00273510"/>
    <w:pPr>
      <w:pBdr>
        <w:bottom w:val="single" w:sz="6" w:space="1" w:color="auto"/>
        <w:between w:val="single" w:sz="6" w:space="1" w:color="auto"/>
      </w:pBdr>
      <w:ind w:left="340" w:right="113"/>
    </w:pPr>
  </w:style>
  <w:style w:type="paragraph" w:customStyle="1" w:styleId="D3">
    <w:name w:val="D3"/>
    <w:basedOn w:val="S3"/>
    <w:rsid w:val="00273510"/>
    <w:pPr>
      <w:pBdr>
        <w:bottom w:val="double" w:sz="6" w:space="1" w:color="auto"/>
        <w:between w:val="double" w:sz="6" w:space="1" w:color="auto"/>
      </w:pBdr>
    </w:pPr>
  </w:style>
  <w:style w:type="paragraph" w:customStyle="1" w:styleId="S3">
    <w:name w:val="S3"/>
    <w:basedOn w:val="B0"/>
    <w:rsid w:val="00273510"/>
    <w:pPr>
      <w:pBdr>
        <w:bottom w:val="single" w:sz="6" w:space="1" w:color="auto"/>
        <w:between w:val="single" w:sz="6" w:space="1" w:color="auto"/>
      </w:pBdr>
      <w:ind w:left="737" w:right="113"/>
    </w:pPr>
  </w:style>
  <w:style w:type="paragraph" w:customStyle="1" w:styleId="D9">
    <w:name w:val="D9"/>
    <w:basedOn w:val="S9"/>
    <w:rsid w:val="00273510"/>
    <w:pPr>
      <w:pBdr>
        <w:bottom w:val="double" w:sz="6" w:space="1" w:color="auto"/>
        <w:between w:val="double" w:sz="6" w:space="1" w:color="auto"/>
      </w:pBdr>
    </w:pPr>
  </w:style>
  <w:style w:type="paragraph" w:customStyle="1" w:styleId="S5">
    <w:name w:val="S5"/>
    <w:basedOn w:val="B0"/>
    <w:rsid w:val="00273510"/>
    <w:pPr>
      <w:pBdr>
        <w:bottom w:val="single" w:sz="6" w:space="1" w:color="auto"/>
        <w:between w:val="single" w:sz="6" w:space="1" w:color="auto"/>
      </w:pBdr>
      <w:ind w:left="567" w:right="113"/>
    </w:pPr>
  </w:style>
  <w:style w:type="paragraph" w:customStyle="1" w:styleId="Zspace">
    <w:name w:val="Zspace"/>
    <w:basedOn w:val="B0"/>
    <w:rsid w:val="00273510"/>
    <w:pPr>
      <w:spacing w:line="6" w:lineRule="exact"/>
    </w:pPr>
  </w:style>
  <w:style w:type="paragraph" w:customStyle="1" w:styleId="D7">
    <w:name w:val="D7"/>
    <w:basedOn w:val="S7"/>
    <w:rsid w:val="00273510"/>
    <w:pPr>
      <w:pBdr>
        <w:bottom w:val="double" w:sz="6" w:space="1" w:color="auto"/>
        <w:between w:val="double" w:sz="6" w:space="1" w:color="auto"/>
      </w:pBdr>
    </w:pPr>
  </w:style>
  <w:style w:type="paragraph" w:customStyle="1" w:styleId="T">
    <w:name w:val="T%"/>
    <w:basedOn w:val="Tdec"/>
    <w:next w:val="Tdec"/>
    <w:rsid w:val="00273510"/>
    <w:pPr>
      <w:tabs>
        <w:tab w:val="clear" w:pos="993"/>
        <w:tab w:val="decimal" w:pos="766"/>
      </w:tabs>
      <w:jc w:val="left"/>
    </w:pPr>
  </w:style>
  <w:style w:type="paragraph" w:customStyle="1" w:styleId="D5">
    <w:name w:val="D5"/>
    <w:basedOn w:val="S5"/>
    <w:rsid w:val="00273510"/>
    <w:pPr>
      <w:pBdr>
        <w:bottom w:val="double" w:sz="6" w:space="1" w:color="auto"/>
        <w:between w:val="double" w:sz="6" w:space="1" w:color="auto"/>
      </w:pBdr>
    </w:pPr>
  </w:style>
  <w:style w:type="paragraph" w:customStyle="1" w:styleId="Rheading">
    <w:name w:val="Rheading"/>
    <w:basedOn w:val="Normal"/>
    <w:next w:val="Normal"/>
    <w:rsid w:val="00273510"/>
    <w:pPr>
      <w:keepNext/>
      <w:spacing w:before="180"/>
      <w:ind w:left="142" w:hanging="142"/>
      <w:jc w:val="left"/>
    </w:pPr>
    <w:rPr>
      <w:b/>
      <w:caps/>
    </w:rPr>
  </w:style>
  <w:style w:type="paragraph" w:customStyle="1" w:styleId="scale">
    <w:name w:val="scale"/>
    <w:basedOn w:val="Tindent"/>
    <w:rsid w:val="00273510"/>
    <w:pPr>
      <w:tabs>
        <w:tab w:val="clear" w:pos="851"/>
        <w:tab w:val="right" w:pos="1418"/>
        <w:tab w:val="center" w:pos="1843"/>
        <w:tab w:val="left" w:pos="2269"/>
        <w:tab w:val="right" w:pos="2977"/>
      </w:tabs>
      <w:ind w:left="567" w:firstLine="0"/>
    </w:pPr>
  </w:style>
  <w:style w:type="paragraph" w:customStyle="1" w:styleId="Tnote">
    <w:name w:val="Tnote"/>
    <w:basedOn w:val="Tdec"/>
    <w:rsid w:val="00273510"/>
    <w:pPr>
      <w:tabs>
        <w:tab w:val="clear" w:pos="993"/>
      </w:tabs>
      <w:ind w:right="86"/>
      <w:jc w:val="right"/>
    </w:pPr>
  </w:style>
  <w:style w:type="paragraph" w:customStyle="1" w:styleId="TableSingle">
    <w:name w:val="Table Single"/>
    <w:basedOn w:val="Normal"/>
    <w:rsid w:val="00273510"/>
    <w:pPr>
      <w:pBdr>
        <w:bottom w:val="single" w:sz="6" w:space="1" w:color="auto"/>
        <w:between w:val="single" w:sz="6" w:space="1" w:color="auto"/>
      </w:pBdr>
      <w:spacing w:line="120" w:lineRule="exact"/>
    </w:pPr>
    <w:rPr>
      <w:sz w:val="24"/>
    </w:rPr>
  </w:style>
  <w:style w:type="paragraph" w:customStyle="1" w:styleId="TableDouble">
    <w:name w:val="Table Double"/>
    <w:basedOn w:val="TableSingle"/>
    <w:rsid w:val="00273510"/>
    <w:pPr>
      <w:pBdr>
        <w:bottom w:val="double" w:sz="6" w:space="1" w:color="auto"/>
        <w:between w:val="double" w:sz="6" w:space="1" w:color="auto"/>
      </w:pBdr>
    </w:pPr>
  </w:style>
  <w:style w:type="paragraph" w:customStyle="1" w:styleId="ReduceSingle">
    <w:name w:val="Reduce Single"/>
    <w:basedOn w:val="TableSingle"/>
    <w:rsid w:val="00273510"/>
    <w:pPr>
      <w:spacing w:after="60" w:line="60" w:lineRule="exact"/>
    </w:pPr>
  </w:style>
  <w:style w:type="paragraph" w:customStyle="1" w:styleId="ReduceDouble">
    <w:name w:val="Reduce Double"/>
    <w:basedOn w:val="ReduceSingle"/>
    <w:rsid w:val="00273510"/>
    <w:pPr>
      <w:pBdr>
        <w:bottom w:val="double" w:sz="6" w:space="1" w:color="auto"/>
        <w:between w:val="double" w:sz="6" w:space="1" w:color="auto"/>
      </w:pBdr>
    </w:pPr>
  </w:style>
  <w:style w:type="paragraph" w:customStyle="1" w:styleId="ReduceLine">
    <w:name w:val="Reduce Line"/>
    <w:basedOn w:val="ReduceSingle"/>
    <w:rsid w:val="00273510"/>
    <w:pPr>
      <w:pBdr>
        <w:bottom w:val="none" w:sz="0" w:space="0" w:color="auto"/>
        <w:between w:val="none" w:sz="0" w:space="0" w:color="auto"/>
      </w:pBdr>
    </w:pPr>
  </w:style>
  <w:style w:type="paragraph" w:customStyle="1" w:styleId="Sheading">
    <w:name w:val="Sheading"/>
    <w:basedOn w:val="Heading1"/>
    <w:next w:val="NormalIndent"/>
    <w:rsid w:val="00273510"/>
    <w:pPr>
      <w:numPr>
        <w:numId w:val="0"/>
      </w:numPr>
      <w:ind w:left="709" w:hanging="709"/>
      <w:outlineLvl w:val="9"/>
    </w:pPr>
    <w:rPr>
      <w:caps w:val="0"/>
    </w:rPr>
  </w:style>
  <w:style w:type="table" w:styleId="TableGrid">
    <w:name w:val="Table Grid"/>
    <w:basedOn w:val="TableNormal"/>
    <w:rsid w:val="0062416F"/>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42D78"/>
    <w:rPr>
      <w:rFonts w:ascii="Tahoma" w:hAnsi="Tahoma" w:cs="Tahoma"/>
      <w:sz w:val="16"/>
      <w:szCs w:val="16"/>
    </w:rPr>
  </w:style>
  <w:style w:type="paragraph" w:styleId="List">
    <w:name w:val="List"/>
    <w:basedOn w:val="Normal"/>
    <w:rsid w:val="00EC355A"/>
    <w:pPr>
      <w:ind w:left="283" w:hanging="283"/>
    </w:pPr>
    <w:rPr>
      <w:lang w:eastAsia="en-US"/>
    </w:rPr>
  </w:style>
  <w:style w:type="paragraph" w:styleId="ListParagraph">
    <w:name w:val="List Paragraph"/>
    <w:basedOn w:val="Normal"/>
    <w:qFormat/>
    <w:rsid w:val="0002148A"/>
    <w:pPr>
      <w:spacing w:after="200" w:line="276" w:lineRule="auto"/>
      <w:ind w:left="720"/>
      <w:contextualSpacing/>
      <w:jc w:val="left"/>
    </w:pPr>
    <w:rPr>
      <w:rFonts w:ascii="Calibri" w:eastAsia="Calibri" w:hAnsi="Calibri"/>
      <w:sz w:val="22"/>
      <w:szCs w:val="22"/>
      <w:lang w:val="en-US" w:eastAsia="en-US"/>
    </w:rPr>
  </w:style>
  <w:style w:type="paragraph" w:styleId="CommentText">
    <w:name w:val="annotation text"/>
    <w:basedOn w:val="Normal"/>
    <w:link w:val="CommentTextChar"/>
    <w:rsid w:val="00301E15"/>
  </w:style>
  <w:style w:type="character" w:customStyle="1" w:styleId="CommentTextChar">
    <w:name w:val="Comment Text Char"/>
    <w:basedOn w:val="DefaultParagraphFont"/>
    <w:link w:val="CommentText"/>
    <w:rsid w:val="00301E15"/>
    <w:rPr>
      <w:rFonts w:ascii="Times New Roman" w:hAnsi="Times New Roman"/>
    </w:rPr>
  </w:style>
  <w:style w:type="paragraph" w:styleId="CommentSubject">
    <w:name w:val="annotation subject"/>
    <w:basedOn w:val="CommentText"/>
    <w:next w:val="CommentText"/>
    <w:link w:val="CommentSubjectChar"/>
    <w:rsid w:val="00301E15"/>
    <w:rPr>
      <w:b/>
      <w:bCs/>
    </w:rPr>
  </w:style>
  <w:style w:type="character" w:customStyle="1" w:styleId="CommentSubjectChar">
    <w:name w:val="Comment Subject Char"/>
    <w:basedOn w:val="CommentTextChar"/>
    <w:link w:val="CommentSubject"/>
    <w:rsid w:val="00301E15"/>
    <w:rPr>
      <w:rFonts w:ascii="Times New Roman" w:hAnsi="Times New Roman"/>
      <w:b/>
      <w:bCs/>
    </w:rPr>
  </w:style>
  <w:style w:type="paragraph" w:styleId="Revision">
    <w:name w:val="Revision"/>
    <w:hidden/>
    <w:uiPriority w:val="99"/>
    <w:semiHidden/>
    <w:rsid w:val="00173694"/>
    <w:rPr>
      <w:rFonts w:ascii="Times New Roman" w:hAnsi="Times New Roman"/>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 Ch Char"/>
    <w:basedOn w:val="DefaultParagraphFont"/>
    <w:link w:val="FootnoteText"/>
    <w:semiHidden/>
    <w:rsid w:val="008109AB"/>
    <w:rPr>
      <w:rFonts w:ascii="Times New Roman" w:hAnsi="Times New Roman"/>
    </w:rPr>
  </w:style>
  <w:style w:type="paragraph" w:styleId="NoSpacing">
    <w:name w:val="No Spacing"/>
    <w:uiPriority w:val="1"/>
    <w:qFormat/>
    <w:rsid w:val="00431E59"/>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4C7821"/>
    <w:pPr>
      <w:spacing w:after="0"/>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C7821"/>
    <w:rPr>
      <w:rFonts w:ascii="Calibri" w:eastAsiaTheme="minorHAnsi" w:hAnsi="Calibri" w:cstheme="minorBidi"/>
      <w:sz w:val="22"/>
      <w:szCs w:val="21"/>
      <w:lang w:eastAsia="en-US"/>
    </w:rPr>
  </w:style>
  <w:style w:type="character" w:customStyle="1" w:styleId="HeaderChar">
    <w:name w:val="Header Char"/>
    <w:link w:val="Header"/>
    <w:rsid w:val="00AC0FF4"/>
    <w:rPr>
      <w:rFonts w:ascii="Times New Roman" w:hAnsi="Times New Roman"/>
      <w:b/>
      <w:sz w:val="24"/>
    </w:rPr>
  </w:style>
  <w:style w:type="character" w:customStyle="1" w:styleId="FooterChar">
    <w:name w:val="Footer Char"/>
    <w:basedOn w:val="DefaultParagraphFont"/>
    <w:link w:val="Footer"/>
    <w:uiPriority w:val="99"/>
    <w:rsid w:val="00270CEB"/>
    <w:rPr>
      <w:rFonts w:ascii="Times New Roman" w:hAnsi="Times New Roman"/>
      <w:i/>
    </w:rPr>
  </w:style>
  <w:style w:type="paragraph" w:styleId="TOCHeading">
    <w:name w:val="TOC Heading"/>
    <w:basedOn w:val="Heading1"/>
    <w:next w:val="Normal"/>
    <w:uiPriority w:val="39"/>
    <w:semiHidden/>
    <w:unhideWhenUsed/>
    <w:qFormat/>
    <w:rsid w:val="00656B26"/>
    <w:pPr>
      <w:keepLines/>
      <w:numPr>
        <w:numId w:val="0"/>
      </w:numPr>
      <w:tabs>
        <w:tab w:val="clear" w:pos="567"/>
      </w:tab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styleId="Hyperlink">
    <w:name w:val="Hyperlink"/>
    <w:basedOn w:val="DefaultParagraphFont"/>
    <w:uiPriority w:val="99"/>
    <w:unhideWhenUsed/>
    <w:rsid w:val="00656B26"/>
    <w:rPr>
      <w:color w:val="0000FF" w:themeColor="hyperlink"/>
      <w:u w:val="single"/>
    </w:rPr>
  </w:style>
  <w:style w:type="paragraph" w:customStyle="1" w:styleId="Default">
    <w:name w:val="Default"/>
    <w:rsid w:val="00CE796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0FF"/>
    <w:pPr>
      <w:spacing w:after="120"/>
      <w:jc w:val="both"/>
    </w:pPr>
    <w:rPr>
      <w:rFonts w:ascii="Times New Roman" w:hAnsi="Times New Roman"/>
    </w:rPr>
  </w:style>
  <w:style w:type="paragraph" w:styleId="Heading1">
    <w:name w:val="heading 1"/>
    <w:next w:val="NormalIndent"/>
    <w:qFormat/>
    <w:rsid w:val="00273510"/>
    <w:pPr>
      <w:keepNext/>
      <w:numPr>
        <w:numId w:val="1"/>
      </w:numPr>
      <w:tabs>
        <w:tab w:val="left" w:pos="567"/>
      </w:tabs>
      <w:spacing w:before="180" w:after="120"/>
      <w:outlineLvl w:val="0"/>
    </w:pPr>
    <w:rPr>
      <w:rFonts w:ascii="Times New Roman" w:hAnsi="Times New Roman"/>
      <w:b/>
      <w:caps/>
    </w:rPr>
  </w:style>
  <w:style w:type="paragraph" w:styleId="Heading2">
    <w:name w:val="heading 2"/>
    <w:next w:val="NormalIndent"/>
    <w:qFormat/>
    <w:rsid w:val="00273510"/>
    <w:pPr>
      <w:keepNext/>
      <w:numPr>
        <w:ilvl w:val="1"/>
        <w:numId w:val="1"/>
      </w:numPr>
      <w:spacing w:after="120"/>
      <w:outlineLvl w:val="1"/>
    </w:pPr>
    <w:rPr>
      <w:rFonts w:ascii="Times New Roman" w:hAnsi="Times New Roman"/>
      <w:b/>
    </w:rPr>
  </w:style>
  <w:style w:type="paragraph" w:styleId="Heading3">
    <w:name w:val="heading 3"/>
    <w:next w:val="IndentOne"/>
    <w:qFormat/>
    <w:rsid w:val="00273510"/>
    <w:pPr>
      <w:keepNext/>
      <w:numPr>
        <w:ilvl w:val="2"/>
        <w:numId w:val="1"/>
      </w:numPr>
      <w:spacing w:after="120"/>
      <w:outlineLvl w:val="2"/>
    </w:pPr>
    <w:rPr>
      <w:rFonts w:ascii="Times New Roman" w:hAnsi="Times New Roman"/>
      <w:b/>
    </w:rPr>
  </w:style>
  <w:style w:type="paragraph" w:styleId="Heading4">
    <w:name w:val="heading 4"/>
    <w:next w:val="NormalIndent"/>
    <w:qFormat/>
    <w:rsid w:val="00273510"/>
    <w:pPr>
      <w:keepNext/>
      <w:numPr>
        <w:ilvl w:val="3"/>
        <w:numId w:val="1"/>
      </w:numPr>
      <w:spacing w:before="240"/>
      <w:outlineLvl w:val="3"/>
    </w:pPr>
    <w:rPr>
      <w:rFonts w:ascii="Times New Roman" w:hAnsi="Times New Roman"/>
      <w:b/>
      <w:i/>
    </w:rPr>
  </w:style>
  <w:style w:type="paragraph" w:styleId="Heading5">
    <w:name w:val="heading 5"/>
    <w:next w:val="Normal"/>
    <w:qFormat/>
    <w:rsid w:val="00273510"/>
    <w:pPr>
      <w:keepNext/>
      <w:numPr>
        <w:ilvl w:val="4"/>
        <w:numId w:val="1"/>
      </w:numPr>
      <w:outlineLvl w:val="4"/>
    </w:pPr>
    <w:rPr>
      <w:rFonts w:ascii="Times New Roman" w:hAnsi="Times New Roman"/>
      <w:i/>
    </w:rPr>
  </w:style>
  <w:style w:type="paragraph" w:styleId="Heading6">
    <w:name w:val="heading 6"/>
    <w:basedOn w:val="Normal"/>
    <w:next w:val="NormalIndent"/>
    <w:qFormat/>
    <w:rsid w:val="00273510"/>
    <w:pPr>
      <w:numPr>
        <w:ilvl w:val="5"/>
        <w:numId w:val="1"/>
      </w:numPr>
      <w:outlineLvl w:val="5"/>
    </w:pPr>
    <w:rPr>
      <w:u w:val="single"/>
    </w:rPr>
  </w:style>
  <w:style w:type="paragraph" w:styleId="Heading7">
    <w:name w:val="heading 7"/>
    <w:basedOn w:val="Normal"/>
    <w:next w:val="NormalIndent"/>
    <w:qFormat/>
    <w:rsid w:val="00273510"/>
    <w:pPr>
      <w:numPr>
        <w:ilvl w:val="6"/>
        <w:numId w:val="1"/>
      </w:numPr>
      <w:outlineLvl w:val="6"/>
    </w:pPr>
    <w:rPr>
      <w:i/>
    </w:rPr>
  </w:style>
  <w:style w:type="paragraph" w:styleId="Heading8">
    <w:name w:val="heading 8"/>
    <w:basedOn w:val="Normal"/>
    <w:next w:val="NormalIndent"/>
    <w:qFormat/>
    <w:rsid w:val="00273510"/>
    <w:pPr>
      <w:numPr>
        <w:ilvl w:val="7"/>
        <w:numId w:val="1"/>
      </w:numPr>
      <w:outlineLvl w:val="7"/>
    </w:pPr>
    <w:rPr>
      <w:i/>
    </w:rPr>
  </w:style>
  <w:style w:type="paragraph" w:styleId="Heading9">
    <w:name w:val="heading 9"/>
    <w:basedOn w:val="Normal"/>
    <w:next w:val="NormalIndent"/>
    <w:qFormat/>
    <w:rsid w:val="00273510"/>
    <w:pPr>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rsid w:val="00273510"/>
    <w:pPr>
      <w:spacing w:after="120"/>
      <w:ind w:left="567"/>
      <w:jc w:val="both"/>
    </w:pPr>
    <w:rPr>
      <w:rFonts w:ascii="Times New Roman" w:hAnsi="Times New Roman"/>
    </w:rPr>
  </w:style>
  <w:style w:type="paragraph" w:customStyle="1" w:styleId="IndentOne">
    <w:name w:val="Indent One"/>
    <w:rsid w:val="00273510"/>
    <w:pPr>
      <w:spacing w:after="120"/>
      <w:ind w:left="567"/>
      <w:jc w:val="both"/>
    </w:pPr>
    <w:rPr>
      <w:rFonts w:ascii="Times New Roman" w:hAnsi="Times New Roman"/>
    </w:rPr>
  </w:style>
  <w:style w:type="character" w:styleId="CommentReference">
    <w:name w:val="annotation reference"/>
    <w:basedOn w:val="DefaultParagraphFont"/>
    <w:semiHidden/>
    <w:rsid w:val="00273510"/>
    <w:rPr>
      <w:rFonts w:ascii="Times New Roman" w:hAnsi="Times New Roman"/>
      <w:sz w:val="16"/>
    </w:rPr>
  </w:style>
  <w:style w:type="character" w:styleId="EndnoteReference">
    <w:name w:val="endnote reference"/>
    <w:basedOn w:val="DefaultParagraphFont"/>
    <w:semiHidden/>
    <w:rsid w:val="00273510"/>
    <w:rPr>
      <w:rFonts w:ascii="Times New Roman" w:hAnsi="Times New Roman"/>
      <w:vertAlign w:val="superscript"/>
    </w:rPr>
  </w:style>
  <w:style w:type="character" w:styleId="PageNumber">
    <w:name w:val="page number"/>
    <w:basedOn w:val="DefaultParagraphFont"/>
    <w:rsid w:val="00273510"/>
    <w:rPr>
      <w:rFonts w:ascii="Times New Roman" w:hAnsi="Times New Roman"/>
    </w:rPr>
  </w:style>
  <w:style w:type="paragraph" w:styleId="TOC3">
    <w:name w:val="toc 3"/>
    <w:basedOn w:val="Normal"/>
    <w:next w:val="Normal"/>
    <w:semiHidden/>
    <w:rsid w:val="00273510"/>
    <w:pPr>
      <w:tabs>
        <w:tab w:val="left" w:pos="2127"/>
        <w:tab w:val="right" w:pos="8930"/>
      </w:tabs>
      <w:spacing w:after="0"/>
      <w:ind w:left="1418" w:right="851"/>
    </w:pPr>
    <w:rPr>
      <w:sz w:val="24"/>
    </w:rPr>
  </w:style>
  <w:style w:type="paragraph" w:styleId="TOC2">
    <w:name w:val="toc 2"/>
    <w:basedOn w:val="Normal"/>
    <w:next w:val="Normal"/>
    <w:semiHidden/>
    <w:rsid w:val="00273510"/>
    <w:pPr>
      <w:tabs>
        <w:tab w:val="left" w:pos="1418"/>
        <w:tab w:val="right" w:pos="8930"/>
      </w:tabs>
      <w:spacing w:after="0"/>
      <w:ind w:left="709" w:right="851"/>
    </w:pPr>
    <w:rPr>
      <w:sz w:val="24"/>
    </w:rPr>
  </w:style>
  <w:style w:type="paragraph" w:styleId="TOC1">
    <w:name w:val="toc 1"/>
    <w:next w:val="Normal"/>
    <w:uiPriority w:val="39"/>
    <w:rsid w:val="00273510"/>
    <w:pPr>
      <w:keepLines/>
      <w:tabs>
        <w:tab w:val="right" w:pos="9356"/>
      </w:tabs>
      <w:spacing w:after="500"/>
      <w:ind w:right="851"/>
    </w:pPr>
    <w:rPr>
      <w:rFonts w:ascii="Times New Roman" w:hAnsi="Times New Roman"/>
      <w:b/>
    </w:rPr>
  </w:style>
  <w:style w:type="paragraph" w:styleId="Index7">
    <w:name w:val="index 7"/>
    <w:basedOn w:val="Normal"/>
    <w:next w:val="Normal"/>
    <w:semiHidden/>
    <w:rsid w:val="00273510"/>
    <w:pPr>
      <w:ind w:left="1698"/>
    </w:pPr>
  </w:style>
  <w:style w:type="paragraph" w:styleId="Index6">
    <w:name w:val="index 6"/>
    <w:basedOn w:val="Normal"/>
    <w:next w:val="Normal"/>
    <w:semiHidden/>
    <w:rsid w:val="00273510"/>
    <w:pPr>
      <w:ind w:left="1415"/>
    </w:pPr>
  </w:style>
  <w:style w:type="paragraph" w:styleId="Index5">
    <w:name w:val="index 5"/>
    <w:basedOn w:val="Normal"/>
    <w:next w:val="Normal"/>
    <w:semiHidden/>
    <w:rsid w:val="00273510"/>
    <w:pPr>
      <w:ind w:left="1132"/>
    </w:pPr>
  </w:style>
  <w:style w:type="paragraph" w:styleId="Index4">
    <w:name w:val="index 4"/>
    <w:basedOn w:val="Normal"/>
    <w:next w:val="Normal"/>
    <w:semiHidden/>
    <w:rsid w:val="00273510"/>
    <w:pPr>
      <w:ind w:left="849"/>
    </w:pPr>
  </w:style>
  <w:style w:type="paragraph" w:styleId="Index3">
    <w:name w:val="index 3"/>
    <w:basedOn w:val="Normal"/>
    <w:next w:val="Normal"/>
    <w:semiHidden/>
    <w:rsid w:val="00273510"/>
    <w:pPr>
      <w:ind w:left="566"/>
    </w:pPr>
  </w:style>
  <w:style w:type="paragraph" w:styleId="Index2">
    <w:name w:val="index 2"/>
    <w:basedOn w:val="Normal"/>
    <w:next w:val="Normal"/>
    <w:semiHidden/>
    <w:rsid w:val="00273510"/>
    <w:pPr>
      <w:ind w:left="283"/>
    </w:pPr>
  </w:style>
  <w:style w:type="character" w:styleId="LineNumber">
    <w:name w:val="line number"/>
    <w:basedOn w:val="DefaultParagraphFont"/>
    <w:rsid w:val="00273510"/>
    <w:rPr>
      <w:rFonts w:ascii="Times New Roman" w:hAnsi="Times New Roman"/>
    </w:rPr>
  </w:style>
  <w:style w:type="paragraph" w:styleId="IndexHeading">
    <w:name w:val="index heading"/>
    <w:basedOn w:val="Normal"/>
    <w:next w:val="Normal"/>
    <w:semiHidden/>
    <w:rsid w:val="00273510"/>
  </w:style>
  <w:style w:type="paragraph" w:styleId="Footer">
    <w:name w:val="footer"/>
    <w:link w:val="FooterChar"/>
    <w:uiPriority w:val="99"/>
    <w:rsid w:val="00273510"/>
    <w:pPr>
      <w:jc w:val="right"/>
    </w:pPr>
    <w:rPr>
      <w:rFonts w:ascii="Times New Roman" w:hAnsi="Times New Roman"/>
      <w:i/>
    </w:rPr>
  </w:style>
  <w:style w:type="paragraph" w:styleId="Header">
    <w:name w:val="header"/>
    <w:link w:val="HeaderChar"/>
    <w:rsid w:val="00273510"/>
    <w:pPr>
      <w:framePr w:hSpace="181" w:vSpace="181" w:wrap="auto" w:vAnchor="page" w:hAnchor="margin" w:xAlign="right" w:y="634"/>
    </w:pPr>
    <w:rPr>
      <w:rFonts w:ascii="Times New Roman" w:hAnsi="Times New Roman"/>
      <w:b/>
      <w:sz w:val="24"/>
    </w:rPr>
  </w:style>
  <w:style w:type="character" w:styleId="FootnoteReference">
    <w:name w:val="footnote reference"/>
    <w:basedOn w:val="DefaultParagraphFont"/>
    <w:semiHidden/>
    <w:rsid w:val="00273510"/>
    <w:rPr>
      <w:rFonts w:ascii="Times New Roman" w:hAnsi="Times New Roman"/>
      <w:position w:val="6"/>
      <w:sz w:val="16"/>
    </w:rPr>
  </w:style>
  <w:style w:type="paragraph" w:styleId="FootnoteText">
    <w:name w:val="footnote text"/>
    <w:aliases w:val="ARM footnote Text,Footnote Text Char2,Footnote Text Char11,Footnote Text Char3,Footnote Text Char4,Footnote Text Char5,Footnote Text Char6,Footnote Text Char12,Footnote Text Char21,Footnote Text Char31,Footnote New, Ch"/>
    <w:basedOn w:val="Normal"/>
    <w:link w:val="FootnoteTextChar"/>
    <w:semiHidden/>
    <w:rsid w:val="00273510"/>
  </w:style>
  <w:style w:type="paragraph" w:customStyle="1" w:styleId="Tindent">
    <w:name w:val="Tindent"/>
    <w:basedOn w:val="Tnormal"/>
    <w:rsid w:val="00273510"/>
    <w:pPr>
      <w:tabs>
        <w:tab w:val="clear" w:pos="284"/>
        <w:tab w:val="left" w:pos="851"/>
      </w:tabs>
      <w:ind w:left="709"/>
    </w:pPr>
  </w:style>
  <w:style w:type="paragraph" w:customStyle="1" w:styleId="Tnormal">
    <w:name w:val="Tnormal"/>
    <w:basedOn w:val="NoSpace"/>
    <w:rsid w:val="00273510"/>
    <w:pPr>
      <w:keepNext/>
      <w:tabs>
        <w:tab w:val="left" w:pos="284"/>
      </w:tabs>
      <w:ind w:left="142" w:hanging="142"/>
      <w:jc w:val="left"/>
    </w:pPr>
  </w:style>
  <w:style w:type="paragraph" w:customStyle="1" w:styleId="NoSpace">
    <w:name w:val="No Space"/>
    <w:basedOn w:val="Normal"/>
    <w:rsid w:val="00273510"/>
    <w:pPr>
      <w:spacing w:after="0"/>
    </w:pPr>
  </w:style>
  <w:style w:type="paragraph" w:customStyle="1" w:styleId="B0">
    <w:name w:val="B0"/>
    <w:basedOn w:val="Normal"/>
    <w:rsid w:val="00273510"/>
    <w:pPr>
      <w:spacing w:after="113" w:line="57" w:lineRule="exact"/>
      <w:jc w:val="left"/>
    </w:pPr>
  </w:style>
  <w:style w:type="paragraph" w:customStyle="1" w:styleId="RJ">
    <w:name w:val="RJ"/>
    <w:basedOn w:val="Thead"/>
    <w:rsid w:val="00273510"/>
    <w:rPr>
      <w:b w:val="0"/>
    </w:rPr>
  </w:style>
  <w:style w:type="paragraph" w:customStyle="1" w:styleId="Thead">
    <w:name w:val="Thead"/>
    <w:basedOn w:val="Tdec"/>
    <w:rsid w:val="00273510"/>
    <w:pPr>
      <w:keepNext/>
      <w:tabs>
        <w:tab w:val="clear" w:pos="993"/>
      </w:tabs>
      <w:ind w:right="86"/>
      <w:jc w:val="right"/>
    </w:pPr>
    <w:rPr>
      <w:b/>
    </w:rPr>
  </w:style>
  <w:style w:type="paragraph" w:customStyle="1" w:styleId="Tdec">
    <w:name w:val="Tdec"/>
    <w:basedOn w:val="NoSpace"/>
    <w:rsid w:val="00273510"/>
    <w:pPr>
      <w:tabs>
        <w:tab w:val="decimal" w:pos="993"/>
      </w:tabs>
      <w:ind w:right="-6"/>
    </w:pPr>
  </w:style>
  <w:style w:type="paragraph" w:customStyle="1" w:styleId="S9">
    <w:name w:val="S9"/>
    <w:basedOn w:val="B0"/>
    <w:rsid w:val="00273510"/>
    <w:pPr>
      <w:pBdr>
        <w:bottom w:val="single" w:sz="6" w:space="1" w:color="auto"/>
        <w:between w:val="single" w:sz="6" w:space="1" w:color="auto"/>
      </w:pBdr>
      <w:ind w:left="170" w:right="113"/>
    </w:pPr>
  </w:style>
  <w:style w:type="paragraph" w:customStyle="1" w:styleId="S11">
    <w:name w:val="S11"/>
    <w:basedOn w:val="S9"/>
    <w:next w:val="S9"/>
    <w:rsid w:val="00273510"/>
    <w:pPr>
      <w:ind w:left="57"/>
    </w:pPr>
  </w:style>
  <w:style w:type="paragraph" w:customStyle="1" w:styleId="D11">
    <w:name w:val="D11"/>
    <w:basedOn w:val="S11"/>
    <w:rsid w:val="00273510"/>
    <w:pPr>
      <w:pBdr>
        <w:bottom w:val="double" w:sz="6" w:space="1" w:color="auto"/>
        <w:between w:val="double" w:sz="6" w:space="1" w:color="auto"/>
      </w:pBdr>
    </w:pPr>
  </w:style>
  <w:style w:type="paragraph" w:customStyle="1" w:styleId="Advisers">
    <w:name w:val="Advisers"/>
    <w:basedOn w:val="Normal"/>
    <w:next w:val="NoSpace"/>
    <w:rsid w:val="00273510"/>
    <w:pPr>
      <w:spacing w:before="180"/>
    </w:pPr>
    <w:rPr>
      <w:b/>
      <w:smallCaps/>
      <w:sz w:val="24"/>
    </w:rPr>
  </w:style>
  <w:style w:type="paragraph" w:customStyle="1" w:styleId="S7">
    <w:name w:val="S7"/>
    <w:basedOn w:val="B0"/>
    <w:rsid w:val="00273510"/>
    <w:pPr>
      <w:pBdr>
        <w:bottom w:val="single" w:sz="6" w:space="1" w:color="auto"/>
        <w:between w:val="single" w:sz="6" w:space="1" w:color="auto"/>
      </w:pBdr>
      <w:ind w:left="340" w:right="113"/>
    </w:pPr>
  </w:style>
  <w:style w:type="paragraph" w:customStyle="1" w:styleId="D3">
    <w:name w:val="D3"/>
    <w:basedOn w:val="S3"/>
    <w:rsid w:val="00273510"/>
    <w:pPr>
      <w:pBdr>
        <w:bottom w:val="double" w:sz="6" w:space="1" w:color="auto"/>
        <w:between w:val="double" w:sz="6" w:space="1" w:color="auto"/>
      </w:pBdr>
    </w:pPr>
  </w:style>
  <w:style w:type="paragraph" w:customStyle="1" w:styleId="S3">
    <w:name w:val="S3"/>
    <w:basedOn w:val="B0"/>
    <w:rsid w:val="00273510"/>
    <w:pPr>
      <w:pBdr>
        <w:bottom w:val="single" w:sz="6" w:space="1" w:color="auto"/>
        <w:between w:val="single" w:sz="6" w:space="1" w:color="auto"/>
      </w:pBdr>
      <w:ind w:left="737" w:right="113"/>
    </w:pPr>
  </w:style>
  <w:style w:type="paragraph" w:customStyle="1" w:styleId="D9">
    <w:name w:val="D9"/>
    <w:basedOn w:val="S9"/>
    <w:rsid w:val="00273510"/>
    <w:pPr>
      <w:pBdr>
        <w:bottom w:val="double" w:sz="6" w:space="1" w:color="auto"/>
        <w:between w:val="double" w:sz="6" w:space="1" w:color="auto"/>
      </w:pBdr>
    </w:pPr>
  </w:style>
  <w:style w:type="paragraph" w:customStyle="1" w:styleId="S5">
    <w:name w:val="S5"/>
    <w:basedOn w:val="B0"/>
    <w:rsid w:val="00273510"/>
    <w:pPr>
      <w:pBdr>
        <w:bottom w:val="single" w:sz="6" w:space="1" w:color="auto"/>
        <w:between w:val="single" w:sz="6" w:space="1" w:color="auto"/>
      </w:pBdr>
      <w:ind w:left="567" w:right="113"/>
    </w:pPr>
  </w:style>
  <w:style w:type="paragraph" w:customStyle="1" w:styleId="Zspace">
    <w:name w:val="Zspace"/>
    <w:basedOn w:val="B0"/>
    <w:rsid w:val="00273510"/>
    <w:pPr>
      <w:spacing w:line="6" w:lineRule="exact"/>
    </w:pPr>
  </w:style>
  <w:style w:type="paragraph" w:customStyle="1" w:styleId="D7">
    <w:name w:val="D7"/>
    <w:basedOn w:val="S7"/>
    <w:rsid w:val="00273510"/>
    <w:pPr>
      <w:pBdr>
        <w:bottom w:val="double" w:sz="6" w:space="1" w:color="auto"/>
        <w:between w:val="double" w:sz="6" w:space="1" w:color="auto"/>
      </w:pBdr>
    </w:pPr>
  </w:style>
  <w:style w:type="paragraph" w:customStyle="1" w:styleId="T">
    <w:name w:val="T%"/>
    <w:basedOn w:val="Tdec"/>
    <w:next w:val="Tdec"/>
    <w:rsid w:val="00273510"/>
    <w:pPr>
      <w:tabs>
        <w:tab w:val="clear" w:pos="993"/>
        <w:tab w:val="decimal" w:pos="766"/>
      </w:tabs>
      <w:jc w:val="left"/>
    </w:pPr>
  </w:style>
  <w:style w:type="paragraph" w:customStyle="1" w:styleId="D5">
    <w:name w:val="D5"/>
    <w:basedOn w:val="S5"/>
    <w:rsid w:val="00273510"/>
    <w:pPr>
      <w:pBdr>
        <w:bottom w:val="double" w:sz="6" w:space="1" w:color="auto"/>
        <w:between w:val="double" w:sz="6" w:space="1" w:color="auto"/>
      </w:pBdr>
    </w:pPr>
  </w:style>
  <w:style w:type="paragraph" w:customStyle="1" w:styleId="Rheading">
    <w:name w:val="Rheading"/>
    <w:basedOn w:val="Normal"/>
    <w:next w:val="Normal"/>
    <w:rsid w:val="00273510"/>
    <w:pPr>
      <w:keepNext/>
      <w:spacing w:before="180"/>
      <w:ind w:left="142" w:hanging="142"/>
      <w:jc w:val="left"/>
    </w:pPr>
    <w:rPr>
      <w:b/>
      <w:caps/>
    </w:rPr>
  </w:style>
  <w:style w:type="paragraph" w:customStyle="1" w:styleId="scale">
    <w:name w:val="scale"/>
    <w:basedOn w:val="Tindent"/>
    <w:rsid w:val="00273510"/>
    <w:pPr>
      <w:tabs>
        <w:tab w:val="clear" w:pos="851"/>
        <w:tab w:val="right" w:pos="1418"/>
        <w:tab w:val="center" w:pos="1843"/>
        <w:tab w:val="left" w:pos="2269"/>
        <w:tab w:val="right" w:pos="2977"/>
      </w:tabs>
      <w:ind w:left="567" w:firstLine="0"/>
    </w:pPr>
  </w:style>
  <w:style w:type="paragraph" w:customStyle="1" w:styleId="Tnote">
    <w:name w:val="Tnote"/>
    <w:basedOn w:val="Tdec"/>
    <w:rsid w:val="00273510"/>
    <w:pPr>
      <w:tabs>
        <w:tab w:val="clear" w:pos="993"/>
      </w:tabs>
      <w:ind w:right="86"/>
      <w:jc w:val="right"/>
    </w:pPr>
  </w:style>
  <w:style w:type="paragraph" w:customStyle="1" w:styleId="TableSingle">
    <w:name w:val="Table Single"/>
    <w:basedOn w:val="Normal"/>
    <w:rsid w:val="00273510"/>
    <w:pPr>
      <w:pBdr>
        <w:bottom w:val="single" w:sz="6" w:space="1" w:color="auto"/>
        <w:between w:val="single" w:sz="6" w:space="1" w:color="auto"/>
      </w:pBdr>
      <w:spacing w:line="120" w:lineRule="exact"/>
    </w:pPr>
    <w:rPr>
      <w:sz w:val="24"/>
    </w:rPr>
  </w:style>
  <w:style w:type="paragraph" w:customStyle="1" w:styleId="TableDouble">
    <w:name w:val="Table Double"/>
    <w:basedOn w:val="TableSingle"/>
    <w:rsid w:val="00273510"/>
    <w:pPr>
      <w:pBdr>
        <w:bottom w:val="double" w:sz="6" w:space="1" w:color="auto"/>
        <w:between w:val="double" w:sz="6" w:space="1" w:color="auto"/>
      </w:pBdr>
    </w:pPr>
  </w:style>
  <w:style w:type="paragraph" w:customStyle="1" w:styleId="ReduceSingle">
    <w:name w:val="Reduce Single"/>
    <w:basedOn w:val="TableSingle"/>
    <w:rsid w:val="00273510"/>
    <w:pPr>
      <w:spacing w:after="60" w:line="60" w:lineRule="exact"/>
    </w:pPr>
  </w:style>
  <w:style w:type="paragraph" w:customStyle="1" w:styleId="ReduceDouble">
    <w:name w:val="Reduce Double"/>
    <w:basedOn w:val="ReduceSingle"/>
    <w:rsid w:val="00273510"/>
    <w:pPr>
      <w:pBdr>
        <w:bottom w:val="double" w:sz="6" w:space="1" w:color="auto"/>
        <w:between w:val="double" w:sz="6" w:space="1" w:color="auto"/>
      </w:pBdr>
    </w:pPr>
  </w:style>
  <w:style w:type="paragraph" w:customStyle="1" w:styleId="ReduceLine">
    <w:name w:val="Reduce Line"/>
    <w:basedOn w:val="ReduceSingle"/>
    <w:rsid w:val="00273510"/>
    <w:pPr>
      <w:pBdr>
        <w:bottom w:val="none" w:sz="0" w:space="0" w:color="auto"/>
        <w:between w:val="none" w:sz="0" w:space="0" w:color="auto"/>
      </w:pBdr>
    </w:pPr>
  </w:style>
  <w:style w:type="paragraph" w:customStyle="1" w:styleId="Sheading">
    <w:name w:val="Sheading"/>
    <w:basedOn w:val="Heading1"/>
    <w:next w:val="NormalIndent"/>
    <w:rsid w:val="00273510"/>
    <w:pPr>
      <w:numPr>
        <w:numId w:val="0"/>
      </w:numPr>
      <w:ind w:left="709" w:hanging="709"/>
      <w:outlineLvl w:val="9"/>
    </w:pPr>
    <w:rPr>
      <w:caps w:val="0"/>
    </w:rPr>
  </w:style>
  <w:style w:type="table" w:styleId="TableGrid">
    <w:name w:val="Table Grid"/>
    <w:basedOn w:val="TableNormal"/>
    <w:rsid w:val="0062416F"/>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42D78"/>
    <w:rPr>
      <w:rFonts w:ascii="Tahoma" w:hAnsi="Tahoma" w:cs="Tahoma"/>
      <w:sz w:val="16"/>
      <w:szCs w:val="16"/>
    </w:rPr>
  </w:style>
  <w:style w:type="paragraph" w:styleId="List">
    <w:name w:val="List"/>
    <w:basedOn w:val="Normal"/>
    <w:rsid w:val="00EC355A"/>
    <w:pPr>
      <w:ind w:left="283" w:hanging="283"/>
    </w:pPr>
    <w:rPr>
      <w:lang w:eastAsia="en-US"/>
    </w:rPr>
  </w:style>
  <w:style w:type="paragraph" w:styleId="ListParagraph">
    <w:name w:val="List Paragraph"/>
    <w:basedOn w:val="Normal"/>
    <w:qFormat/>
    <w:rsid w:val="0002148A"/>
    <w:pPr>
      <w:spacing w:after="200" w:line="276" w:lineRule="auto"/>
      <w:ind w:left="720"/>
      <w:contextualSpacing/>
      <w:jc w:val="left"/>
    </w:pPr>
    <w:rPr>
      <w:rFonts w:ascii="Calibri" w:eastAsia="Calibri" w:hAnsi="Calibri"/>
      <w:sz w:val="22"/>
      <w:szCs w:val="22"/>
      <w:lang w:val="en-US" w:eastAsia="en-US"/>
    </w:rPr>
  </w:style>
  <w:style w:type="paragraph" w:styleId="CommentText">
    <w:name w:val="annotation text"/>
    <w:basedOn w:val="Normal"/>
    <w:link w:val="CommentTextChar"/>
    <w:rsid w:val="00301E15"/>
  </w:style>
  <w:style w:type="character" w:customStyle="1" w:styleId="CommentTextChar">
    <w:name w:val="Comment Text Char"/>
    <w:basedOn w:val="DefaultParagraphFont"/>
    <w:link w:val="CommentText"/>
    <w:rsid w:val="00301E15"/>
    <w:rPr>
      <w:rFonts w:ascii="Times New Roman" w:hAnsi="Times New Roman"/>
    </w:rPr>
  </w:style>
  <w:style w:type="paragraph" w:styleId="CommentSubject">
    <w:name w:val="annotation subject"/>
    <w:basedOn w:val="CommentText"/>
    <w:next w:val="CommentText"/>
    <w:link w:val="CommentSubjectChar"/>
    <w:rsid w:val="00301E15"/>
    <w:rPr>
      <w:b/>
      <w:bCs/>
    </w:rPr>
  </w:style>
  <w:style w:type="character" w:customStyle="1" w:styleId="CommentSubjectChar">
    <w:name w:val="Comment Subject Char"/>
    <w:basedOn w:val="CommentTextChar"/>
    <w:link w:val="CommentSubject"/>
    <w:rsid w:val="00301E15"/>
    <w:rPr>
      <w:rFonts w:ascii="Times New Roman" w:hAnsi="Times New Roman"/>
      <w:b/>
      <w:bCs/>
    </w:rPr>
  </w:style>
  <w:style w:type="paragraph" w:styleId="Revision">
    <w:name w:val="Revision"/>
    <w:hidden/>
    <w:uiPriority w:val="99"/>
    <w:semiHidden/>
    <w:rsid w:val="00173694"/>
    <w:rPr>
      <w:rFonts w:ascii="Times New Roman" w:hAnsi="Times New Roman"/>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 Ch Char"/>
    <w:basedOn w:val="DefaultParagraphFont"/>
    <w:link w:val="FootnoteText"/>
    <w:semiHidden/>
    <w:rsid w:val="008109AB"/>
    <w:rPr>
      <w:rFonts w:ascii="Times New Roman" w:hAnsi="Times New Roman"/>
    </w:rPr>
  </w:style>
  <w:style w:type="paragraph" w:styleId="NoSpacing">
    <w:name w:val="No Spacing"/>
    <w:uiPriority w:val="1"/>
    <w:qFormat/>
    <w:rsid w:val="00431E59"/>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4C7821"/>
    <w:pPr>
      <w:spacing w:after="0"/>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C7821"/>
    <w:rPr>
      <w:rFonts w:ascii="Calibri" w:eastAsiaTheme="minorHAnsi" w:hAnsi="Calibri" w:cstheme="minorBidi"/>
      <w:sz w:val="22"/>
      <w:szCs w:val="21"/>
      <w:lang w:eastAsia="en-US"/>
    </w:rPr>
  </w:style>
  <w:style w:type="character" w:customStyle="1" w:styleId="HeaderChar">
    <w:name w:val="Header Char"/>
    <w:link w:val="Header"/>
    <w:rsid w:val="00AC0FF4"/>
    <w:rPr>
      <w:rFonts w:ascii="Times New Roman" w:hAnsi="Times New Roman"/>
      <w:b/>
      <w:sz w:val="24"/>
    </w:rPr>
  </w:style>
  <w:style w:type="character" w:customStyle="1" w:styleId="FooterChar">
    <w:name w:val="Footer Char"/>
    <w:basedOn w:val="DefaultParagraphFont"/>
    <w:link w:val="Footer"/>
    <w:uiPriority w:val="99"/>
    <w:rsid w:val="00270CEB"/>
    <w:rPr>
      <w:rFonts w:ascii="Times New Roman" w:hAnsi="Times New Roman"/>
      <w:i/>
    </w:rPr>
  </w:style>
  <w:style w:type="paragraph" w:styleId="TOCHeading">
    <w:name w:val="TOC Heading"/>
    <w:basedOn w:val="Heading1"/>
    <w:next w:val="Normal"/>
    <w:uiPriority w:val="39"/>
    <w:semiHidden/>
    <w:unhideWhenUsed/>
    <w:qFormat/>
    <w:rsid w:val="00656B26"/>
    <w:pPr>
      <w:keepLines/>
      <w:numPr>
        <w:numId w:val="0"/>
      </w:numPr>
      <w:tabs>
        <w:tab w:val="clear" w:pos="567"/>
      </w:tab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styleId="Hyperlink">
    <w:name w:val="Hyperlink"/>
    <w:basedOn w:val="DefaultParagraphFont"/>
    <w:uiPriority w:val="99"/>
    <w:unhideWhenUsed/>
    <w:rsid w:val="00656B26"/>
    <w:rPr>
      <w:color w:val="0000FF" w:themeColor="hyperlink"/>
      <w:u w:val="single"/>
    </w:rPr>
  </w:style>
  <w:style w:type="paragraph" w:customStyle="1" w:styleId="Default">
    <w:name w:val="Default"/>
    <w:rsid w:val="00CE79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7197">
      <w:bodyDiv w:val="1"/>
      <w:marLeft w:val="0"/>
      <w:marRight w:val="0"/>
      <w:marTop w:val="0"/>
      <w:marBottom w:val="0"/>
      <w:divBdr>
        <w:top w:val="none" w:sz="0" w:space="0" w:color="auto"/>
        <w:left w:val="none" w:sz="0" w:space="0" w:color="auto"/>
        <w:bottom w:val="none" w:sz="0" w:space="0" w:color="auto"/>
        <w:right w:val="none" w:sz="0" w:space="0" w:color="auto"/>
      </w:divBdr>
    </w:div>
    <w:div w:id="93791290">
      <w:bodyDiv w:val="1"/>
      <w:marLeft w:val="0"/>
      <w:marRight w:val="0"/>
      <w:marTop w:val="0"/>
      <w:marBottom w:val="0"/>
      <w:divBdr>
        <w:top w:val="none" w:sz="0" w:space="0" w:color="auto"/>
        <w:left w:val="none" w:sz="0" w:space="0" w:color="auto"/>
        <w:bottom w:val="none" w:sz="0" w:space="0" w:color="auto"/>
        <w:right w:val="none" w:sz="0" w:space="0" w:color="auto"/>
      </w:divBdr>
    </w:div>
    <w:div w:id="576210516">
      <w:bodyDiv w:val="1"/>
      <w:marLeft w:val="0"/>
      <w:marRight w:val="0"/>
      <w:marTop w:val="0"/>
      <w:marBottom w:val="0"/>
      <w:divBdr>
        <w:top w:val="none" w:sz="0" w:space="0" w:color="auto"/>
        <w:left w:val="none" w:sz="0" w:space="0" w:color="auto"/>
        <w:bottom w:val="none" w:sz="0" w:space="0" w:color="auto"/>
        <w:right w:val="none" w:sz="0" w:space="0" w:color="auto"/>
      </w:divBdr>
    </w:div>
    <w:div w:id="669479664">
      <w:bodyDiv w:val="1"/>
      <w:marLeft w:val="0"/>
      <w:marRight w:val="0"/>
      <w:marTop w:val="0"/>
      <w:marBottom w:val="0"/>
      <w:divBdr>
        <w:top w:val="none" w:sz="0" w:space="0" w:color="auto"/>
        <w:left w:val="none" w:sz="0" w:space="0" w:color="auto"/>
        <w:bottom w:val="none" w:sz="0" w:space="0" w:color="auto"/>
        <w:right w:val="none" w:sz="0" w:space="0" w:color="auto"/>
      </w:divBdr>
    </w:div>
    <w:div w:id="708262463">
      <w:bodyDiv w:val="1"/>
      <w:marLeft w:val="0"/>
      <w:marRight w:val="0"/>
      <w:marTop w:val="0"/>
      <w:marBottom w:val="0"/>
      <w:divBdr>
        <w:top w:val="none" w:sz="0" w:space="0" w:color="auto"/>
        <w:left w:val="none" w:sz="0" w:space="0" w:color="auto"/>
        <w:bottom w:val="none" w:sz="0" w:space="0" w:color="auto"/>
        <w:right w:val="none" w:sz="0" w:space="0" w:color="auto"/>
      </w:divBdr>
    </w:div>
    <w:div w:id="790898051">
      <w:bodyDiv w:val="1"/>
      <w:marLeft w:val="0"/>
      <w:marRight w:val="0"/>
      <w:marTop w:val="0"/>
      <w:marBottom w:val="0"/>
      <w:divBdr>
        <w:top w:val="none" w:sz="0" w:space="0" w:color="auto"/>
        <w:left w:val="none" w:sz="0" w:space="0" w:color="auto"/>
        <w:bottom w:val="none" w:sz="0" w:space="0" w:color="auto"/>
        <w:right w:val="none" w:sz="0" w:space="0" w:color="auto"/>
      </w:divBdr>
    </w:div>
    <w:div w:id="1159812622">
      <w:bodyDiv w:val="1"/>
      <w:marLeft w:val="0"/>
      <w:marRight w:val="0"/>
      <w:marTop w:val="0"/>
      <w:marBottom w:val="0"/>
      <w:divBdr>
        <w:top w:val="none" w:sz="0" w:space="0" w:color="auto"/>
        <w:left w:val="none" w:sz="0" w:space="0" w:color="auto"/>
        <w:bottom w:val="none" w:sz="0" w:space="0" w:color="auto"/>
        <w:right w:val="none" w:sz="0" w:space="0" w:color="auto"/>
      </w:divBdr>
    </w:div>
    <w:div w:id="1497958618">
      <w:bodyDiv w:val="1"/>
      <w:marLeft w:val="0"/>
      <w:marRight w:val="0"/>
      <w:marTop w:val="0"/>
      <w:marBottom w:val="0"/>
      <w:divBdr>
        <w:top w:val="none" w:sz="0" w:space="0" w:color="auto"/>
        <w:left w:val="none" w:sz="0" w:space="0" w:color="auto"/>
        <w:bottom w:val="none" w:sz="0" w:space="0" w:color="auto"/>
        <w:right w:val="none" w:sz="0" w:space="0" w:color="auto"/>
      </w:divBdr>
    </w:div>
    <w:div w:id="1534658218">
      <w:bodyDiv w:val="1"/>
      <w:marLeft w:val="0"/>
      <w:marRight w:val="0"/>
      <w:marTop w:val="0"/>
      <w:marBottom w:val="0"/>
      <w:divBdr>
        <w:top w:val="none" w:sz="0" w:space="0" w:color="auto"/>
        <w:left w:val="none" w:sz="0" w:space="0" w:color="auto"/>
        <w:bottom w:val="none" w:sz="0" w:space="0" w:color="auto"/>
        <w:right w:val="none" w:sz="0" w:space="0" w:color="auto"/>
      </w:divBdr>
    </w:div>
    <w:div w:id="1552694190">
      <w:bodyDiv w:val="1"/>
      <w:marLeft w:val="0"/>
      <w:marRight w:val="0"/>
      <w:marTop w:val="0"/>
      <w:marBottom w:val="0"/>
      <w:divBdr>
        <w:top w:val="none" w:sz="0" w:space="0" w:color="auto"/>
        <w:left w:val="none" w:sz="0" w:space="0" w:color="auto"/>
        <w:bottom w:val="none" w:sz="0" w:space="0" w:color="auto"/>
        <w:right w:val="none" w:sz="0" w:space="0" w:color="auto"/>
      </w:divBdr>
    </w:div>
    <w:div w:id="2052923229">
      <w:bodyDiv w:val="1"/>
      <w:marLeft w:val="0"/>
      <w:marRight w:val="0"/>
      <w:marTop w:val="0"/>
      <w:marBottom w:val="0"/>
      <w:divBdr>
        <w:top w:val="none" w:sz="0" w:space="0" w:color="auto"/>
        <w:left w:val="none" w:sz="0" w:space="0" w:color="auto"/>
        <w:bottom w:val="none" w:sz="0" w:space="0" w:color="auto"/>
        <w:right w:val="none" w:sz="0" w:space="0" w:color="auto"/>
      </w:divBdr>
    </w:div>
    <w:div w:id="20891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2.xml"/><Relationship Id="rId55" Type="http://schemas.openxmlformats.org/officeDocument/2006/relationships/header" Target="header5.xml"/><Relationship Id="rId63" Type="http://schemas.openxmlformats.org/officeDocument/2006/relationships/header" Target="header11.xml"/><Relationship Id="rId68" Type="http://schemas.openxmlformats.org/officeDocument/2006/relationships/header" Target="header16.xml"/><Relationship Id="rId7" Type="http://schemas.openxmlformats.org/officeDocument/2006/relationships/customXml" Target="../customXml/item7.xml"/><Relationship Id="rId71"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footer" Target="footer2.xml"/><Relationship Id="rId58" Type="http://schemas.openxmlformats.org/officeDocument/2006/relationships/footer" Target="footer4.xml"/><Relationship Id="rId66"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57" Type="http://schemas.openxmlformats.org/officeDocument/2006/relationships/header" Target="header6.xml"/><Relationship Id="rId61" Type="http://schemas.openxmlformats.org/officeDocument/2006/relationships/header" Target="header9.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header" Target="header3.xml"/><Relationship Id="rId60" Type="http://schemas.openxmlformats.org/officeDocument/2006/relationships/header" Target="header8.xml"/><Relationship Id="rId65" Type="http://schemas.openxmlformats.org/officeDocument/2006/relationships/header" Target="header13.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56" Type="http://schemas.openxmlformats.org/officeDocument/2006/relationships/footer" Target="footer3.xml"/><Relationship Id="rId64" Type="http://schemas.openxmlformats.org/officeDocument/2006/relationships/header" Target="header12.xml"/><Relationship Id="rId69" Type="http://schemas.openxmlformats.org/officeDocument/2006/relationships/header" Target="header17.xml"/><Relationship Id="rId8" Type="http://schemas.openxmlformats.org/officeDocument/2006/relationships/customXml" Target="../customXml/item8.xml"/><Relationship Id="rId51" Type="http://schemas.openxmlformats.org/officeDocument/2006/relationships/footer" Target="footer1.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59" Type="http://schemas.openxmlformats.org/officeDocument/2006/relationships/header" Target="header7.xml"/><Relationship Id="rId67" Type="http://schemas.openxmlformats.org/officeDocument/2006/relationships/header" Target="header15.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header" Target="header4.xml"/><Relationship Id="rId62" Type="http://schemas.openxmlformats.org/officeDocument/2006/relationships/header" Target="header10.xml"/><Relationship Id="rId70"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LIBRARY\INDUSTRY\SECRTARY\ACPA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PartWrapper xmlns="http://schemas.dtt.com/da/CT_STORAGE">
  <CommonToolListStorage xmlns:xsi="http://www.w3.org/2001/XMLSchema-instance" xmlns:xsd="http://www.w3.org/2001/XMLSchema">
    <TimeStamp>2014-09-02T19:10:49.288664+01:00</TimeStamp>
    <IsSignoffOnlyChanged>false</IsSignoffOnlyChanged>
    <ReviewNoteListStorage>
      <ContainerID xsi:nil="true"/>
      <ContainerType>0</ContainerType>
      <ListIndex>1</ListIndex>
      <UserID>0</UserID>
      <EngagementItemID>1467889750900003267</EngagementItemID>
      <EngagementID>0</EngagementID>
      <EnableSave>false</EnableSave>
      <EnableLoad>true</EnableLoad>
      <OriginalList>
        <ReviewNoteStorage>
          <ID>1558577068900000369</ID>
          <IsDirty>false</IsDirty>
          <IsNew>false</IsNew>
          <IsDeleted>false</IsDeleted>
          <IsEditable>false</IsEditable>
          <ItemVersion xsi:nil="true"/>
          <EngagementFileID>11885</EngagementFileID>
          <EngagementItemID>1558577068900000369</EngagementItemID>
          <EngagementItemName>change in increase/(decrease)</EngagementItemName>
          <EngagementItemType>ReviewNote</EngagementItemType>
          <IsEngagementItemDeleted>false</IsEngagementItemDeleted>
          <LastModifiedDate>2014-09-02T17:57:31.7519127Z</LastModifiedDate>
          <InstanceID>0</InstanceID>
          <SystemAttentionFlag>false</SystemAttentionFlag>
          <IsMaster>true</IsMaster>
          <IsProtected>false</IsProtected>
          <ProtectedByUserID xsi:nil="true"/>
          <LastKnownOwnerUserID>0</LastKnownOwnerUserID>
          <IsAssignmentDirty>false</IsAssignmentDirty>
          <ClearAllPreparers>false</ClearAllPreparers>
          <ClearAllReviewers>false</ClearAllReviewers>
          <Assignments/>
          <ApplyToDocument>false</ApplyToDocument>
          <Status>
            <StateEnumeration>Dirty New Edited</StateEnumeration>
            <Clean>false</Clean>
            <Dirty>true</Dirty>
            <New>true</New>
            <Edited>true</Edited>
            <Deleted>false</Deleted>
            <VersionModified>false</VersionModified>
          </Status>
          <ContainerID>0</ContainerID>
          <ContainerType>Word</ContainerType>
          <ContainerEngagementItemID>1467889750900003267</ContainerEngagementItemID>
          <CreatedByUserID>4489</CreatedByUserID>
          <ClearedByUserID xsi:nil="true"/>
          <ClosedByUserID xsi:nil="true"/>
          <CreatedByDate>2014-09-02T17:57:31.8299132Z</CreatedByDate>
          <ClearedByDate xsi:nil="true"/>
          <ClosedByDate xsi:nil="true"/>
          <Priority>Normal</Priority>
          <RNStatus>Open</RNStatus>
          <ReviewNoteText>&lt;![CDATA[{\rtf1\ansi\ansicpg1252\deff0\nouicompat\deflang2057{\fonttbl{\f0\fnil\fcharset0 Segoe UI;}}CARRIAGE_RET_CHARNEW_LINE_CHAR{\*\generator Riched20 14.0.7008.1000;}{\*\mmathPr\mwrapIndent1440}\viewkind4\uc1CARRIAGE_RET_CHARNEW_LINE_CHAR\pard\f0\fs18 change in increase/(decrease)\parCARRIAGE_RET_CHARNEW_LINE_CHAR}CARRIAGE_RET_CHARNEW_LINE_CHAR]]&gt;</ReviewNoteText>
          <AssignedToPreparerID>0</AssignedToPreparerID>
          <AttachmentID>1558577068900000369</AttachmentID>
          <ContainerEngagementItemType>None</ContainerEngagementItemType>
          <IsEngagementItemProtected>false</IsEngagementItemProtected>
          <IsClosed>false</IsClosed>
          <IsCleared>false</IsCleared>
          <AttachmentInfo>DA_RN_1558577068900000369</AttachmentInfo>
          <TargetMoniker>2001:11885\1:1467889750900003267\10001:\10002:ReviewNotes\10008:1558577068900000369</TargetMoniker>
        </ReviewNoteStorage>
        <ReviewNoteStorage>
          <ID>1558577068900000370</ID>
          <IsDirty>false</IsDirty>
          <IsNew>false</IsNew>
          <IsDeleted>false</IsDeleted>
          <IsEditable>false</IsEditable>
          <ItemVersion xsi:nil="true"/>
          <EngagementFileID>11885</EngagementFileID>
          <EngagementItemID>1558577068900000370</EngagementItemID>
          <EngagementItemName>This note is no different to note below - it would be better if it analysed I&amp;E reserve movement and pension reserve movement separately as it is not clear how these reserve move</EngagementItemName>
          <EngagementItemType>ReviewNote</EngagementItemType>
          <IsEngagementItemDeleted>false</IsEngagementItemDeleted>
          <LastModifiedDate>2014-09-02T18:07:59.045864Z</LastModifiedDate>
          <InstanceID>0</InstanceID>
          <SystemAttentionFlag>false</SystemAttentionFlag>
          <IsMaster>true</IsMaster>
          <IsProtected>false</IsProtected>
          <ProtectedByUserID xsi:nil="true"/>
          <LastKnownOwnerUserID>0</LastKnownOwnerUserID>
          <IsAssignmentDirty>false</IsAssignmentDirty>
          <ClearAllPreparers>false</ClearAllPreparers>
          <ClearAllReviewers>false</ClearAllReviewers>
          <Assignments/>
          <ApplyToDocument>false</ApplyToDocument>
          <Status>
            <StateEnumeration>Dirty New Edited</StateEnumeration>
            <Clean>false</Clean>
            <Dirty>true</Dirty>
            <New>true</New>
            <Edited>true</Edited>
            <Deleted>false</Deleted>
            <VersionModified>false</VersionModified>
          </Status>
          <ContainerID>0</ContainerID>
          <ContainerType>Word</ContainerType>
          <ContainerEngagementItemID>1467889750900003267</ContainerEngagementItemID>
          <CreatedByUserID>4489</CreatedByUserID>
          <ClearedByUserID xsi:nil="true"/>
          <ClosedByUserID xsi:nil="true"/>
          <CreatedByDate>2014-09-02T18:07:59.045864Z</CreatedByDate>
          <ClearedByDate xsi:nil="true"/>
          <ClosedByDate xsi:nil="true"/>
          <Priority>Normal</Priority>
          <RNStatus>Open</RNStatus>
          <ReviewNoteText>&lt;![CDATA[{\rtf1\ansi\ansicpg1252\deff0\nouicompat\deflang2057{\fonttbl{\f0\fnil\fcharset0 Segoe UI;}}CARRIAGE_RET_CHARNEW_LINE_CHAR{\*\generator Riched20 14.0.7008.1000;}{\*\mmathPr\mwrapIndent1440}\viewkind4\uc1CARRIAGE_RET_CHARNEW_LINE_CHAR\pard\f0\fs18 This note is no different to note below - it would be better if it analysed I&amp;E reserve movement and pension reserve movement separately as it is not clear how these reserve move\parCARRIAGE_RET_CHARNEW_LINE_CHAR}CARRIAGE_RET_CHARNEW_LINE_CHAR]]&gt;</ReviewNoteText>
          <AssignedToPreparerID>0</AssignedToPreparerID>
          <AttachmentID>1558577068900000370</AttachmentID>
          <ContainerEngagementItemType>None</ContainerEngagementItemType>
          <IsEngagementItemProtected>false</IsEngagementItemProtected>
          <IsClosed>false</IsClosed>
          <IsCleared>false</IsCleared>
          <AttachmentInfo>DA_RN_1558577068900000370</AttachmentInfo>
          <TargetMoniker>2001:11885\1:1467889750900003267\10001:\10002:ReviewNotes\10008:1558577068900000370</TargetMoniker>
        </ReviewNoteStorage>
      </OriginalList>
      <DeletedList/>
      <FilteredList>
        <ReviewNoteStorage>
          <ID>1558577068900000369</ID>
          <IsDirty>false</IsDirty>
          <IsNew>false</IsNew>
          <IsDeleted>false</IsDeleted>
          <IsEditable>false</IsEditable>
          <ItemVersion xsi:nil="true"/>
          <EngagementFileID>11885</EngagementFileID>
          <EngagementItemID>1558577068900000369</EngagementItemID>
          <EngagementItemName>change in increase/(decrease)</EngagementItemName>
          <EngagementItemType>ReviewNote</EngagementItemType>
          <IsEngagementItemDeleted>false</IsEngagementItemDeleted>
          <LastModifiedDate>2014-09-02T17:57:31.7519127Z</LastModifiedDate>
          <InstanceID>0</InstanceID>
          <SystemAttentionFlag>false</SystemAttentionFlag>
          <IsMaster>true</IsMaster>
          <IsProtected>false</IsProtected>
          <ProtectedByUserID xsi:nil="true"/>
          <LastKnownOwnerUserID>0</LastKnownOwnerUserID>
          <IsAssignmentDirty>false</IsAssignmentDirty>
          <ClearAllPreparers>false</ClearAllPreparers>
          <ClearAllReviewers>false</ClearAllReviewers>
          <Assignments/>
          <ApplyToDocument>false</ApplyToDocument>
          <Status>
            <StateEnumeration>Dirty New Edited</StateEnumeration>
            <Clean>false</Clean>
            <Dirty>true</Dirty>
            <New>true</New>
            <Edited>true</Edited>
            <Deleted>false</Deleted>
            <VersionModified>false</VersionModified>
          </Status>
          <ContainerID>0</ContainerID>
          <ContainerType>Word</ContainerType>
          <ContainerEngagementItemID>1467889750900003267</ContainerEngagementItemID>
          <CreatedByUserID>4489</CreatedByUserID>
          <ClearedByUserID xsi:nil="true"/>
          <ClosedByUserID xsi:nil="true"/>
          <CreatedByDate>2014-09-02T17:57:31.8299132Z</CreatedByDate>
          <ClearedByDate xsi:nil="true"/>
          <ClosedByDate xsi:nil="true"/>
          <Priority>Normal</Priority>
          <RNStatus>Open</RNStatus>
          <ReviewNoteText>&lt;![CDATA[{\rtf1\ansi\ansicpg1252\deff0\nouicompat\deflang2057{\fonttbl{\f0\fnil\fcharset0 Segoe UI;}}CARRIAGE_RET_CHARNEW_LINE_CHAR{\*\generator Riched20 14.0.7008.1000;}{\*\mmathPr\mwrapIndent1440}\viewkind4\uc1CARRIAGE_RET_CHARNEW_LINE_CHAR\pard\f0\fs18 change in increase/(decrease)\parCARRIAGE_RET_CHARNEW_LINE_CHAR}CARRIAGE_RET_CHARNEW_LINE_CHAR]]&gt;</ReviewNoteText>
          <AssignedToPreparerID>0</AssignedToPreparerID>
          <AttachmentID>1558577068900000369</AttachmentID>
          <ContainerEngagementItemType>None</ContainerEngagementItemType>
          <IsEngagementItemProtected>false</IsEngagementItemProtected>
          <IsClosed>false</IsClosed>
          <IsCleared>false</IsCleared>
          <AttachmentInfo>DA_RN_1558577068900000369</AttachmentInfo>
          <TargetMoniker>2001:11885\1:1467889750900003267\10001:\10002:ReviewNotes\10008:1558577068900000369</TargetMoniker>
        </ReviewNoteStorage>
        <ReviewNoteStorage>
          <ID>1558577068900000370</ID>
          <IsDirty>false</IsDirty>
          <IsNew>false</IsNew>
          <IsDeleted>false</IsDeleted>
          <IsEditable>false</IsEditable>
          <ItemVersion xsi:nil="true"/>
          <EngagementFileID>11885</EngagementFileID>
          <EngagementItemID>1558577068900000370</EngagementItemID>
          <EngagementItemName>This note is no different to note below - it would be better if it analysed I&amp;E reserve movement and pension reserve movement separately as it is not clear how these reserve move</EngagementItemName>
          <EngagementItemType>ReviewNote</EngagementItemType>
          <IsEngagementItemDeleted>false</IsEngagementItemDeleted>
          <LastModifiedDate>2014-09-02T18:07:59.045864Z</LastModifiedDate>
          <InstanceID>0</InstanceID>
          <SystemAttentionFlag>false</SystemAttentionFlag>
          <IsMaster>true</IsMaster>
          <IsProtected>false</IsProtected>
          <ProtectedByUserID xsi:nil="true"/>
          <LastKnownOwnerUserID>0</LastKnownOwnerUserID>
          <IsAssignmentDirty>false</IsAssignmentDirty>
          <ClearAllPreparers>false</ClearAllPreparers>
          <ClearAllReviewers>false</ClearAllReviewers>
          <Assignments/>
          <ApplyToDocument>false</ApplyToDocument>
          <Status>
            <StateEnumeration>Dirty New Edited</StateEnumeration>
            <Clean>false</Clean>
            <Dirty>true</Dirty>
            <New>true</New>
            <Edited>true</Edited>
            <Deleted>false</Deleted>
            <VersionModified>false</VersionModified>
          </Status>
          <ContainerID>0</ContainerID>
          <ContainerType>Word</ContainerType>
          <ContainerEngagementItemID>1467889750900003267</ContainerEngagementItemID>
          <CreatedByUserID>4489</CreatedByUserID>
          <ClearedByUserID xsi:nil="true"/>
          <ClosedByUserID xsi:nil="true"/>
          <CreatedByDate>2014-09-02T18:07:59.045864Z</CreatedByDate>
          <ClearedByDate xsi:nil="true"/>
          <ClosedByDate xsi:nil="true"/>
          <Priority>Normal</Priority>
          <RNStatus>Open</RNStatus>
          <ReviewNoteText>&lt;![CDATA[{\rtf1\ansi\ansicpg1252\deff0\nouicompat\deflang2057{\fonttbl{\f0\fnil\fcharset0 Segoe UI;}}CARRIAGE_RET_CHARNEW_LINE_CHAR{\*\generator Riched20 14.0.7008.1000;}{\*\mmathPr\mwrapIndent1440}\viewkind4\uc1CARRIAGE_RET_CHARNEW_LINE_CHAR\pard\f0\fs18 This note is no different to note below - it would be better if it analysed I&amp;E reserve movement and pension reserve movement separately as it is not clear how these reserve move\parCARRIAGE_RET_CHARNEW_LINE_CHAR}CARRIAGE_RET_CHARNEW_LINE_CHAR]]&gt;</ReviewNoteText>
          <AssignedToPreparerID>0</AssignedToPreparerID>
          <AttachmentID>1558577068900000370</AttachmentID>
          <ContainerEngagementItemType>None</ContainerEngagementItemType>
          <IsEngagementItemProtected>false</IsEngagementItemProtected>
          <IsClosed>false</IsClosed>
          <IsCleared>false</IsCleared>
          <AttachmentInfo>DA_RN_1558577068900000370</AttachmentInfo>
          <TargetMoniker>2001:11885\1:1467889750900003267\10001:\10002:ReviewNotes\10008:1558577068900000370</TargetMoniker>
        </ReviewNoteStorage>
      </FilteredList>
      <IsDirty>true</IsDirty>
      <ObjectStatus>
        <StateEnumeration>Dirty New Edited</StateEnumeration>
        <Clean>false</Clean>
        <Dirty>true</Dirty>
        <New>true</New>
        <Edited>true</Edited>
        <Deleted>false</Deleted>
        <VersionModified>false</VersionModified>
      </ObjectStatus>
    </ReviewNoteListStorage>
    <TickMarkListStorage>
      <TickMarks/>
      <FilteredList/>
      <Status>
        <StateEnumeration>Clean</StateEnumeration>
        <Clean>true</Clean>
        <Dirty>false</Dirty>
        <New>false</New>
        <Edited>false</Edited>
        <Deleted>false</Deleted>
        <VersionModified>false</VersionModified>
      </Status>
      <UserID>0</UserID>
      <ContainerType>None</ContainerType>
      <EngagementID>0</EngagementID>
      <EngagementItemID>1467889750900003267</EngagementItemID>
      <EnableSave>true</EnableSave>
      <EnableLoad>true</EnableLoad>
    </TickMarkListStorage>
    <XRListStorage>
      <IsDirty>false</IsDirty>
      <ID>1467889750900003267</ID>
      <Status>
        <StateEnumeration>Clean</StateEnumeration>
        <Clean>true</Clean>
        <Dirty>false</Dirty>
        <New>false</New>
        <Edited>false</Edited>
        <Deleted>false</Deleted>
        <VersionModified>false</VersionModified>
      </Status>
      <EnableLoad>false</EnableLoad>
      <EnableSave>false</EnableSave>
      <EngagementID xsi:nil="true"/>
      <ContainerID>1467889750900003267</ContainerID>
      <ContainerType>Word</ContainerType>
      <DeletedXRefs/>
      <Root/>
      <NumericXRefs/>
      <TextXRefs/>
      <UserID xsi:nil="true"/>
    </XRListStorage>
    <SignOffListStorage>
      <SignOffStorages>
        <SignOffStorage>
          <ID>1467889750900003269</ID>
          <IsDirty>false</IsDirty>
          <IsNew>false</IsNew>
          <IsDeleted>false</IsDeleted>
          <IsEditable>false</IsEditable>
          <ItemVersion>34121</ItemVersion>
          <EngagementFileID>11885</EngagementFileID>
          <EngagementItemID>1467889750900003269</EngagementItemID>
          <EngagementItemName>Signoff</EngagementItemName>
          <EngagementItemType>Signoff</EngagementItemType>
          <IsEngagementItemDeleted>false</IsEngagementItemDeleted>
          <ReferenceNum/>
          <LastModifiedDate>2014-08-20T08:53:00.137</LastModifiedDate>
          <InstanceID>0</InstanceID>
          <SystemAttentionFlag>false</SystemAttentionFlag>
          <IsMaster>true</IsMaster>
          <IsProtected>false</IsProtected>
          <ProtectedByUserID xsi:nil="true"/>
          <LastKnownOwnerUserID>0</LastKnownOwnerUserID>
          <IsAssignmentDirty>false</IsAssignmentDirty>
          <ClearAllPreparers>false</ClearAllPreparers>
          <ClearAllReviewers>false</ClearAllReviewers>
          <Assignments/>
          <NullableEngagementItemID>1467889750900003267</NullableEngagementItemID>
          <VersionModified>false</VersionModified>
          <Status>Unchanged</Status>
          <SignOffUserLastName/>
          <SignOffUserInitials>PH</SignOffUserInitials>
          <SignOffUserID>5147</SignOffUserID>
          <SignoffUserFirstName/>
          <SignOffUserDisplayName>Hewitson, Paul (UK - Newcastle)</SignOffUserDisplayName>
          <SignOffType>Preparer</SignOffType>
          <SignOffDate>2014-08-20T09:53:00.083</SignOffDate>
          <IsChecked>false</IsChecked>
          <OnBehalfOfSignedOffByUserDisplayName/>
          <OnBehalfOfSignedOffByUserFirstName/>
          <OnBehalfOfSignedOffByUserID xsi:nil="true"/>
          <OnBehalfOfSignedOffByUserInitials/>
        </SignOffStorage>
      </SignOffStorages>
      <IsDirty>false</IsDirty>
    </SignOffListStorage>
  </CommonToolListStorage>
</XmlPartWrapper>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ct:contentTypeSchema xmlns:ct="http://schemas.microsoft.com/office/2006/metadata/contentType" xmlns:ma="http://schemas.microsoft.com/office/2006/metadata/properties/metaAttributes" ct:_="" ma:_="" ma:contentTypeName="Document" ma:contentTypeID="0x01010038D458D65FC5D145BC7FF3C57B270837" ma:contentTypeVersion="2" ma:contentTypeDescription="Create a new document." ma:contentTypeScope="" ma:versionID="09d0b927ed82a97c609b433e8ecf5df1">
  <xsd:schema xmlns:xsd="http://www.w3.org/2001/XMLSchema" xmlns:p="http://schemas.microsoft.com/office/2006/metadata/properties" xmlns:ns1="http://schemas.microsoft.com/sharepoint/v3" targetNamespace="http://schemas.microsoft.com/office/2006/metadata/properties" ma:root="true" ma:fieldsID="8c72e3277bf9dd680246023b9517cbb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DAEMSEngagementItemInfo xmlns="http://schemas.microsoft.com/DAEMSEngagementItemInfoXML">
  <EngagementID>11885</EngagementID>
  <LogicalEMSServerID>636838642393792246</LogicalEMSServerID>
  <WorkingPaperID>1467889750900003267</WorkingPaperID>
</DAEMSEngagementItemInfo>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A3C10-0D97-4A64-BA9B-C0C9BE0D76A3}">
  <ds:schemaRefs>
    <ds:schemaRef ds:uri="http://schemas.dtt.com/da/CT_STORAGE"/>
    <ds:schemaRef ds:uri="http://www.w3.org/2001/XMLSchema"/>
  </ds:schemaRefs>
</ds:datastoreItem>
</file>

<file path=customXml/itemProps10.xml><?xml version="1.0" encoding="utf-8"?>
<ds:datastoreItem xmlns:ds="http://schemas.openxmlformats.org/officeDocument/2006/customXml" ds:itemID="{F9DF47BA-CA9C-4948-BB10-709D3E36FEA0}">
  <ds:schemaRefs>
    <ds:schemaRef ds:uri="http://schemas.openxmlformats.org/officeDocument/2006/bibliography"/>
  </ds:schemaRefs>
</ds:datastoreItem>
</file>

<file path=customXml/itemProps11.xml><?xml version="1.0" encoding="utf-8"?>
<ds:datastoreItem xmlns:ds="http://schemas.openxmlformats.org/officeDocument/2006/customXml" ds:itemID="{410BB208-954B-42EB-AA7F-BC4EE227F6F1}">
  <ds:schemaRefs>
    <ds:schemaRef ds:uri="http://schemas.openxmlformats.org/officeDocument/2006/bibliography"/>
  </ds:schemaRefs>
</ds:datastoreItem>
</file>

<file path=customXml/itemProps12.xml><?xml version="1.0" encoding="utf-8"?>
<ds:datastoreItem xmlns:ds="http://schemas.openxmlformats.org/officeDocument/2006/customXml" ds:itemID="{4580E92A-E04C-4A29-BEB1-CBD5792AEE30}">
  <ds:schemaRefs>
    <ds:schemaRef ds:uri="http://schemas.openxmlformats.org/officeDocument/2006/bibliography"/>
  </ds:schemaRefs>
</ds:datastoreItem>
</file>

<file path=customXml/itemProps13.xml><?xml version="1.0" encoding="utf-8"?>
<ds:datastoreItem xmlns:ds="http://schemas.openxmlformats.org/officeDocument/2006/customXml" ds:itemID="{8783E23C-4BDF-4280-8A14-A8BD20143F86}">
  <ds:schemaRefs>
    <ds:schemaRef ds:uri="http://schemas.openxmlformats.org/officeDocument/2006/bibliography"/>
  </ds:schemaRefs>
</ds:datastoreItem>
</file>

<file path=customXml/itemProps14.xml><?xml version="1.0" encoding="utf-8"?>
<ds:datastoreItem xmlns:ds="http://schemas.openxmlformats.org/officeDocument/2006/customXml" ds:itemID="{9E495E35-7030-43C4-9AB4-4B233E1C9799}">
  <ds:schemaRefs>
    <ds:schemaRef ds:uri="http://schemas.openxmlformats.org/officeDocument/2006/bibliography"/>
  </ds:schemaRefs>
</ds:datastoreItem>
</file>

<file path=customXml/itemProps15.xml><?xml version="1.0" encoding="utf-8"?>
<ds:datastoreItem xmlns:ds="http://schemas.openxmlformats.org/officeDocument/2006/customXml" ds:itemID="{25B91805-435E-40A2-B457-D139A6099003}">
  <ds:schemaRefs>
    <ds:schemaRef ds:uri="http://schemas.openxmlformats.org/officeDocument/2006/bibliography"/>
  </ds:schemaRefs>
</ds:datastoreItem>
</file>

<file path=customXml/itemProps16.xml><?xml version="1.0" encoding="utf-8"?>
<ds:datastoreItem xmlns:ds="http://schemas.openxmlformats.org/officeDocument/2006/customXml" ds:itemID="{41FE3421-9DB9-44E5-9552-C419EABEB6BB}">
  <ds:schemaRefs>
    <ds:schemaRef ds:uri="http://schemas.openxmlformats.org/officeDocument/2006/bibliography"/>
  </ds:schemaRefs>
</ds:datastoreItem>
</file>

<file path=customXml/itemProps17.xml><?xml version="1.0" encoding="utf-8"?>
<ds:datastoreItem xmlns:ds="http://schemas.openxmlformats.org/officeDocument/2006/customXml" ds:itemID="{BFB37B4C-D543-4D6B-9E75-20D45BCED295}">
  <ds:schemaRefs>
    <ds:schemaRef ds:uri="http://schemas.openxmlformats.org/officeDocument/2006/bibliography"/>
  </ds:schemaRefs>
</ds:datastoreItem>
</file>

<file path=customXml/itemProps18.xml><?xml version="1.0" encoding="utf-8"?>
<ds:datastoreItem xmlns:ds="http://schemas.openxmlformats.org/officeDocument/2006/customXml" ds:itemID="{488DF32E-121E-47AC-BB39-6E11427F787A}">
  <ds:schemaRefs>
    <ds:schemaRef ds:uri="http://schemas.openxmlformats.org/officeDocument/2006/bibliography"/>
  </ds:schemaRefs>
</ds:datastoreItem>
</file>

<file path=customXml/itemProps19.xml><?xml version="1.0" encoding="utf-8"?>
<ds:datastoreItem xmlns:ds="http://schemas.openxmlformats.org/officeDocument/2006/customXml" ds:itemID="{492EBFF1-9873-4337-B6D6-D3D07EC7ABD9}">
  <ds:schemaRefs>
    <ds:schemaRef ds:uri="http://schemas.microsoft.com/sharepoint/v3/contenttype/forms"/>
  </ds:schemaRefs>
</ds:datastoreItem>
</file>

<file path=customXml/itemProps2.xml><?xml version="1.0" encoding="utf-8"?>
<ds:datastoreItem xmlns:ds="http://schemas.openxmlformats.org/officeDocument/2006/customXml" ds:itemID="{F08E16C7-31BC-4B95-9CA4-7559F6EF4522}">
  <ds:schemaRefs>
    <ds:schemaRef ds:uri="http://schemas.openxmlformats.org/officeDocument/2006/bibliography"/>
  </ds:schemaRefs>
</ds:datastoreItem>
</file>

<file path=customXml/itemProps20.xml><?xml version="1.0" encoding="utf-8"?>
<ds:datastoreItem xmlns:ds="http://schemas.openxmlformats.org/officeDocument/2006/customXml" ds:itemID="{78FF6886-1D4D-4098-955F-5F3B6C882AC7}">
  <ds:schemaRefs>
    <ds:schemaRef ds:uri="http://schemas.openxmlformats.org/officeDocument/2006/bibliography"/>
  </ds:schemaRefs>
</ds:datastoreItem>
</file>

<file path=customXml/itemProps21.xml><?xml version="1.0" encoding="utf-8"?>
<ds:datastoreItem xmlns:ds="http://schemas.openxmlformats.org/officeDocument/2006/customXml" ds:itemID="{0CD2E1E9-CD47-4B66-B414-8E3E1186D9D5}">
  <ds:schemaRefs>
    <ds:schemaRef ds:uri="http://schemas.openxmlformats.org/officeDocument/2006/bibliography"/>
  </ds:schemaRefs>
</ds:datastoreItem>
</file>

<file path=customXml/itemProps22.xml><?xml version="1.0" encoding="utf-8"?>
<ds:datastoreItem xmlns:ds="http://schemas.openxmlformats.org/officeDocument/2006/customXml" ds:itemID="{C5385928-A275-4F81-B1BF-EBB53219F6CD}">
  <ds:schemaRefs>
    <ds:schemaRef ds:uri="http://schemas.openxmlformats.org/officeDocument/2006/bibliography"/>
  </ds:schemaRefs>
</ds:datastoreItem>
</file>

<file path=customXml/itemProps23.xml><?xml version="1.0" encoding="utf-8"?>
<ds:datastoreItem xmlns:ds="http://schemas.openxmlformats.org/officeDocument/2006/customXml" ds:itemID="{0BCBF26A-4E59-4253-905B-55FBF316597D}">
  <ds:schemaRefs>
    <ds:schemaRef ds:uri="http://schemas.openxmlformats.org/officeDocument/2006/bibliography"/>
  </ds:schemaRefs>
</ds:datastoreItem>
</file>

<file path=customXml/itemProps24.xml><?xml version="1.0" encoding="utf-8"?>
<ds:datastoreItem xmlns:ds="http://schemas.openxmlformats.org/officeDocument/2006/customXml" ds:itemID="{7D471AD7-5CF8-4D7E-8824-F2E4C45AD5FD}">
  <ds:schemaRefs>
    <ds:schemaRef ds:uri="http://schemas.openxmlformats.org/officeDocument/2006/bibliography"/>
  </ds:schemaRefs>
</ds:datastoreItem>
</file>

<file path=customXml/itemProps25.xml><?xml version="1.0" encoding="utf-8"?>
<ds:datastoreItem xmlns:ds="http://schemas.openxmlformats.org/officeDocument/2006/customXml" ds:itemID="{18560970-8E8B-4C46-99F9-DF229D64C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6.xml><?xml version="1.0" encoding="utf-8"?>
<ds:datastoreItem xmlns:ds="http://schemas.openxmlformats.org/officeDocument/2006/customXml" ds:itemID="{3F0BEDB5-29A4-420C-96A5-D6CE9CB8E087}">
  <ds:schemaRefs>
    <ds:schemaRef ds:uri="http://schemas.openxmlformats.org/officeDocument/2006/bibliography"/>
  </ds:schemaRefs>
</ds:datastoreItem>
</file>

<file path=customXml/itemProps27.xml><?xml version="1.0" encoding="utf-8"?>
<ds:datastoreItem xmlns:ds="http://schemas.openxmlformats.org/officeDocument/2006/customXml" ds:itemID="{34A4C3D1-3B30-4D3A-860B-B0A610026EE1}">
  <ds:schemaRefs>
    <ds:schemaRef ds:uri="http://schemas.openxmlformats.org/officeDocument/2006/bibliography"/>
  </ds:schemaRefs>
</ds:datastoreItem>
</file>

<file path=customXml/itemProps28.xml><?xml version="1.0" encoding="utf-8"?>
<ds:datastoreItem xmlns:ds="http://schemas.openxmlformats.org/officeDocument/2006/customXml" ds:itemID="{72D51250-D2C9-4DFB-B20E-73292CB52A1B}">
  <ds:schemaRefs>
    <ds:schemaRef ds:uri="http://schemas.openxmlformats.org/officeDocument/2006/bibliography"/>
  </ds:schemaRefs>
</ds:datastoreItem>
</file>

<file path=customXml/itemProps29.xml><?xml version="1.0" encoding="utf-8"?>
<ds:datastoreItem xmlns:ds="http://schemas.openxmlformats.org/officeDocument/2006/customXml" ds:itemID="{BF8013F8-1EDD-417F-BD23-30D01047550B}">
  <ds:schemaRefs>
    <ds:schemaRef ds:uri="http://schemas.openxmlformats.org/officeDocument/2006/bibliography"/>
  </ds:schemaRefs>
</ds:datastoreItem>
</file>

<file path=customXml/itemProps3.xml><?xml version="1.0" encoding="utf-8"?>
<ds:datastoreItem xmlns:ds="http://schemas.openxmlformats.org/officeDocument/2006/customXml" ds:itemID="{4B1DCE2C-DA75-4D2A-A32C-4DE03A938016}">
  <ds:schemaRefs>
    <ds:schemaRef ds:uri="http://schemas.openxmlformats.org/officeDocument/2006/bibliography"/>
  </ds:schemaRefs>
</ds:datastoreItem>
</file>

<file path=customXml/itemProps30.xml><?xml version="1.0" encoding="utf-8"?>
<ds:datastoreItem xmlns:ds="http://schemas.openxmlformats.org/officeDocument/2006/customXml" ds:itemID="{508E695E-95B8-455F-8F96-E8DC54275628}">
  <ds:schemaRefs>
    <ds:schemaRef ds:uri="http://schemas.openxmlformats.org/officeDocument/2006/bibliography"/>
  </ds:schemaRefs>
</ds:datastoreItem>
</file>

<file path=customXml/itemProps31.xml><?xml version="1.0" encoding="utf-8"?>
<ds:datastoreItem xmlns:ds="http://schemas.openxmlformats.org/officeDocument/2006/customXml" ds:itemID="{1DFF6890-4E58-4B02-BAFF-9C046AF11A84}">
  <ds:schemaRefs>
    <ds:schemaRef ds:uri="http://schemas.openxmlformats.org/officeDocument/2006/bibliography"/>
  </ds:schemaRefs>
</ds:datastoreItem>
</file>

<file path=customXml/itemProps32.xml><?xml version="1.0" encoding="utf-8"?>
<ds:datastoreItem xmlns:ds="http://schemas.openxmlformats.org/officeDocument/2006/customXml" ds:itemID="{0A0B3DBE-6B90-485C-A74E-2196E7D7E522}">
  <ds:schemaRefs>
    <ds:schemaRef ds:uri="http://schemas.openxmlformats.org/officeDocument/2006/bibliography"/>
  </ds:schemaRefs>
</ds:datastoreItem>
</file>

<file path=customXml/itemProps33.xml><?xml version="1.0" encoding="utf-8"?>
<ds:datastoreItem xmlns:ds="http://schemas.openxmlformats.org/officeDocument/2006/customXml" ds:itemID="{62C2A519-5A3D-4135-8C79-CA43E6ED2A25}">
  <ds:schemaRefs>
    <ds:schemaRef ds:uri="http://www.w3.org/XML/1998/namespace"/>
    <ds:schemaRef ds:uri="http://schemas.microsoft.com/office/2006/metadata/properties"/>
    <ds:schemaRef ds:uri="http://schemas.microsoft.com/sharepoint/v3"/>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s>
</ds:datastoreItem>
</file>

<file path=customXml/itemProps34.xml><?xml version="1.0" encoding="utf-8"?>
<ds:datastoreItem xmlns:ds="http://schemas.openxmlformats.org/officeDocument/2006/customXml" ds:itemID="{07355BE3-9030-442A-A4A2-0188AFF303A6}">
  <ds:schemaRefs>
    <ds:schemaRef ds:uri="http://schemas.openxmlformats.org/officeDocument/2006/bibliography"/>
  </ds:schemaRefs>
</ds:datastoreItem>
</file>

<file path=customXml/itemProps35.xml><?xml version="1.0" encoding="utf-8"?>
<ds:datastoreItem xmlns:ds="http://schemas.openxmlformats.org/officeDocument/2006/customXml" ds:itemID="{AF83186E-7F70-4A76-8E7A-70E3DF1D31CE}">
  <ds:schemaRefs>
    <ds:schemaRef ds:uri="http://schemas.openxmlformats.org/officeDocument/2006/bibliography"/>
  </ds:schemaRefs>
</ds:datastoreItem>
</file>

<file path=customXml/itemProps36.xml><?xml version="1.0" encoding="utf-8"?>
<ds:datastoreItem xmlns:ds="http://schemas.openxmlformats.org/officeDocument/2006/customXml" ds:itemID="{7BF119D4-9CA8-492C-A12F-4FE114AA7175}">
  <ds:schemaRefs>
    <ds:schemaRef ds:uri="http://schemas.openxmlformats.org/officeDocument/2006/bibliography"/>
  </ds:schemaRefs>
</ds:datastoreItem>
</file>

<file path=customXml/itemProps37.xml><?xml version="1.0" encoding="utf-8"?>
<ds:datastoreItem xmlns:ds="http://schemas.openxmlformats.org/officeDocument/2006/customXml" ds:itemID="{1D635CB3-669C-4475-BA75-CF79588D47FE}">
  <ds:schemaRefs>
    <ds:schemaRef ds:uri="http://schemas.openxmlformats.org/officeDocument/2006/bibliography"/>
  </ds:schemaRefs>
</ds:datastoreItem>
</file>

<file path=customXml/itemProps38.xml><?xml version="1.0" encoding="utf-8"?>
<ds:datastoreItem xmlns:ds="http://schemas.openxmlformats.org/officeDocument/2006/customXml" ds:itemID="{BA35040E-C6DC-4551-A573-D2A61AE42E1C}">
  <ds:schemaRefs>
    <ds:schemaRef ds:uri="http://schemas.microsoft.com/DAEMSEngagementItemInfoXML"/>
  </ds:schemaRefs>
</ds:datastoreItem>
</file>

<file path=customXml/itemProps39.xml><?xml version="1.0" encoding="utf-8"?>
<ds:datastoreItem xmlns:ds="http://schemas.openxmlformats.org/officeDocument/2006/customXml" ds:itemID="{D1B6E330-D513-4AC6-B1C2-54CD2F85A45F}">
  <ds:schemaRefs>
    <ds:schemaRef ds:uri="http://schemas.openxmlformats.org/officeDocument/2006/bibliography"/>
  </ds:schemaRefs>
</ds:datastoreItem>
</file>

<file path=customXml/itemProps4.xml><?xml version="1.0" encoding="utf-8"?>
<ds:datastoreItem xmlns:ds="http://schemas.openxmlformats.org/officeDocument/2006/customXml" ds:itemID="{251C3271-74B1-44C6-B0D2-F57320AE71A6}">
  <ds:schemaRefs>
    <ds:schemaRef ds:uri="http://schemas.openxmlformats.org/officeDocument/2006/bibliography"/>
  </ds:schemaRefs>
</ds:datastoreItem>
</file>

<file path=customXml/itemProps40.xml><?xml version="1.0" encoding="utf-8"?>
<ds:datastoreItem xmlns:ds="http://schemas.openxmlformats.org/officeDocument/2006/customXml" ds:itemID="{3E25041E-6C40-4D0D-9B49-900BFFCE3C82}">
  <ds:schemaRefs>
    <ds:schemaRef ds:uri="http://schemas.openxmlformats.org/officeDocument/2006/bibliography"/>
  </ds:schemaRefs>
</ds:datastoreItem>
</file>

<file path=customXml/itemProps41.xml><?xml version="1.0" encoding="utf-8"?>
<ds:datastoreItem xmlns:ds="http://schemas.openxmlformats.org/officeDocument/2006/customXml" ds:itemID="{E06E319F-3F54-49EF-BFE6-6F703ABE947F}">
  <ds:schemaRefs>
    <ds:schemaRef ds:uri="http://schemas.openxmlformats.org/officeDocument/2006/bibliography"/>
  </ds:schemaRefs>
</ds:datastoreItem>
</file>

<file path=customXml/itemProps5.xml><?xml version="1.0" encoding="utf-8"?>
<ds:datastoreItem xmlns:ds="http://schemas.openxmlformats.org/officeDocument/2006/customXml" ds:itemID="{7B7E3A48-844A-485E-99BA-2443C7EB5EF0}">
  <ds:schemaRefs>
    <ds:schemaRef ds:uri="http://schemas.openxmlformats.org/officeDocument/2006/bibliography"/>
  </ds:schemaRefs>
</ds:datastoreItem>
</file>

<file path=customXml/itemProps6.xml><?xml version="1.0" encoding="utf-8"?>
<ds:datastoreItem xmlns:ds="http://schemas.openxmlformats.org/officeDocument/2006/customXml" ds:itemID="{13AA97F8-9997-46D5-B746-03E40205D144}">
  <ds:schemaRefs>
    <ds:schemaRef ds:uri="http://schemas.openxmlformats.org/officeDocument/2006/bibliography"/>
  </ds:schemaRefs>
</ds:datastoreItem>
</file>

<file path=customXml/itemProps7.xml><?xml version="1.0" encoding="utf-8"?>
<ds:datastoreItem xmlns:ds="http://schemas.openxmlformats.org/officeDocument/2006/customXml" ds:itemID="{8E2F2AA8-1E59-4F7E-A8CC-859F58FF1B35}">
  <ds:schemaRefs>
    <ds:schemaRef ds:uri="http://schemas.openxmlformats.org/officeDocument/2006/bibliography"/>
  </ds:schemaRefs>
</ds:datastoreItem>
</file>

<file path=customXml/itemProps8.xml><?xml version="1.0" encoding="utf-8"?>
<ds:datastoreItem xmlns:ds="http://schemas.openxmlformats.org/officeDocument/2006/customXml" ds:itemID="{42F97AC6-75ED-4229-9CE9-D13EFB042AB3}">
  <ds:schemaRefs>
    <ds:schemaRef ds:uri="http://schemas.openxmlformats.org/officeDocument/2006/bibliography"/>
  </ds:schemaRefs>
</ds:datastoreItem>
</file>

<file path=customXml/itemProps9.xml><?xml version="1.0" encoding="utf-8"?>
<ds:datastoreItem xmlns:ds="http://schemas.openxmlformats.org/officeDocument/2006/customXml" ds:itemID="{701F67F0-CBC0-41BB-ABA6-E56FFCB0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ACPART</Template>
  <TotalTime>1</TotalTime>
  <Pages>33</Pages>
  <Words>9432</Words>
  <Characters>53763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Deloitte &amp; Touche</Company>
  <LinksUpToDate>false</LinksUpToDate>
  <CharactersWithSpaces>63069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Weighell</dc:creator>
  <dc:description>AC0IFCS8/CLS</dc:description>
  <cp:lastModifiedBy>Lowe, Andrea</cp:lastModifiedBy>
  <cp:revision>2</cp:revision>
  <cp:lastPrinted>2015-08-20T15:26:00Z</cp:lastPrinted>
  <dcterms:created xsi:type="dcterms:W3CDTF">2016-11-09T16:36:00Z</dcterms:created>
  <dcterms:modified xsi:type="dcterms:W3CDTF">2016-11-09T16:36:00Z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0x01010038D458D65FC5D145BC7FF3C57B270837</vt:lpwstr>
  </property>
</Properties>
</file>