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B" w:rsidRPr="00B21650" w:rsidRDefault="00735BD8" w:rsidP="007A609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21650">
        <w:rPr>
          <w:rFonts w:ascii="Arial" w:hAnsi="Arial" w:cs="Arial"/>
          <w:b/>
          <w:sz w:val="32"/>
          <w:szCs w:val="32"/>
        </w:rPr>
        <w:t>Schools Forum: EOTAS funding for Alternative Provision</w:t>
      </w:r>
    </w:p>
    <w:p w:rsidR="002C250C" w:rsidRPr="000E20B1" w:rsidRDefault="002C250C" w:rsidP="007A6098">
      <w:pPr>
        <w:rPr>
          <w:rFonts w:ascii="Arial" w:hAnsi="Arial" w:cs="Arial"/>
          <w:b/>
          <w:szCs w:val="22"/>
        </w:rPr>
      </w:pPr>
    </w:p>
    <w:p w:rsidR="00823A4B" w:rsidRDefault="00735BD8" w:rsidP="00736757">
      <w:pPr>
        <w:rPr>
          <w:rFonts w:ascii="Arial" w:hAnsi="Arial" w:cs="Arial"/>
          <w:b/>
          <w:szCs w:val="22"/>
        </w:rPr>
      </w:pPr>
      <w:r w:rsidRPr="000E20B1">
        <w:rPr>
          <w:rFonts w:ascii="Arial" w:hAnsi="Arial" w:cs="Arial"/>
          <w:b/>
          <w:szCs w:val="22"/>
        </w:rPr>
        <w:t>Background</w:t>
      </w:r>
    </w:p>
    <w:p w:rsidR="003B5F6E" w:rsidRPr="00786672" w:rsidRDefault="003B5F6E" w:rsidP="00736757">
      <w:pPr>
        <w:rPr>
          <w:rFonts w:ascii="Arial" w:hAnsi="Arial" w:cs="Arial"/>
          <w:b/>
          <w:szCs w:val="22"/>
        </w:rPr>
      </w:pPr>
    </w:p>
    <w:p w:rsidR="00801D6F" w:rsidRDefault="00786672" w:rsidP="00E97D37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A61D0" w:rsidRPr="000E20B1">
        <w:rPr>
          <w:rFonts w:ascii="Arial" w:hAnsi="Arial" w:cs="Arial"/>
        </w:rPr>
        <w:t xml:space="preserve">rom 1 April 2013 the EOTAS team </w:t>
      </w:r>
      <w:r>
        <w:rPr>
          <w:rFonts w:ascii="Arial" w:hAnsi="Arial" w:cs="Arial"/>
        </w:rPr>
        <w:t>has</w:t>
      </w:r>
      <w:r w:rsidR="006B62C6" w:rsidRPr="000E20B1">
        <w:rPr>
          <w:rFonts w:ascii="Arial" w:hAnsi="Arial" w:cs="Arial"/>
        </w:rPr>
        <w:t xml:space="preserve"> provided a service</w:t>
      </w:r>
      <w:r w:rsidR="00845C5B">
        <w:rPr>
          <w:rFonts w:ascii="Arial" w:hAnsi="Arial" w:cs="Arial"/>
        </w:rPr>
        <w:t xml:space="preserve"> in partnership with schools/academies</w:t>
      </w:r>
      <w:r w:rsidR="00EA61D0" w:rsidRPr="000E20B1">
        <w:rPr>
          <w:rFonts w:ascii="Arial" w:hAnsi="Arial" w:cs="Arial"/>
        </w:rPr>
        <w:t xml:space="preserve"> to identify and then support those children and young people of statutory school age who are temporarily unable to attend school and may need alternative education programmes arranged for them. </w:t>
      </w:r>
      <w:r w:rsidR="00823A4B" w:rsidRPr="000E2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801D6F" w:rsidRPr="000E20B1">
        <w:rPr>
          <w:rFonts w:ascii="Arial" w:hAnsi="Arial" w:cs="Arial"/>
        </w:rPr>
        <w:t xml:space="preserve"> arrangement </w:t>
      </w:r>
      <w:r w:rsidR="006B62C6" w:rsidRPr="000E20B1">
        <w:rPr>
          <w:rFonts w:ascii="Arial" w:hAnsi="Arial" w:cs="Arial"/>
        </w:rPr>
        <w:t>of an alternative</w:t>
      </w:r>
      <w:r w:rsidR="00801D6F" w:rsidRPr="000E20B1">
        <w:rPr>
          <w:rFonts w:ascii="Arial" w:hAnsi="Arial" w:cs="Arial"/>
        </w:rPr>
        <w:t xml:space="preserve"> programme, quality assurance of providers, monitoring of progress and re-i</w:t>
      </w:r>
      <w:r>
        <w:rPr>
          <w:rFonts w:ascii="Arial" w:hAnsi="Arial" w:cs="Arial"/>
        </w:rPr>
        <w:t xml:space="preserve">ntegration into school are services provided </w:t>
      </w:r>
      <w:r w:rsidR="0014367F">
        <w:rPr>
          <w:rFonts w:ascii="Arial" w:hAnsi="Arial" w:cs="Arial"/>
        </w:rPr>
        <w:t xml:space="preserve">by EOTAS </w:t>
      </w:r>
      <w:r w:rsidR="008D4B86">
        <w:rPr>
          <w:rFonts w:ascii="Arial" w:hAnsi="Arial" w:cs="Arial"/>
        </w:rPr>
        <w:t>via the DSG budget.</w:t>
      </w:r>
    </w:p>
    <w:p w:rsidR="00786672" w:rsidRPr="000E20B1" w:rsidRDefault="00786672" w:rsidP="00E97D37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786672" w:rsidRDefault="00786672" w:rsidP="00E97D37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Regarding pupils who are considered by EOTAS to be at risk of permanent exclusion and who are referred to the team by schools/academies, a </w:t>
      </w:r>
      <w:r w:rsidR="00CA03C1">
        <w:rPr>
          <w:rFonts w:ascii="Arial" w:hAnsi="Arial" w:cs="Arial"/>
        </w:rPr>
        <w:t xml:space="preserve">revised </w:t>
      </w:r>
      <w:r>
        <w:rPr>
          <w:rFonts w:ascii="Arial" w:hAnsi="Arial" w:cs="Arial"/>
        </w:rPr>
        <w:t>prevention of exclusion model was agreed by Schools Forum with effect from 1st April 2013</w:t>
      </w:r>
      <w:r w:rsidR="00CA03C1">
        <w:rPr>
          <w:rFonts w:ascii="Arial" w:hAnsi="Arial" w:cs="Arial"/>
        </w:rPr>
        <w:t xml:space="preserve"> to coincide with the new formula funding arrangements</w:t>
      </w:r>
      <w:r>
        <w:rPr>
          <w:rFonts w:ascii="Arial" w:hAnsi="Arial" w:cs="Arial"/>
        </w:rPr>
        <w:t>:</w:t>
      </w:r>
    </w:p>
    <w:p w:rsidR="00786672" w:rsidRDefault="00786672" w:rsidP="00E97D37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3B2454" w:rsidRPr="002D7345" w:rsidRDefault="00801D6F" w:rsidP="006539D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D7345">
        <w:rPr>
          <w:rFonts w:ascii="Arial" w:hAnsi="Arial" w:cs="Arial"/>
        </w:rPr>
        <w:t>I</w:t>
      </w:r>
      <w:r w:rsidR="009427B6" w:rsidRPr="002D7345">
        <w:rPr>
          <w:rFonts w:ascii="Arial" w:hAnsi="Arial" w:cs="Arial"/>
        </w:rPr>
        <w:t xml:space="preserve">n the case of the </w:t>
      </w:r>
      <w:r w:rsidR="00F457EF" w:rsidRPr="002D7345">
        <w:rPr>
          <w:rFonts w:ascii="Arial" w:hAnsi="Arial" w:cs="Arial"/>
          <w:b/>
        </w:rPr>
        <w:t>Pupil Referral Unit</w:t>
      </w:r>
      <w:r w:rsidR="00F457EF" w:rsidRPr="002D7345">
        <w:rPr>
          <w:rFonts w:ascii="Arial" w:hAnsi="Arial" w:cs="Arial"/>
        </w:rPr>
        <w:t xml:space="preserve"> (</w:t>
      </w:r>
      <w:r w:rsidR="009427B6" w:rsidRPr="002D7345">
        <w:rPr>
          <w:rFonts w:ascii="Arial" w:hAnsi="Arial" w:cs="Arial"/>
        </w:rPr>
        <w:t>PRU</w:t>
      </w:r>
      <w:r w:rsidR="00F457EF" w:rsidRPr="002D7345">
        <w:rPr>
          <w:rFonts w:ascii="Arial" w:hAnsi="Arial" w:cs="Arial"/>
        </w:rPr>
        <w:t>)</w:t>
      </w:r>
      <w:r w:rsidR="009427B6" w:rsidRPr="002D7345">
        <w:rPr>
          <w:rFonts w:ascii="Arial" w:hAnsi="Arial" w:cs="Arial"/>
        </w:rPr>
        <w:t xml:space="preserve">, the </w:t>
      </w:r>
      <w:r w:rsidR="00CE3CFC" w:rsidRPr="002D7345">
        <w:rPr>
          <w:rFonts w:ascii="Arial" w:hAnsi="Arial" w:cs="Arial"/>
        </w:rPr>
        <w:t>Council agreed to</w:t>
      </w:r>
      <w:r w:rsidR="009427B6" w:rsidRPr="002D7345">
        <w:rPr>
          <w:rFonts w:ascii="Arial" w:hAnsi="Arial" w:cs="Arial"/>
        </w:rPr>
        <w:t xml:space="preserve"> </w:t>
      </w:r>
      <w:r w:rsidR="0000664B" w:rsidRPr="002D7345">
        <w:rPr>
          <w:rFonts w:ascii="Arial" w:hAnsi="Arial" w:cs="Arial"/>
        </w:rPr>
        <w:t xml:space="preserve">continue to meet any additional </w:t>
      </w:r>
      <w:r w:rsidR="009427B6" w:rsidRPr="002D7345">
        <w:rPr>
          <w:rFonts w:ascii="Arial" w:hAnsi="Arial" w:cs="Arial"/>
        </w:rPr>
        <w:t xml:space="preserve">Transport Costs </w:t>
      </w:r>
      <w:r w:rsidR="00613421" w:rsidRPr="002D7345">
        <w:rPr>
          <w:rFonts w:ascii="Arial" w:hAnsi="Arial" w:cs="Arial"/>
        </w:rPr>
        <w:t>provided that agreement i</w:t>
      </w:r>
      <w:r w:rsidR="00FB2BD9" w:rsidRPr="002D7345">
        <w:rPr>
          <w:rFonts w:ascii="Arial" w:hAnsi="Arial" w:cs="Arial"/>
        </w:rPr>
        <w:t>s sought in advance of the placement</w:t>
      </w:r>
      <w:r w:rsidR="006539DB" w:rsidRPr="002D7345">
        <w:rPr>
          <w:rFonts w:ascii="Arial" w:hAnsi="Arial" w:cs="Arial"/>
        </w:rPr>
        <w:t xml:space="preserve">.  </w:t>
      </w:r>
      <w:r w:rsidR="008A66BB" w:rsidRPr="002D7345">
        <w:rPr>
          <w:rFonts w:ascii="Arial" w:hAnsi="Arial" w:cs="Arial"/>
        </w:rPr>
        <w:t>The Council also pays the cost of the placement up to £8</w:t>
      </w:r>
      <w:r w:rsidR="003B5F6E">
        <w:rPr>
          <w:rFonts w:ascii="Arial" w:hAnsi="Arial" w:cs="Arial"/>
        </w:rPr>
        <w:t>,</w:t>
      </w:r>
      <w:r w:rsidR="008A66BB" w:rsidRPr="002D7345">
        <w:rPr>
          <w:rFonts w:ascii="Arial" w:hAnsi="Arial" w:cs="Arial"/>
        </w:rPr>
        <w:t xml:space="preserve">000 which was agreed </w:t>
      </w:r>
      <w:r w:rsidR="00722419" w:rsidRPr="002D7345">
        <w:rPr>
          <w:rFonts w:ascii="Arial" w:hAnsi="Arial" w:cs="Arial"/>
        </w:rPr>
        <w:t xml:space="preserve">then </w:t>
      </w:r>
      <w:r w:rsidR="008A66BB" w:rsidRPr="002D7345">
        <w:rPr>
          <w:rFonts w:ascii="Arial" w:hAnsi="Arial" w:cs="Arial"/>
        </w:rPr>
        <w:t>on a pro rata basis to be £</w:t>
      </w:r>
      <w:r w:rsidR="00722419" w:rsidRPr="002D7345">
        <w:rPr>
          <w:rFonts w:ascii="Arial" w:hAnsi="Arial" w:cs="Arial"/>
        </w:rPr>
        <w:t xml:space="preserve">41 </w:t>
      </w:r>
      <w:r w:rsidR="008A66BB" w:rsidRPr="002D7345">
        <w:rPr>
          <w:rFonts w:ascii="Arial" w:hAnsi="Arial" w:cs="Arial"/>
        </w:rPr>
        <w:t>per day.</w:t>
      </w:r>
      <w:r w:rsidR="009437EA" w:rsidRPr="002D7345">
        <w:rPr>
          <w:rFonts w:ascii="Arial" w:hAnsi="Arial" w:cs="Arial"/>
        </w:rPr>
        <w:t xml:space="preserve">  </w:t>
      </w:r>
      <w:r w:rsidR="00AD2F24" w:rsidRPr="002D7345">
        <w:rPr>
          <w:rFonts w:ascii="Arial" w:hAnsi="Arial" w:cs="Arial"/>
        </w:rPr>
        <w:t>Schools</w:t>
      </w:r>
      <w:r w:rsidR="00290AFB" w:rsidRPr="002D7345">
        <w:rPr>
          <w:rFonts w:ascii="Arial" w:hAnsi="Arial" w:cs="Arial"/>
        </w:rPr>
        <w:t>/academies</w:t>
      </w:r>
      <w:r w:rsidR="00AD2F24" w:rsidRPr="002D7345">
        <w:rPr>
          <w:rFonts w:ascii="Arial" w:hAnsi="Arial" w:cs="Arial"/>
        </w:rPr>
        <w:t xml:space="preserve"> </w:t>
      </w:r>
      <w:r w:rsidR="00CE3CFC" w:rsidRPr="002D7345">
        <w:rPr>
          <w:rFonts w:ascii="Arial" w:hAnsi="Arial" w:cs="Arial"/>
        </w:rPr>
        <w:t>are</w:t>
      </w:r>
      <w:r w:rsidR="00AD2F24" w:rsidRPr="002D7345">
        <w:rPr>
          <w:rFonts w:ascii="Arial" w:hAnsi="Arial" w:cs="Arial"/>
        </w:rPr>
        <w:t xml:space="preserve"> charged the </w:t>
      </w:r>
      <w:r w:rsidR="0000664B" w:rsidRPr="002D7345">
        <w:rPr>
          <w:rFonts w:ascii="Arial" w:hAnsi="Arial" w:cs="Arial"/>
        </w:rPr>
        <w:t>Top-Up costs</w:t>
      </w:r>
      <w:r w:rsidR="00796622" w:rsidRPr="002D7345">
        <w:rPr>
          <w:rFonts w:ascii="Arial" w:hAnsi="Arial" w:cs="Arial"/>
        </w:rPr>
        <w:t xml:space="preserve"> </w:t>
      </w:r>
      <w:r w:rsidR="006910D9" w:rsidRPr="002D7345">
        <w:rPr>
          <w:rFonts w:ascii="Arial" w:hAnsi="Arial" w:cs="Arial"/>
        </w:rPr>
        <w:t>(in excess of £8 000</w:t>
      </w:r>
      <w:proofErr w:type="gramStart"/>
      <w:r w:rsidR="006910D9" w:rsidRPr="002D7345">
        <w:rPr>
          <w:rFonts w:ascii="Arial" w:hAnsi="Arial" w:cs="Arial"/>
        </w:rPr>
        <w:t xml:space="preserve">) </w:t>
      </w:r>
      <w:r w:rsidR="008A66BB" w:rsidRPr="002D7345">
        <w:rPr>
          <w:rFonts w:ascii="Arial" w:hAnsi="Arial" w:cs="Arial"/>
        </w:rPr>
        <w:t xml:space="preserve"> </w:t>
      </w:r>
      <w:r w:rsidR="00CE3CFC" w:rsidRPr="002D7345">
        <w:rPr>
          <w:rFonts w:ascii="Arial" w:hAnsi="Arial" w:cs="Arial"/>
        </w:rPr>
        <w:t>for</w:t>
      </w:r>
      <w:proofErr w:type="gramEnd"/>
      <w:r w:rsidR="00CE3CFC" w:rsidRPr="002D7345">
        <w:rPr>
          <w:rFonts w:ascii="Arial" w:hAnsi="Arial" w:cs="Arial"/>
        </w:rPr>
        <w:t xml:space="preserve"> the placement </w:t>
      </w:r>
      <w:r w:rsidR="00AD2F24" w:rsidRPr="002D7345">
        <w:rPr>
          <w:rFonts w:ascii="Arial" w:hAnsi="Arial" w:cs="Arial"/>
        </w:rPr>
        <w:t>directly from the PRU</w:t>
      </w:r>
      <w:r w:rsidR="00796622" w:rsidRPr="002D7345">
        <w:rPr>
          <w:rFonts w:ascii="Arial" w:hAnsi="Arial" w:cs="Arial"/>
        </w:rPr>
        <w:t xml:space="preserve"> on a pro-rata basis</w:t>
      </w:r>
      <w:r w:rsidR="008A66BB" w:rsidRPr="002D7345">
        <w:rPr>
          <w:rFonts w:ascii="Arial" w:hAnsi="Arial" w:cs="Arial"/>
        </w:rPr>
        <w:t xml:space="preserve">.  </w:t>
      </w:r>
      <w:r w:rsidR="003B2454" w:rsidRPr="002D7345">
        <w:rPr>
          <w:rFonts w:ascii="Arial" w:hAnsi="Arial" w:cs="Arial"/>
        </w:rPr>
        <w:t>Where the Alternative Provider is a Special School like Atkinson House, the same principles apply</w:t>
      </w:r>
      <w:r w:rsidR="00C6159F" w:rsidRPr="002D7345">
        <w:rPr>
          <w:rFonts w:ascii="Arial" w:hAnsi="Arial" w:cs="Arial"/>
        </w:rPr>
        <w:t xml:space="preserve"> </w:t>
      </w:r>
      <w:r w:rsidR="003B2454" w:rsidRPr="002D7345">
        <w:rPr>
          <w:rFonts w:ascii="Arial" w:hAnsi="Arial" w:cs="Arial"/>
        </w:rPr>
        <w:t>except that the Top-Up relate</w:t>
      </w:r>
      <w:r w:rsidR="00C6159F" w:rsidRPr="002D7345">
        <w:rPr>
          <w:rFonts w:ascii="Arial" w:hAnsi="Arial" w:cs="Arial"/>
        </w:rPr>
        <w:t>s</w:t>
      </w:r>
      <w:r w:rsidR="006910D9" w:rsidRPr="002D7345">
        <w:rPr>
          <w:rFonts w:ascii="Arial" w:hAnsi="Arial" w:cs="Arial"/>
        </w:rPr>
        <w:t xml:space="preserve"> to costs in excess of £10,000.</w:t>
      </w:r>
    </w:p>
    <w:p w:rsidR="006910D9" w:rsidRPr="006910D9" w:rsidRDefault="006910D9" w:rsidP="006910D9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801D6F" w:rsidRDefault="00EA136A" w:rsidP="00EA136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case of</w:t>
      </w:r>
      <w:r w:rsidR="009427B6" w:rsidRPr="000E20B1">
        <w:rPr>
          <w:rFonts w:ascii="Arial" w:hAnsi="Arial" w:cs="Arial"/>
        </w:rPr>
        <w:t xml:space="preserve"> other </w:t>
      </w:r>
      <w:r w:rsidR="009427B6" w:rsidRPr="00613421">
        <w:rPr>
          <w:rFonts w:ascii="Arial" w:hAnsi="Arial" w:cs="Arial"/>
          <w:b/>
        </w:rPr>
        <w:t>Alternative Providers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Skills 4U, GUST)</w:t>
      </w:r>
      <w:r w:rsidR="009427B6" w:rsidRPr="000E20B1">
        <w:rPr>
          <w:rFonts w:ascii="Arial" w:hAnsi="Arial" w:cs="Arial"/>
        </w:rPr>
        <w:t xml:space="preserve"> the same principles</w:t>
      </w:r>
      <w:r w:rsidR="00554704" w:rsidRPr="000E20B1">
        <w:rPr>
          <w:rFonts w:ascii="Arial" w:hAnsi="Arial" w:cs="Arial"/>
        </w:rPr>
        <w:t xml:space="preserve"> currently</w:t>
      </w:r>
      <w:r w:rsidR="009427B6" w:rsidRPr="000E20B1">
        <w:rPr>
          <w:rFonts w:ascii="Arial" w:hAnsi="Arial" w:cs="Arial"/>
        </w:rPr>
        <w:t xml:space="preserve"> apply</w:t>
      </w:r>
      <w:r>
        <w:rPr>
          <w:rFonts w:ascii="Arial" w:hAnsi="Arial" w:cs="Arial"/>
        </w:rPr>
        <w:t xml:space="preserve"> as above</w:t>
      </w:r>
      <w:r w:rsidR="009427B6" w:rsidRPr="000E20B1">
        <w:rPr>
          <w:rFonts w:ascii="Arial" w:hAnsi="Arial" w:cs="Arial"/>
        </w:rPr>
        <w:t xml:space="preserve">.  When a school commissions a place with one of these other Alternative Providers, </w:t>
      </w:r>
      <w:r w:rsidR="00225EA7" w:rsidRPr="000E20B1">
        <w:rPr>
          <w:rFonts w:ascii="Arial" w:hAnsi="Arial" w:cs="Arial"/>
        </w:rPr>
        <w:t xml:space="preserve">provided that the </w:t>
      </w:r>
      <w:r w:rsidR="00AC3D21">
        <w:rPr>
          <w:rFonts w:ascii="Arial" w:hAnsi="Arial" w:cs="Arial"/>
        </w:rPr>
        <w:t>pupil has been referred to EOTAS and the placement is agreed</w:t>
      </w:r>
      <w:r w:rsidR="00225EA7" w:rsidRPr="000E20B1">
        <w:rPr>
          <w:rFonts w:ascii="Arial" w:hAnsi="Arial" w:cs="Arial"/>
        </w:rPr>
        <w:t xml:space="preserve">, </w:t>
      </w:r>
      <w:r w:rsidR="009427B6" w:rsidRPr="000E20B1">
        <w:rPr>
          <w:rFonts w:ascii="Arial" w:hAnsi="Arial" w:cs="Arial"/>
        </w:rPr>
        <w:t xml:space="preserve">the Council </w:t>
      </w:r>
      <w:r w:rsidR="00C6159F" w:rsidRPr="000E20B1">
        <w:rPr>
          <w:rFonts w:ascii="Arial" w:hAnsi="Arial" w:cs="Arial"/>
        </w:rPr>
        <w:t xml:space="preserve">meets </w:t>
      </w:r>
      <w:r w:rsidR="00225EA7" w:rsidRPr="000E20B1">
        <w:rPr>
          <w:rFonts w:ascii="Arial" w:hAnsi="Arial" w:cs="Arial"/>
        </w:rPr>
        <w:t xml:space="preserve">up to </w:t>
      </w:r>
      <w:r w:rsidR="009427B6" w:rsidRPr="000E20B1">
        <w:rPr>
          <w:rFonts w:ascii="Arial" w:hAnsi="Arial" w:cs="Arial"/>
        </w:rPr>
        <w:t xml:space="preserve">the first £8,000 of each </w:t>
      </w:r>
      <w:r w:rsidR="0000664B" w:rsidRPr="000E20B1">
        <w:rPr>
          <w:rFonts w:ascii="Arial" w:hAnsi="Arial" w:cs="Arial"/>
        </w:rPr>
        <w:t xml:space="preserve">full-time </w:t>
      </w:r>
      <w:r w:rsidR="009427B6" w:rsidRPr="000E20B1">
        <w:rPr>
          <w:rFonts w:ascii="Arial" w:hAnsi="Arial" w:cs="Arial"/>
        </w:rPr>
        <w:t>place</w:t>
      </w:r>
      <w:r w:rsidR="00F457EF" w:rsidRPr="000E20B1">
        <w:rPr>
          <w:rFonts w:ascii="Arial" w:hAnsi="Arial" w:cs="Arial"/>
        </w:rPr>
        <w:t xml:space="preserve"> on a pro-rata basis</w:t>
      </w:r>
      <w:r w:rsidR="00613421">
        <w:rPr>
          <w:rFonts w:ascii="Arial" w:hAnsi="Arial" w:cs="Arial"/>
        </w:rPr>
        <w:t xml:space="preserve"> </w:t>
      </w:r>
      <w:r w:rsidR="009437EA">
        <w:rPr>
          <w:rFonts w:ascii="Arial" w:hAnsi="Arial" w:cs="Arial"/>
        </w:rPr>
        <w:t>(£</w:t>
      </w:r>
      <w:r w:rsidR="00722419">
        <w:rPr>
          <w:rFonts w:ascii="Arial" w:hAnsi="Arial" w:cs="Arial"/>
        </w:rPr>
        <w:t xml:space="preserve">41 </w:t>
      </w:r>
      <w:r w:rsidR="009437EA">
        <w:rPr>
          <w:rFonts w:ascii="Arial" w:hAnsi="Arial" w:cs="Arial"/>
        </w:rPr>
        <w:t xml:space="preserve">per day) </w:t>
      </w:r>
      <w:r w:rsidR="00613421">
        <w:rPr>
          <w:rFonts w:ascii="Arial" w:hAnsi="Arial" w:cs="Arial"/>
        </w:rPr>
        <w:t>and the additional Transport Costs</w:t>
      </w:r>
      <w:r w:rsidR="009427B6" w:rsidRPr="000E20B1">
        <w:rPr>
          <w:rFonts w:ascii="Arial" w:hAnsi="Arial" w:cs="Arial"/>
        </w:rPr>
        <w:t>, with the school meeting the Top-Up costs</w:t>
      </w:r>
      <w:r w:rsidR="00FB2BD9" w:rsidRPr="000E20B1">
        <w:rPr>
          <w:rFonts w:ascii="Arial" w:hAnsi="Arial" w:cs="Arial"/>
        </w:rPr>
        <w:t xml:space="preserve"> on a pro-rata</w:t>
      </w:r>
      <w:r w:rsidR="00796622" w:rsidRPr="000E20B1">
        <w:rPr>
          <w:rFonts w:ascii="Arial" w:hAnsi="Arial" w:cs="Arial"/>
        </w:rPr>
        <w:t xml:space="preserve"> basis</w:t>
      </w:r>
      <w:r w:rsidR="009427B6" w:rsidRPr="000E20B1">
        <w:rPr>
          <w:rFonts w:ascii="Arial" w:hAnsi="Arial" w:cs="Arial"/>
        </w:rPr>
        <w:t>.</w:t>
      </w:r>
      <w:r w:rsidR="00AC3D21">
        <w:rPr>
          <w:rFonts w:ascii="Arial" w:hAnsi="Arial" w:cs="Arial"/>
        </w:rPr>
        <w:t xml:space="preserve">  </w:t>
      </w:r>
      <w:r w:rsidR="00613421">
        <w:rPr>
          <w:rFonts w:ascii="Arial" w:hAnsi="Arial" w:cs="Arial"/>
        </w:rPr>
        <w:t>T</w:t>
      </w:r>
      <w:r w:rsidR="00C6159F" w:rsidRPr="000E20B1">
        <w:rPr>
          <w:rFonts w:ascii="Arial" w:hAnsi="Arial" w:cs="Arial"/>
        </w:rPr>
        <w:t xml:space="preserve">he </w:t>
      </w:r>
      <w:r w:rsidR="00796622" w:rsidRPr="000E20B1">
        <w:rPr>
          <w:rFonts w:ascii="Arial" w:hAnsi="Arial" w:cs="Arial"/>
        </w:rPr>
        <w:t>provider invoice</w:t>
      </w:r>
      <w:r w:rsidR="00C6159F" w:rsidRPr="000E20B1">
        <w:rPr>
          <w:rFonts w:ascii="Arial" w:hAnsi="Arial" w:cs="Arial"/>
        </w:rPr>
        <w:t>s</w:t>
      </w:r>
      <w:r w:rsidR="00796622" w:rsidRPr="000E20B1">
        <w:rPr>
          <w:rFonts w:ascii="Arial" w:hAnsi="Arial" w:cs="Arial"/>
        </w:rPr>
        <w:t xml:space="preserve"> the school for the full costs, and the Council reimburse</w:t>
      </w:r>
      <w:r w:rsidR="00C6159F" w:rsidRPr="000E20B1">
        <w:rPr>
          <w:rFonts w:ascii="Arial" w:hAnsi="Arial" w:cs="Arial"/>
        </w:rPr>
        <w:t>s</w:t>
      </w:r>
      <w:r w:rsidR="00796622" w:rsidRPr="000E20B1">
        <w:rPr>
          <w:rFonts w:ascii="Arial" w:hAnsi="Arial" w:cs="Arial"/>
        </w:rPr>
        <w:t xml:space="preserve"> the school </w:t>
      </w:r>
      <w:r w:rsidR="00F457EF" w:rsidRPr="000E20B1">
        <w:rPr>
          <w:rFonts w:ascii="Arial" w:hAnsi="Arial" w:cs="Arial"/>
        </w:rPr>
        <w:t xml:space="preserve">for </w:t>
      </w:r>
      <w:r w:rsidR="00796622" w:rsidRPr="000E20B1">
        <w:rPr>
          <w:rFonts w:ascii="Arial" w:hAnsi="Arial" w:cs="Arial"/>
        </w:rPr>
        <w:t xml:space="preserve">the £8,000 </w:t>
      </w:r>
      <w:r w:rsidR="00AD2F24" w:rsidRPr="000E20B1">
        <w:rPr>
          <w:rFonts w:ascii="Arial" w:hAnsi="Arial" w:cs="Arial"/>
        </w:rPr>
        <w:t xml:space="preserve">base cost </w:t>
      </w:r>
      <w:r w:rsidR="00796622" w:rsidRPr="000E20B1">
        <w:rPr>
          <w:rFonts w:ascii="Arial" w:hAnsi="Arial" w:cs="Arial"/>
        </w:rPr>
        <w:t>on a pro</w:t>
      </w:r>
      <w:r w:rsidR="00FB2BD9" w:rsidRPr="000E20B1">
        <w:rPr>
          <w:rFonts w:ascii="Arial" w:hAnsi="Arial" w:cs="Arial"/>
        </w:rPr>
        <w:t>-</w:t>
      </w:r>
      <w:r w:rsidR="00796622" w:rsidRPr="000E20B1">
        <w:rPr>
          <w:rFonts w:ascii="Arial" w:hAnsi="Arial" w:cs="Arial"/>
        </w:rPr>
        <w:t>rata basis.</w:t>
      </w:r>
      <w:r w:rsidR="009437EA">
        <w:rPr>
          <w:rFonts w:ascii="Arial" w:hAnsi="Arial" w:cs="Arial"/>
        </w:rPr>
        <w:t xml:space="preserve">  The average daily Top Up cost of an independent Alternative Provider </w:t>
      </w:r>
      <w:r w:rsidR="008D4B86">
        <w:rPr>
          <w:rFonts w:ascii="Arial" w:hAnsi="Arial" w:cs="Arial"/>
        </w:rPr>
        <w:t>varies but averages at £65.</w:t>
      </w:r>
    </w:p>
    <w:p w:rsidR="00722419" w:rsidRPr="008D4B86" w:rsidRDefault="00722419" w:rsidP="008D4B86">
      <w:pPr>
        <w:ind w:left="360"/>
        <w:rPr>
          <w:rFonts w:ascii="Arial" w:hAnsi="Arial" w:cs="Arial"/>
        </w:rPr>
      </w:pPr>
    </w:p>
    <w:p w:rsidR="00116407" w:rsidRPr="002D7345" w:rsidRDefault="00722419" w:rsidP="00116407">
      <w:pPr>
        <w:rPr>
          <w:rFonts w:ascii="Arial" w:eastAsiaTheme="minorHAnsi" w:hAnsi="Arial" w:cs="Arial"/>
          <w:szCs w:val="22"/>
        </w:rPr>
      </w:pPr>
      <w:r>
        <w:rPr>
          <w:rFonts w:ascii="Arial" w:hAnsi="Arial" w:cs="Arial"/>
        </w:rPr>
        <w:t>In February 2014 Schools Forum reviewed the arrangements implemented fr</w:t>
      </w:r>
      <w:r w:rsidR="003B5F6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 April 2013. Although it was felt that the basic principles </w:t>
      </w:r>
      <w:r w:rsidR="00116407">
        <w:rPr>
          <w:rFonts w:ascii="Arial" w:hAnsi="Arial" w:cs="Arial"/>
        </w:rPr>
        <w:t xml:space="preserve">on which the new funding of AP arrangements were sound the actual reimbursements to schools had been over generous </w:t>
      </w:r>
      <w:r w:rsidR="008D4B86">
        <w:rPr>
          <w:rFonts w:ascii="Arial" w:eastAsiaTheme="minorHAnsi" w:hAnsi="Arial" w:cs="Arial"/>
          <w:szCs w:val="22"/>
        </w:rPr>
        <w:t>and some schools were benefiting financial</w:t>
      </w:r>
      <w:r w:rsidR="009160FA">
        <w:rPr>
          <w:rFonts w:ascii="Arial" w:eastAsiaTheme="minorHAnsi" w:hAnsi="Arial" w:cs="Arial"/>
          <w:szCs w:val="22"/>
        </w:rPr>
        <w:t>ly.  I</w:t>
      </w:r>
      <w:r w:rsidR="008D4B86">
        <w:rPr>
          <w:rFonts w:ascii="Arial" w:eastAsiaTheme="minorHAnsi" w:hAnsi="Arial" w:cs="Arial"/>
          <w:szCs w:val="22"/>
        </w:rPr>
        <w:t>n some cases the LA was</w:t>
      </w:r>
      <w:r w:rsidR="00116407" w:rsidRPr="002D7345">
        <w:rPr>
          <w:rFonts w:ascii="Arial" w:eastAsiaTheme="minorHAnsi" w:hAnsi="Arial" w:cs="Arial"/>
          <w:szCs w:val="22"/>
        </w:rPr>
        <w:t xml:space="preserve"> funding the A</w:t>
      </w:r>
      <w:r w:rsidR="008D4B86">
        <w:rPr>
          <w:rFonts w:ascii="Arial" w:eastAsiaTheme="minorHAnsi" w:hAnsi="Arial" w:cs="Arial"/>
          <w:szCs w:val="22"/>
        </w:rPr>
        <w:t xml:space="preserve">P programme </w:t>
      </w:r>
      <w:r w:rsidR="00116407" w:rsidRPr="002D7345">
        <w:rPr>
          <w:rFonts w:ascii="Arial" w:eastAsiaTheme="minorHAnsi" w:hAnsi="Arial" w:cs="Arial"/>
          <w:szCs w:val="22"/>
        </w:rPr>
        <w:t>entirely and schools retain</w:t>
      </w:r>
      <w:r w:rsidR="008D4B86">
        <w:rPr>
          <w:rFonts w:ascii="Arial" w:eastAsiaTheme="minorHAnsi" w:hAnsi="Arial" w:cs="Arial"/>
          <w:szCs w:val="22"/>
        </w:rPr>
        <w:t>ed</w:t>
      </w:r>
      <w:r w:rsidR="009160FA">
        <w:rPr>
          <w:rFonts w:ascii="Arial" w:eastAsiaTheme="minorHAnsi" w:hAnsi="Arial" w:cs="Arial"/>
          <w:szCs w:val="22"/>
        </w:rPr>
        <w:t xml:space="preserve"> all the pupil led funding even</w:t>
      </w:r>
      <w:r w:rsidR="00116407" w:rsidRPr="002D7345">
        <w:rPr>
          <w:rFonts w:ascii="Arial" w:eastAsiaTheme="minorHAnsi" w:hAnsi="Arial" w:cs="Arial"/>
          <w:szCs w:val="22"/>
        </w:rPr>
        <w:t xml:space="preserve"> though the </w:t>
      </w:r>
      <w:r w:rsidR="009160FA">
        <w:rPr>
          <w:rFonts w:ascii="Arial" w:eastAsiaTheme="minorHAnsi" w:hAnsi="Arial" w:cs="Arial"/>
          <w:szCs w:val="22"/>
        </w:rPr>
        <w:t>pupil was</w:t>
      </w:r>
      <w:r w:rsidR="00116407" w:rsidRPr="002D7345">
        <w:rPr>
          <w:rFonts w:ascii="Arial" w:eastAsiaTheme="minorHAnsi" w:hAnsi="Arial" w:cs="Arial"/>
          <w:szCs w:val="22"/>
        </w:rPr>
        <w:t xml:space="preserve"> not in school at all. </w:t>
      </w:r>
    </w:p>
    <w:p w:rsidR="00116407" w:rsidRPr="00116407" w:rsidRDefault="00116407" w:rsidP="00116407">
      <w:pPr>
        <w:rPr>
          <w:rFonts w:asciiTheme="minorHAnsi" w:eastAsiaTheme="minorHAnsi" w:hAnsiTheme="minorHAnsi" w:cstheme="minorBidi"/>
          <w:szCs w:val="22"/>
        </w:rPr>
      </w:pPr>
    </w:p>
    <w:p w:rsidR="003B5F6E" w:rsidRDefault="00116407" w:rsidP="002D7345">
      <w:pPr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0B14A6">
        <w:rPr>
          <w:rFonts w:ascii="Arial" w:hAnsi="Arial" w:cs="Arial"/>
        </w:rPr>
        <w:t xml:space="preserve"> was agreed that </w:t>
      </w:r>
      <w:r w:rsidR="009160F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funding ratio </w:t>
      </w:r>
      <w:r w:rsidR="009160FA">
        <w:rPr>
          <w:rFonts w:ascii="Arial" w:hAnsi="Arial" w:cs="Arial"/>
        </w:rPr>
        <w:t xml:space="preserve">between the LA and schools </w:t>
      </w:r>
      <w:r>
        <w:rPr>
          <w:rFonts w:ascii="Arial" w:hAnsi="Arial" w:cs="Arial"/>
        </w:rPr>
        <w:t>needed to be adjusted.</w:t>
      </w:r>
    </w:p>
    <w:p w:rsidR="003B5F6E" w:rsidRDefault="00116407" w:rsidP="002D7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2419" w:rsidRPr="002D7345" w:rsidRDefault="00116407" w:rsidP="002D734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D7345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April 2014 </w:t>
      </w:r>
      <w:r w:rsidR="009160FA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the EOTAS </w:t>
      </w:r>
      <w:r w:rsidR="002D7345">
        <w:rPr>
          <w:rFonts w:ascii="Arial" w:hAnsi="Arial" w:cs="Arial"/>
        </w:rPr>
        <w:t xml:space="preserve">budget </w:t>
      </w:r>
      <w:r w:rsidR="009160FA">
        <w:rPr>
          <w:rFonts w:ascii="Arial" w:hAnsi="Arial" w:cs="Arial"/>
        </w:rPr>
        <w:t>has met</w:t>
      </w:r>
      <w:r>
        <w:rPr>
          <w:rFonts w:ascii="Arial" w:hAnsi="Arial" w:cs="Arial"/>
        </w:rPr>
        <w:t xml:space="preserve"> up to the first £4,875 of each full time place on a pro-rata basis</w:t>
      </w:r>
      <w:r w:rsidR="003C2E4E">
        <w:rPr>
          <w:rFonts w:ascii="Arial" w:hAnsi="Arial" w:cs="Arial"/>
        </w:rPr>
        <w:t>, with the school funding any costs above this. This equated to a reimbursement of £25 per day fr</w:t>
      </w:r>
      <w:r w:rsidR="003B5F6E">
        <w:rPr>
          <w:rFonts w:ascii="Arial" w:hAnsi="Arial" w:cs="Arial"/>
        </w:rPr>
        <w:t>o</w:t>
      </w:r>
      <w:r w:rsidR="003C2E4E">
        <w:rPr>
          <w:rFonts w:ascii="Arial" w:hAnsi="Arial" w:cs="Arial"/>
        </w:rPr>
        <w:t>m the EOTAS budget to the school.</w:t>
      </w:r>
    </w:p>
    <w:p w:rsidR="00225EA7" w:rsidRPr="000E20B1" w:rsidRDefault="00225EA7" w:rsidP="00A21EB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E361A" w:rsidRPr="000E20B1" w:rsidRDefault="00FB77BF" w:rsidP="00AC3D21">
      <w:pPr>
        <w:rPr>
          <w:rFonts w:ascii="Arial" w:hAnsi="Arial" w:cs="Arial"/>
          <w:szCs w:val="22"/>
        </w:rPr>
      </w:pPr>
      <w:r w:rsidRPr="000E20B1">
        <w:rPr>
          <w:rFonts w:ascii="Arial" w:hAnsi="Arial" w:cs="Arial"/>
          <w:szCs w:val="22"/>
        </w:rPr>
        <w:t>In the case of a pupil who has been permanentl</w:t>
      </w:r>
      <w:r w:rsidR="009160FA">
        <w:rPr>
          <w:rFonts w:ascii="Arial" w:hAnsi="Arial" w:cs="Arial"/>
          <w:szCs w:val="22"/>
        </w:rPr>
        <w:t>y excluded</w:t>
      </w:r>
      <w:r w:rsidRPr="000E20B1">
        <w:rPr>
          <w:rFonts w:ascii="Arial" w:hAnsi="Arial" w:cs="Arial"/>
          <w:szCs w:val="22"/>
        </w:rPr>
        <w:t xml:space="preserve"> </w:t>
      </w:r>
      <w:r w:rsidR="009160FA">
        <w:rPr>
          <w:rFonts w:ascii="Arial" w:hAnsi="Arial" w:cs="Arial"/>
          <w:szCs w:val="22"/>
        </w:rPr>
        <w:t>we</w:t>
      </w:r>
      <w:r w:rsidRPr="000E20B1">
        <w:rPr>
          <w:rFonts w:ascii="Arial" w:hAnsi="Arial" w:cs="Arial"/>
          <w:szCs w:val="22"/>
        </w:rPr>
        <w:t xml:space="preserve"> </w:t>
      </w:r>
      <w:r w:rsidR="009160FA">
        <w:rPr>
          <w:rFonts w:ascii="Arial" w:hAnsi="Arial" w:cs="Arial"/>
          <w:szCs w:val="22"/>
        </w:rPr>
        <w:t>continue</w:t>
      </w:r>
      <w:r w:rsidRPr="000E20B1">
        <w:rPr>
          <w:rFonts w:ascii="Arial" w:hAnsi="Arial" w:cs="Arial"/>
          <w:szCs w:val="22"/>
        </w:rPr>
        <w:t xml:space="preserve"> to meet th</w:t>
      </w:r>
      <w:r w:rsidR="00AC3D21">
        <w:rPr>
          <w:rFonts w:ascii="Arial" w:hAnsi="Arial" w:cs="Arial"/>
          <w:szCs w:val="22"/>
        </w:rPr>
        <w:t xml:space="preserve">e </w:t>
      </w:r>
      <w:r w:rsidR="004D71C6">
        <w:rPr>
          <w:rFonts w:ascii="Arial" w:hAnsi="Arial" w:cs="Arial"/>
          <w:szCs w:val="22"/>
        </w:rPr>
        <w:t xml:space="preserve">full </w:t>
      </w:r>
      <w:r w:rsidR="00AC3D21">
        <w:rPr>
          <w:rFonts w:ascii="Arial" w:hAnsi="Arial" w:cs="Arial"/>
          <w:szCs w:val="22"/>
        </w:rPr>
        <w:t>cost of alternative provision</w:t>
      </w:r>
      <w:r w:rsidR="004D71C6">
        <w:rPr>
          <w:rFonts w:ascii="Arial" w:hAnsi="Arial" w:cs="Arial"/>
          <w:szCs w:val="22"/>
        </w:rPr>
        <w:t xml:space="preserve"> and transport</w:t>
      </w:r>
      <w:r w:rsidR="00AC3D21">
        <w:rPr>
          <w:rFonts w:ascii="Arial" w:hAnsi="Arial" w:cs="Arial"/>
          <w:szCs w:val="22"/>
        </w:rPr>
        <w:t>.</w:t>
      </w:r>
    </w:p>
    <w:p w:rsidR="00290AFB" w:rsidRPr="000E20B1" w:rsidRDefault="00290AFB" w:rsidP="000704DA">
      <w:pPr>
        <w:rPr>
          <w:rFonts w:ascii="Arial" w:hAnsi="Arial" w:cs="Arial"/>
          <w:szCs w:val="22"/>
        </w:rPr>
      </w:pPr>
    </w:p>
    <w:p w:rsidR="003B2454" w:rsidRPr="000E20B1" w:rsidRDefault="009160FA" w:rsidP="000704D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Current concern</w:t>
      </w:r>
    </w:p>
    <w:p w:rsidR="00104EC1" w:rsidRPr="000E20B1" w:rsidRDefault="00F82772" w:rsidP="000704D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the academic year 2012-13 there were 23 permanent exclusions.</w:t>
      </w:r>
      <w:r w:rsidR="00104EC1" w:rsidRPr="000E20B1">
        <w:rPr>
          <w:rFonts w:ascii="Arial" w:hAnsi="Arial" w:cs="Arial"/>
          <w:szCs w:val="22"/>
        </w:rPr>
        <w:t xml:space="preserve">  However, since </w:t>
      </w:r>
      <w:r w:rsidR="0015556B">
        <w:rPr>
          <w:rFonts w:ascii="Arial" w:hAnsi="Arial" w:cs="Arial"/>
          <w:szCs w:val="22"/>
        </w:rPr>
        <w:t>2013</w:t>
      </w:r>
      <w:r w:rsidR="00104EC1" w:rsidRPr="000E20B1">
        <w:rPr>
          <w:rFonts w:ascii="Arial" w:hAnsi="Arial" w:cs="Arial"/>
          <w:szCs w:val="22"/>
        </w:rPr>
        <w:t xml:space="preserve"> the number has ris</w:t>
      </w:r>
      <w:r w:rsidR="0095614F" w:rsidRPr="000E20B1">
        <w:rPr>
          <w:rFonts w:ascii="Arial" w:hAnsi="Arial" w:cs="Arial"/>
          <w:szCs w:val="22"/>
        </w:rPr>
        <w:t xml:space="preserve">en sharply to 41 in 2013-14, </w:t>
      </w:r>
      <w:r w:rsidR="00104EC1" w:rsidRPr="000E20B1">
        <w:rPr>
          <w:rFonts w:ascii="Arial" w:hAnsi="Arial" w:cs="Arial"/>
          <w:szCs w:val="22"/>
        </w:rPr>
        <w:t>reaching 50 in 2014-15.</w:t>
      </w:r>
    </w:p>
    <w:p w:rsidR="00B30E60" w:rsidRPr="000E20B1" w:rsidRDefault="00B30E60" w:rsidP="000704DA">
      <w:pPr>
        <w:rPr>
          <w:rFonts w:ascii="Arial" w:hAnsi="Arial" w:cs="Arial"/>
          <w:szCs w:val="22"/>
        </w:rPr>
      </w:pPr>
    </w:p>
    <w:p w:rsidR="000E4D2B" w:rsidRDefault="00B30E60" w:rsidP="000704DA">
      <w:pPr>
        <w:rPr>
          <w:rFonts w:ascii="Arial" w:hAnsi="Arial" w:cs="Arial"/>
          <w:szCs w:val="22"/>
        </w:rPr>
      </w:pPr>
      <w:r w:rsidRPr="000E20B1">
        <w:rPr>
          <w:rFonts w:ascii="Arial" w:hAnsi="Arial" w:cs="Arial"/>
          <w:szCs w:val="22"/>
        </w:rPr>
        <w:lastRenderedPageBreak/>
        <w:t>There are a number of underlying fact</w:t>
      </w:r>
      <w:r w:rsidR="00C325F7">
        <w:rPr>
          <w:rFonts w:ascii="Arial" w:hAnsi="Arial" w:cs="Arial"/>
          <w:szCs w:val="22"/>
        </w:rPr>
        <w:t xml:space="preserve">ors for this rise.  </w:t>
      </w:r>
      <w:r w:rsidR="0007279B">
        <w:rPr>
          <w:rFonts w:ascii="Arial" w:hAnsi="Arial" w:cs="Arial"/>
          <w:szCs w:val="22"/>
        </w:rPr>
        <w:t xml:space="preserve">Permanent exclusions and the number of pupils in Alternative Provision continue to rise, both of which create pressures on the EOTAS budget.  </w:t>
      </w:r>
      <w:r w:rsidR="00F82772">
        <w:rPr>
          <w:rFonts w:ascii="Arial" w:hAnsi="Arial" w:cs="Arial"/>
          <w:szCs w:val="22"/>
        </w:rPr>
        <w:t>It</w:t>
      </w:r>
      <w:r w:rsidR="0004522E" w:rsidRPr="000E20B1">
        <w:rPr>
          <w:rFonts w:ascii="Arial" w:hAnsi="Arial" w:cs="Arial"/>
          <w:szCs w:val="22"/>
        </w:rPr>
        <w:t xml:space="preserve"> would seem that for 2015-16 </w:t>
      </w:r>
      <w:r w:rsidRPr="000E20B1">
        <w:rPr>
          <w:rFonts w:ascii="Arial" w:hAnsi="Arial" w:cs="Arial"/>
          <w:szCs w:val="22"/>
        </w:rPr>
        <w:t xml:space="preserve">the funding arrangement is no longer </w:t>
      </w:r>
      <w:r w:rsidR="00514065">
        <w:rPr>
          <w:rFonts w:ascii="Arial" w:hAnsi="Arial" w:cs="Arial"/>
          <w:szCs w:val="22"/>
        </w:rPr>
        <w:t>working as</w:t>
      </w:r>
      <w:r w:rsidRPr="000E20B1">
        <w:rPr>
          <w:rFonts w:ascii="Arial" w:hAnsi="Arial" w:cs="Arial"/>
          <w:szCs w:val="22"/>
        </w:rPr>
        <w:t xml:space="preserve"> a</w:t>
      </w:r>
      <w:r w:rsidR="0004522E" w:rsidRPr="000E20B1">
        <w:rPr>
          <w:rFonts w:ascii="Arial" w:hAnsi="Arial" w:cs="Arial"/>
          <w:szCs w:val="22"/>
        </w:rPr>
        <w:t>n effective</w:t>
      </w:r>
      <w:r w:rsidRPr="000E20B1">
        <w:rPr>
          <w:rFonts w:ascii="Arial" w:hAnsi="Arial" w:cs="Arial"/>
          <w:szCs w:val="22"/>
        </w:rPr>
        <w:t xml:space="preserve"> prevention model</w:t>
      </w:r>
      <w:r w:rsidR="0007279B">
        <w:rPr>
          <w:rFonts w:ascii="Arial" w:hAnsi="Arial" w:cs="Arial"/>
          <w:szCs w:val="22"/>
        </w:rPr>
        <w:t xml:space="preserve"> </w:t>
      </w:r>
      <w:r w:rsidR="00C325F7">
        <w:rPr>
          <w:rFonts w:ascii="Arial" w:hAnsi="Arial" w:cs="Arial"/>
          <w:szCs w:val="22"/>
        </w:rPr>
        <w:t xml:space="preserve">and the </w:t>
      </w:r>
      <w:r w:rsidR="004D71C6">
        <w:rPr>
          <w:rFonts w:ascii="Arial" w:hAnsi="Arial" w:cs="Arial"/>
          <w:szCs w:val="22"/>
        </w:rPr>
        <w:t>budget is not therefore supporting improved outcomes for pupils.</w:t>
      </w:r>
      <w:r w:rsidR="0007279B">
        <w:rPr>
          <w:rFonts w:ascii="Arial" w:hAnsi="Arial" w:cs="Arial"/>
          <w:szCs w:val="22"/>
        </w:rPr>
        <w:t xml:space="preserve">  Thus we are reviewing the model.    </w:t>
      </w:r>
    </w:p>
    <w:p w:rsidR="00947A4E" w:rsidRPr="00947A4E" w:rsidRDefault="00947A4E" w:rsidP="000704DA">
      <w:pPr>
        <w:rPr>
          <w:rFonts w:ascii="Arial" w:hAnsi="Arial" w:cs="Arial"/>
          <w:szCs w:val="22"/>
        </w:rPr>
      </w:pPr>
    </w:p>
    <w:p w:rsidR="0092267C" w:rsidRPr="000E20B1" w:rsidRDefault="0092267C" w:rsidP="000704DA">
      <w:pPr>
        <w:rPr>
          <w:rFonts w:ascii="Arial" w:hAnsi="Arial" w:cs="Arial"/>
          <w:b/>
          <w:szCs w:val="22"/>
        </w:rPr>
      </w:pPr>
      <w:r w:rsidRPr="000E20B1">
        <w:rPr>
          <w:rFonts w:ascii="Arial" w:hAnsi="Arial" w:cs="Arial"/>
          <w:b/>
          <w:szCs w:val="22"/>
        </w:rPr>
        <w:t>Implications for EOTAS</w:t>
      </w:r>
      <w:r w:rsidR="000276E7">
        <w:rPr>
          <w:rFonts w:ascii="Arial" w:hAnsi="Arial" w:cs="Arial"/>
          <w:b/>
          <w:szCs w:val="22"/>
        </w:rPr>
        <w:t xml:space="preserve"> budget</w:t>
      </w:r>
    </w:p>
    <w:p w:rsidR="00290AFB" w:rsidRPr="000E20B1" w:rsidRDefault="00290AFB" w:rsidP="000704DA">
      <w:pPr>
        <w:rPr>
          <w:rFonts w:ascii="Arial" w:hAnsi="Arial" w:cs="Arial"/>
          <w:szCs w:val="22"/>
        </w:rPr>
      </w:pPr>
    </w:p>
    <w:p w:rsidR="0092267C" w:rsidRPr="000E4D2B" w:rsidRDefault="005B2ACD" w:rsidP="000704DA">
      <w:pPr>
        <w:rPr>
          <w:rFonts w:ascii="Arial" w:hAnsi="Arial" w:cs="Arial"/>
          <w:szCs w:val="22"/>
          <w:u w:val="single"/>
        </w:rPr>
      </w:pPr>
      <w:r w:rsidRPr="000E4D2B">
        <w:rPr>
          <w:rFonts w:ascii="Arial" w:hAnsi="Arial" w:cs="Arial"/>
          <w:szCs w:val="22"/>
          <w:u w:val="single"/>
        </w:rPr>
        <w:t xml:space="preserve">DSG allocation for </w:t>
      </w:r>
      <w:r w:rsidR="005F46F5" w:rsidRPr="000E4D2B">
        <w:rPr>
          <w:rFonts w:ascii="Arial" w:hAnsi="Arial" w:cs="Arial"/>
          <w:szCs w:val="22"/>
          <w:u w:val="single"/>
        </w:rPr>
        <w:t xml:space="preserve">permanent exclusion and </w:t>
      </w:r>
      <w:r w:rsidRPr="000E4D2B">
        <w:rPr>
          <w:rFonts w:ascii="Arial" w:hAnsi="Arial" w:cs="Arial"/>
          <w:szCs w:val="22"/>
          <w:u w:val="single"/>
        </w:rPr>
        <w:t xml:space="preserve">prevention of exclusion </w:t>
      </w:r>
      <w:r w:rsidR="00220344">
        <w:rPr>
          <w:rFonts w:ascii="Arial" w:hAnsi="Arial" w:cs="Arial"/>
          <w:szCs w:val="22"/>
          <w:u w:val="single"/>
        </w:rPr>
        <w:t>April 2015- March 20</w:t>
      </w:r>
      <w:r w:rsidRPr="000E4D2B">
        <w:rPr>
          <w:rFonts w:ascii="Arial" w:hAnsi="Arial" w:cs="Arial"/>
          <w:szCs w:val="22"/>
          <w:u w:val="single"/>
        </w:rPr>
        <w:t>16</w:t>
      </w:r>
      <w:r w:rsidR="00196659">
        <w:rPr>
          <w:rFonts w:ascii="Arial" w:hAnsi="Arial" w:cs="Arial"/>
          <w:szCs w:val="22"/>
          <w:u w:val="single"/>
        </w:rPr>
        <w:t>:</w:t>
      </w:r>
    </w:p>
    <w:p w:rsidR="005F46F5" w:rsidRPr="000E20B1" w:rsidRDefault="005F46F5" w:rsidP="000704DA">
      <w:pPr>
        <w:rPr>
          <w:rFonts w:ascii="Arial" w:hAnsi="Arial" w:cs="Arial"/>
          <w:szCs w:val="22"/>
        </w:rPr>
      </w:pPr>
    </w:p>
    <w:p w:rsidR="000E558C" w:rsidRPr="000E20B1" w:rsidRDefault="000E558C" w:rsidP="000E558C">
      <w:pPr>
        <w:ind w:left="7920" w:hanging="1440"/>
        <w:rPr>
          <w:rFonts w:ascii="Arial" w:hAnsi="Arial" w:cs="Arial"/>
          <w:szCs w:val="22"/>
        </w:rPr>
      </w:pPr>
      <w:r w:rsidRPr="000E20B1">
        <w:rPr>
          <w:rFonts w:ascii="Arial" w:hAnsi="Arial" w:cs="Arial"/>
          <w:szCs w:val="22"/>
        </w:rPr>
        <w:t>Allocated</w:t>
      </w:r>
      <w:r w:rsidRPr="000E20B1">
        <w:rPr>
          <w:rFonts w:ascii="Arial" w:hAnsi="Arial" w:cs="Arial"/>
          <w:szCs w:val="22"/>
        </w:rPr>
        <w:tab/>
        <w:t>to end p5 (August)</w:t>
      </w:r>
    </w:p>
    <w:p w:rsidR="00CD5E08" w:rsidRPr="000E20B1" w:rsidRDefault="003B5F6E" w:rsidP="000E558C">
      <w:pPr>
        <w:ind w:left="792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£                      £</w:t>
      </w:r>
    </w:p>
    <w:p w:rsidR="00947A4E" w:rsidRPr="00947A4E" w:rsidRDefault="000E558C" w:rsidP="000E558C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947A4E">
        <w:rPr>
          <w:rFonts w:ascii="Arial" w:hAnsi="Arial" w:cs="Arial"/>
          <w:szCs w:val="22"/>
        </w:rPr>
        <w:t>Payments to alternative providers and PRU</w:t>
      </w:r>
      <w:r w:rsidRPr="00947A4E">
        <w:rPr>
          <w:rFonts w:ascii="Arial" w:hAnsi="Arial" w:cs="Arial"/>
          <w:szCs w:val="22"/>
        </w:rPr>
        <w:tab/>
      </w:r>
      <w:r w:rsidR="00947A4E" w:rsidRPr="00947A4E">
        <w:rPr>
          <w:rFonts w:ascii="Arial" w:hAnsi="Arial" w:cs="Arial"/>
          <w:szCs w:val="22"/>
        </w:rPr>
        <w:t>for</w:t>
      </w:r>
    </w:p>
    <w:p w:rsidR="000E558C" w:rsidRPr="00947A4E" w:rsidRDefault="00947A4E" w:rsidP="00947A4E">
      <w:pPr>
        <w:ind w:left="720"/>
        <w:rPr>
          <w:rFonts w:ascii="Arial" w:hAnsi="Arial" w:cs="Arial"/>
          <w:szCs w:val="22"/>
        </w:rPr>
      </w:pPr>
      <w:proofErr w:type="gramStart"/>
      <w:r w:rsidRPr="00947A4E">
        <w:rPr>
          <w:rFonts w:ascii="Arial" w:hAnsi="Arial" w:cs="Arial"/>
          <w:szCs w:val="22"/>
        </w:rPr>
        <w:t>permanent</w:t>
      </w:r>
      <w:proofErr w:type="gramEnd"/>
      <w:r w:rsidRPr="00947A4E">
        <w:rPr>
          <w:rFonts w:ascii="Arial" w:hAnsi="Arial" w:cs="Arial"/>
          <w:szCs w:val="22"/>
        </w:rPr>
        <w:t xml:space="preserve"> exclusions</w:t>
      </w:r>
      <w:r w:rsidR="000E558C" w:rsidRPr="00947A4E">
        <w:rPr>
          <w:rFonts w:ascii="Arial" w:hAnsi="Arial" w:cs="Arial"/>
          <w:szCs w:val="22"/>
        </w:rPr>
        <w:tab/>
      </w:r>
      <w:r w:rsidR="000E4D2B" w:rsidRPr="00947A4E">
        <w:rPr>
          <w:rFonts w:ascii="Arial" w:hAnsi="Arial" w:cs="Arial"/>
          <w:szCs w:val="22"/>
        </w:rPr>
        <w:tab/>
      </w:r>
      <w:r w:rsidRPr="00947A4E">
        <w:rPr>
          <w:rFonts w:ascii="Arial" w:hAnsi="Arial" w:cs="Arial"/>
          <w:szCs w:val="22"/>
        </w:rPr>
        <w:tab/>
      </w:r>
      <w:r w:rsidRPr="00947A4E">
        <w:rPr>
          <w:rFonts w:ascii="Arial" w:hAnsi="Arial" w:cs="Arial"/>
          <w:szCs w:val="22"/>
        </w:rPr>
        <w:tab/>
      </w:r>
      <w:r w:rsidRPr="00947A4E">
        <w:rPr>
          <w:rFonts w:ascii="Arial" w:hAnsi="Arial" w:cs="Arial"/>
          <w:szCs w:val="22"/>
        </w:rPr>
        <w:tab/>
      </w:r>
      <w:r w:rsidRPr="00947A4E">
        <w:rPr>
          <w:rFonts w:ascii="Arial" w:hAnsi="Arial" w:cs="Arial"/>
          <w:szCs w:val="22"/>
        </w:rPr>
        <w:tab/>
      </w:r>
      <w:r w:rsidR="000E558C" w:rsidRPr="00947A4E">
        <w:rPr>
          <w:rFonts w:ascii="Arial" w:hAnsi="Arial" w:cs="Arial"/>
          <w:szCs w:val="22"/>
        </w:rPr>
        <w:t>415</w:t>
      </w:r>
      <w:r w:rsidR="003B5F6E">
        <w:rPr>
          <w:rFonts w:ascii="Arial" w:hAnsi="Arial" w:cs="Arial"/>
          <w:szCs w:val="22"/>
        </w:rPr>
        <w:t>,</w:t>
      </w:r>
      <w:r w:rsidR="000E558C" w:rsidRPr="00947A4E">
        <w:rPr>
          <w:rFonts w:ascii="Arial" w:hAnsi="Arial" w:cs="Arial"/>
          <w:szCs w:val="22"/>
        </w:rPr>
        <w:t>030</w:t>
      </w:r>
      <w:r w:rsidR="000E558C" w:rsidRPr="00947A4E">
        <w:rPr>
          <w:rFonts w:ascii="Arial" w:hAnsi="Arial" w:cs="Arial"/>
          <w:szCs w:val="22"/>
        </w:rPr>
        <w:tab/>
        <w:t>174</w:t>
      </w:r>
      <w:r w:rsidR="00B4079F">
        <w:rPr>
          <w:rFonts w:ascii="Arial" w:hAnsi="Arial" w:cs="Arial"/>
          <w:szCs w:val="22"/>
        </w:rPr>
        <w:t>,</w:t>
      </w:r>
      <w:r w:rsidR="000E558C" w:rsidRPr="00947A4E">
        <w:rPr>
          <w:rFonts w:ascii="Arial" w:hAnsi="Arial" w:cs="Arial"/>
          <w:szCs w:val="22"/>
        </w:rPr>
        <w:t>886</w:t>
      </w:r>
    </w:p>
    <w:p w:rsidR="00073CDB" w:rsidRDefault="000E558C" w:rsidP="000E558C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947A4E">
        <w:rPr>
          <w:rFonts w:ascii="Arial" w:hAnsi="Arial" w:cs="Arial"/>
          <w:szCs w:val="22"/>
        </w:rPr>
        <w:t>Re-charge to schools and academies (£25</w:t>
      </w:r>
      <w:r w:rsidR="00BA2DF3" w:rsidRPr="00947A4E">
        <w:rPr>
          <w:rFonts w:ascii="Arial" w:hAnsi="Arial" w:cs="Arial"/>
          <w:szCs w:val="22"/>
        </w:rPr>
        <w:t xml:space="preserve"> per day)</w:t>
      </w:r>
      <w:r w:rsidR="00073CDB">
        <w:rPr>
          <w:rFonts w:ascii="Arial" w:hAnsi="Arial" w:cs="Arial"/>
          <w:szCs w:val="22"/>
        </w:rPr>
        <w:t xml:space="preserve"> for</w:t>
      </w:r>
    </w:p>
    <w:p w:rsidR="000E558C" w:rsidRDefault="00073CDB" w:rsidP="00073CDB">
      <w:pPr>
        <w:ind w:left="7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those</w:t>
      </w:r>
      <w:proofErr w:type="gramEnd"/>
      <w:r>
        <w:rPr>
          <w:rFonts w:ascii="Arial" w:hAnsi="Arial" w:cs="Arial"/>
          <w:szCs w:val="22"/>
        </w:rPr>
        <w:t xml:space="preserve"> at risk of permanent exclusion</w:t>
      </w:r>
      <w:r w:rsidR="00BA2DF3" w:rsidRPr="00947A4E">
        <w:rPr>
          <w:rFonts w:ascii="Arial" w:hAnsi="Arial" w:cs="Arial"/>
          <w:szCs w:val="22"/>
        </w:rPr>
        <w:tab/>
      </w:r>
      <w:r w:rsidR="000E4D2B" w:rsidRPr="00947A4E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B5F6E">
        <w:rPr>
          <w:rFonts w:ascii="Arial" w:hAnsi="Arial" w:cs="Arial"/>
          <w:szCs w:val="22"/>
        </w:rPr>
        <w:t xml:space="preserve">  </w:t>
      </w:r>
      <w:r w:rsidR="000E558C" w:rsidRPr="00947A4E">
        <w:rPr>
          <w:rFonts w:ascii="Arial" w:hAnsi="Arial" w:cs="Arial"/>
          <w:szCs w:val="22"/>
        </w:rPr>
        <w:t>89</w:t>
      </w:r>
      <w:r w:rsidR="003B5F6E">
        <w:rPr>
          <w:rFonts w:ascii="Arial" w:hAnsi="Arial" w:cs="Arial"/>
          <w:szCs w:val="22"/>
        </w:rPr>
        <w:t>,55</w:t>
      </w:r>
      <w:r w:rsidR="000E558C" w:rsidRPr="00947A4E">
        <w:rPr>
          <w:rFonts w:ascii="Arial" w:hAnsi="Arial" w:cs="Arial"/>
          <w:szCs w:val="22"/>
        </w:rPr>
        <w:t>0</w:t>
      </w:r>
      <w:r w:rsidR="000E558C" w:rsidRPr="00947A4E">
        <w:rPr>
          <w:rFonts w:ascii="Arial" w:hAnsi="Arial" w:cs="Arial"/>
          <w:szCs w:val="22"/>
        </w:rPr>
        <w:tab/>
      </w:r>
      <w:r w:rsidR="00B4079F">
        <w:rPr>
          <w:rFonts w:ascii="Arial" w:hAnsi="Arial" w:cs="Arial"/>
          <w:szCs w:val="22"/>
        </w:rPr>
        <w:t xml:space="preserve">  </w:t>
      </w:r>
      <w:r w:rsidR="000E558C" w:rsidRPr="00947A4E">
        <w:rPr>
          <w:rFonts w:ascii="Arial" w:hAnsi="Arial" w:cs="Arial"/>
          <w:szCs w:val="22"/>
        </w:rPr>
        <w:t>97</w:t>
      </w:r>
      <w:r w:rsidR="00B4079F">
        <w:rPr>
          <w:rFonts w:ascii="Arial" w:hAnsi="Arial" w:cs="Arial"/>
          <w:szCs w:val="22"/>
        </w:rPr>
        <w:t>,</w:t>
      </w:r>
      <w:r w:rsidR="000E558C" w:rsidRPr="00947A4E">
        <w:rPr>
          <w:rFonts w:ascii="Arial" w:hAnsi="Arial" w:cs="Arial"/>
          <w:szCs w:val="22"/>
        </w:rPr>
        <w:t>290</w:t>
      </w:r>
    </w:p>
    <w:p w:rsidR="00B8003C" w:rsidRPr="00B4079F" w:rsidRDefault="00B8003C" w:rsidP="00B8003C">
      <w:pPr>
        <w:numPr>
          <w:ilvl w:val="0"/>
          <w:numId w:val="5"/>
        </w:num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Pupil travel to alternative provision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B4079F">
        <w:rPr>
          <w:rFonts w:ascii="Arial" w:hAnsi="Arial" w:cs="Arial"/>
          <w:szCs w:val="22"/>
          <w:u w:val="single"/>
        </w:rPr>
        <w:t>139</w:t>
      </w:r>
      <w:r w:rsidR="003B5F6E" w:rsidRPr="00B4079F">
        <w:rPr>
          <w:rFonts w:ascii="Arial" w:hAnsi="Arial" w:cs="Arial"/>
          <w:szCs w:val="22"/>
          <w:u w:val="single"/>
        </w:rPr>
        <w:t>,</w:t>
      </w:r>
      <w:r w:rsidRPr="00B4079F">
        <w:rPr>
          <w:rFonts w:ascii="Arial" w:hAnsi="Arial" w:cs="Arial"/>
          <w:szCs w:val="22"/>
          <w:u w:val="single"/>
        </w:rPr>
        <w:t>850</w:t>
      </w:r>
      <w:r w:rsidRPr="00947A4E">
        <w:rPr>
          <w:rFonts w:ascii="Arial" w:hAnsi="Arial" w:cs="Arial"/>
          <w:szCs w:val="22"/>
        </w:rPr>
        <w:tab/>
      </w:r>
      <w:r w:rsidRPr="00B4079F">
        <w:rPr>
          <w:rFonts w:ascii="Arial" w:hAnsi="Arial" w:cs="Arial"/>
          <w:szCs w:val="22"/>
          <w:u w:val="single"/>
        </w:rPr>
        <w:t>132</w:t>
      </w:r>
      <w:r w:rsidR="00B4079F" w:rsidRPr="00B4079F">
        <w:rPr>
          <w:rFonts w:ascii="Arial" w:hAnsi="Arial" w:cs="Arial"/>
          <w:szCs w:val="22"/>
          <w:u w:val="single"/>
        </w:rPr>
        <w:t>,</w:t>
      </w:r>
      <w:r w:rsidRPr="00B4079F">
        <w:rPr>
          <w:rFonts w:ascii="Arial" w:hAnsi="Arial" w:cs="Arial"/>
          <w:szCs w:val="22"/>
          <w:u w:val="single"/>
        </w:rPr>
        <w:t>112</w:t>
      </w:r>
    </w:p>
    <w:p w:rsidR="00BA2DF3" w:rsidRPr="00947A4E" w:rsidRDefault="00BA2DF3" w:rsidP="00BA2DF3">
      <w:pPr>
        <w:ind w:left="5040"/>
        <w:rPr>
          <w:rFonts w:ascii="Arial" w:hAnsi="Arial" w:cs="Arial"/>
          <w:szCs w:val="22"/>
        </w:rPr>
      </w:pPr>
      <w:r w:rsidRPr="00947A4E">
        <w:rPr>
          <w:rFonts w:ascii="Arial" w:hAnsi="Arial" w:cs="Arial"/>
          <w:szCs w:val="22"/>
        </w:rPr>
        <w:t>Sub-total</w:t>
      </w:r>
      <w:r w:rsidRPr="00947A4E">
        <w:rPr>
          <w:rFonts w:ascii="Arial" w:hAnsi="Arial" w:cs="Arial"/>
          <w:szCs w:val="22"/>
        </w:rPr>
        <w:tab/>
      </w:r>
      <w:r w:rsidR="005F46F5" w:rsidRPr="00947A4E">
        <w:rPr>
          <w:rFonts w:ascii="Arial" w:hAnsi="Arial" w:cs="Arial"/>
          <w:szCs w:val="22"/>
          <w:u w:val="single"/>
        </w:rPr>
        <w:t>644</w:t>
      </w:r>
      <w:r w:rsidR="00B4079F">
        <w:rPr>
          <w:rFonts w:ascii="Arial" w:hAnsi="Arial" w:cs="Arial"/>
          <w:szCs w:val="22"/>
          <w:u w:val="single"/>
        </w:rPr>
        <w:t>,</w:t>
      </w:r>
      <w:r w:rsidR="00605599" w:rsidRPr="00947A4E">
        <w:rPr>
          <w:rFonts w:ascii="Arial" w:hAnsi="Arial" w:cs="Arial"/>
          <w:szCs w:val="22"/>
          <w:u w:val="single"/>
        </w:rPr>
        <w:t>4</w:t>
      </w:r>
      <w:r w:rsidRPr="00947A4E">
        <w:rPr>
          <w:rFonts w:ascii="Arial" w:hAnsi="Arial" w:cs="Arial"/>
          <w:szCs w:val="22"/>
          <w:u w:val="single"/>
        </w:rPr>
        <w:t>30</w:t>
      </w:r>
      <w:r w:rsidRPr="00947A4E">
        <w:rPr>
          <w:rFonts w:ascii="Arial" w:hAnsi="Arial" w:cs="Arial"/>
          <w:szCs w:val="22"/>
        </w:rPr>
        <w:tab/>
      </w:r>
      <w:r w:rsidRPr="00947A4E">
        <w:rPr>
          <w:rFonts w:ascii="Arial" w:hAnsi="Arial" w:cs="Arial"/>
          <w:szCs w:val="22"/>
          <w:u w:val="single"/>
        </w:rPr>
        <w:t>404</w:t>
      </w:r>
      <w:r w:rsidR="00B4079F">
        <w:rPr>
          <w:rFonts w:ascii="Arial" w:hAnsi="Arial" w:cs="Arial"/>
          <w:szCs w:val="22"/>
          <w:u w:val="single"/>
        </w:rPr>
        <w:t>,</w:t>
      </w:r>
      <w:r w:rsidRPr="00947A4E">
        <w:rPr>
          <w:rFonts w:ascii="Arial" w:hAnsi="Arial" w:cs="Arial"/>
          <w:szCs w:val="22"/>
          <w:u w:val="single"/>
        </w:rPr>
        <w:t>288</w:t>
      </w:r>
    </w:p>
    <w:p w:rsidR="000E558C" w:rsidRPr="00947A4E" w:rsidRDefault="000E558C" w:rsidP="000E558C">
      <w:pPr>
        <w:rPr>
          <w:rFonts w:ascii="Arial" w:hAnsi="Arial" w:cs="Arial"/>
          <w:szCs w:val="22"/>
        </w:rPr>
      </w:pPr>
    </w:p>
    <w:p w:rsidR="00BA2DF3" w:rsidRPr="00947A4E" w:rsidRDefault="00605599" w:rsidP="000704DA">
      <w:pPr>
        <w:rPr>
          <w:rFonts w:ascii="Arial" w:hAnsi="Arial" w:cs="Arial"/>
          <w:szCs w:val="22"/>
          <w:u w:val="single"/>
        </w:rPr>
      </w:pPr>
      <w:r w:rsidRPr="00947A4E">
        <w:rPr>
          <w:rFonts w:ascii="Arial" w:hAnsi="Arial" w:cs="Arial"/>
          <w:szCs w:val="22"/>
          <w:u w:val="single"/>
        </w:rPr>
        <w:t>Based on the expenditure above, a</w:t>
      </w:r>
      <w:r w:rsidR="00BA2DF3" w:rsidRPr="00947A4E">
        <w:rPr>
          <w:rFonts w:ascii="Arial" w:hAnsi="Arial" w:cs="Arial"/>
          <w:szCs w:val="22"/>
          <w:u w:val="single"/>
        </w:rPr>
        <w:t>verage spend per month sinc</w:t>
      </w:r>
      <w:r w:rsidR="00196659">
        <w:rPr>
          <w:rFonts w:ascii="Arial" w:hAnsi="Arial" w:cs="Arial"/>
          <w:szCs w:val="22"/>
          <w:u w:val="single"/>
        </w:rPr>
        <w:t>e 01.04.15:</w:t>
      </w:r>
    </w:p>
    <w:p w:rsidR="00BA2DF3" w:rsidRPr="00947A4E" w:rsidRDefault="00BA2DF3" w:rsidP="000704DA">
      <w:pPr>
        <w:rPr>
          <w:rFonts w:ascii="Arial" w:hAnsi="Arial" w:cs="Arial"/>
          <w:szCs w:val="22"/>
        </w:rPr>
      </w:pPr>
    </w:p>
    <w:p w:rsidR="00BA2DF3" w:rsidRDefault="00073CDB" w:rsidP="00BA2DF3">
      <w:pPr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Average monthly cost of alternative provision </w:t>
      </w:r>
      <w:proofErr w:type="spellStart"/>
      <w:r>
        <w:rPr>
          <w:rFonts w:ascii="Arial" w:hAnsi="Arial" w:cs="Arial"/>
          <w:szCs w:val="22"/>
        </w:rPr>
        <w:t>inc</w:t>
      </w:r>
      <w:r w:rsidR="009E73FD">
        <w:rPr>
          <w:rFonts w:ascii="Arial" w:hAnsi="Arial" w:cs="Arial"/>
          <w:szCs w:val="22"/>
        </w:rPr>
        <w:t>l</w:t>
      </w:r>
      <w:proofErr w:type="spellEnd"/>
      <w:r>
        <w:rPr>
          <w:rFonts w:ascii="Arial" w:hAnsi="Arial" w:cs="Arial"/>
          <w:szCs w:val="22"/>
        </w:rPr>
        <w:t xml:space="preserve"> PRU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4079F">
        <w:rPr>
          <w:rFonts w:ascii="Arial" w:hAnsi="Arial" w:cs="Arial"/>
          <w:szCs w:val="22"/>
        </w:rPr>
        <w:t xml:space="preserve"> </w:t>
      </w:r>
      <w:r w:rsidR="00BA2DF3" w:rsidRPr="00947A4E">
        <w:rPr>
          <w:rFonts w:ascii="Arial" w:hAnsi="Arial" w:cs="Arial"/>
          <w:szCs w:val="22"/>
        </w:rPr>
        <w:t>54</w:t>
      </w:r>
      <w:r w:rsidR="00B4079F">
        <w:rPr>
          <w:rFonts w:ascii="Arial" w:hAnsi="Arial" w:cs="Arial"/>
          <w:szCs w:val="22"/>
        </w:rPr>
        <w:t>,</w:t>
      </w:r>
      <w:r w:rsidR="00BA2DF3" w:rsidRPr="00947A4E">
        <w:rPr>
          <w:rFonts w:ascii="Arial" w:hAnsi="Arial" w:cs="Arial"/>
          <w:szCs w:val="22"/>
        </w:rPr>
        <w:t>435</w:t>
      </w:r>
    </w:p>
    <w:p w:rsidR="00CE6D32" w:rsidRPr="00CE6D32" w:rsidRDefault="00CE6D32" w:rsidP="00CE6D32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947A4E">
        <w:rPr>
          <w:rFonts w:ascii="Arial" w:hAnsi="Arial" w:cs="Arial"/>
          <w:szCs w:val="22"/>
        </w:rPr>
        <w:t>Average monthly re-charge to schools and academies</w:t>
      </w:r>
      <w:r w:rsidRPr="00947A4E">
        <w:rPr>
          <w:rFonts w:ascii="Arial" w:hAnsi="Arial" w:cs="Arial"/>
          <w:szCs w:val="22"/>
        </w:rPr>
        <w:tab/>
      </w:r>
      <w:r w:rsidRPr="00947A4E">
        <w:rPr>
          <w:rFonts w:ascii="Arial" w:hAnsi="Arial" w:cs="Arial"/>
          <w:szCs w:val="22"/>
        </w:rPr>
        <w:tab/>
      </w:r>
      <w:r w:rsidRPr="00947A4E">
        <w:rPr>
          <w:rFonts w:ascii="Arial" w:hAnsi="Arial" w:cs="Arial"/>
          <w:szCs w:val="22"/>
        </w:rPr>
        <w:tab/>
      </w:r>
      <w:r w:rsidR="00B4079F">
        <w:rPr>
          <w:rFonts w:ascii="Arial" w:hAnsi="Arial" w:cs="Arial"/>
          <w:szCs w:val="22"/>
        </w:rPr>
        <w:t xml:space="preserve"> </w:t>
      </w:r>
      <w:r w:rsidRPr="00947A4E">
        <w:rPr>
          <w:rFonts w:ascii="Arial" w:hAnsi="Arial" w:cs="Arial"/>
          <w:szCs w:val="22"/>
        </w:rPr>
        <w:t>19</w:t>
      </w:r>
      <w:r w:rsidR="00B4079F">
        <w:rPr>
          <w:rFonts w:ascii="Arial" w:hAnsi="Arial" w:cs="Arial"/>
          <w:szCs w:val="22"/>
        </w:rPr>
        <w:t>,</w:t>
      </w:r>
      <w:r w:rsidRPr="00947A4E">
        <w:rPr>
          <w:rFonts w:ascii="Arial" w:hAnsi="Arial" w:cs="Arial"/>
          <w:szCs w:val="22"/>
        </w:rPr>
        <w:t>458</w:t>
      </w:r>
    </w:p>
    <w:p w:rsidR="00BA2DF3" w:rsidRPr="00B4079F" w:rsidRDefault="00BA2DF3" w:rsidP="00BA2DF3">
      <w:pPr>
        <w:numPr>
          <w:ilvl w:val="0"/>
          <w:numId w:val="6"/>
        </w:numPr>
        <w:rPr>
          <w:rFonts w:ascii="Arial" w:hAnsi="Arial" w:cs="Arial"/>
          <w:szCs w:val="22"/>
          <w:u w:val="single"/>
        </w:rPr>
      </w:pPr>
      <w:r w:rsidRPr="00947A4E">
        <w:rPr>
          <w:rFonts w:ascii="Arial" w:hAnsi="Arial" w:cs="Arial"/>
          <w:szCs w:val="22"/>
        </w:rPr>
        <w:t xml:space="preserve">Average monthly cost of pupil travel to </w:t>
      </w:r>
      <w:r w:rsidR="00073CDB">
        <w:rPr>
          <w:rFonts w:ascii="Arial" w:hAnsi="Arial" w:cs="Arial"/>
          <w:szCs w:val="22"/>
        </w:rPr>
        <w:t>alternative provision</w:t>
      </w:r>
      <w:r w:rsidR="00073CDB">
        <w:rPr>
          <w:rFonts w:ascii="Arial" w:hAnsi="Arial" w:cs="Arial"/>
          <w:szCs w:val="22"/>
        </w:rPr>
        <w:tab/>
      </w:r>
      <w:r w:rsidR="00073CDB">
        <w:rPr>
          <w:rFonts w:ascii="Arial" w:hAnsi="Arial" w:cs="Arial"/>
          <w:szCs w:val="22"/>
        </w:rPr>
        <w:tab/>
      </w:r>
      <w:r w:rsidR="00073CDB">
        <w:rPr>
          <w:rFonts w:ascii="Arial" w:hAnsi="Arial" w:cs="Arial"/>
          <w:szCs w:val="22"/>
        </w:rPr>
        <w:tab/>
      </w:r>
      <w:r w:rsidR="00B4079F" w:rsidRPr="00B4079F">
        <w:rPr>
          <w:rFonts w:ascii="Arial" w:hAnsi="Arial" w:cs="Arial"/>
          <w:szCs w:val="22"/>
          <w:u w:val="single"/>
        </w:rPr>
        <w:t xml:space="preserve"> </w:t>
      </w:r>
      <w:r w:rsidRPr="00B4079F">
        <w:rPr>
          <w:rFonts w:ascii="Arial" w:hAnsi="Arial" w:cs="Arial"/>
          <w:szCs w:val="22"/>
          <w:u w:val="single"/>
        </w:rPr>
        <w:t>26</w:t>
      </w:r>
      <w:r w:rsidR="00B4079F" w:rsidRPr="00B4079F">
        <w:rPr>
          <w:rFonts w:ascii="Arial" w:hAnsi="Arial" w:cs="Arial"/>
          <w:szCs w:val="22"/>
          <w:u w:val="single"/>
        </w:rPr>
        <w:t>,</w:t>
      </w:r>
      <w:r w:rsidRPr="00B4079F">
        <w:rPr>
          <w:rFonts w:ascii="Arial" w:hAnsi="Arial" w:cs="Arial"/>
          <w:szCs w:val="22"/>
          <w:u w:val="single"/>
        </w:rPr>
        <w:t>422</w:t>
      </w:r>
    </w:p>
    <w:p w:rsidR="00BA2DF3" w:rsidRPr="000E20B1" w:rsidRDefault="009934A3" w:rsidP="00A35DC9">
      <w:pPr>
        <w:ind w:left="4320" w:firstLine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Monthly total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4079F">
        <w:rPr>
          <w:rFonts w:ascii="Arial" w:hAnsi="Arial" w:cs="Arial"/>
          <w:szCs w:val="22"/>
        </w:rPr>
        <w:t xml:space="preserve">           </w:t>
      </w:r>
      <w:r w:rsidR="00605599" w:rsidRPr="000E20B1">
        <w:rPr>
          <w:rFonts w:ascii="Arial" w:hAnsi="Arial" w:cs="Arial"/>
          <w:szCs w:val="22"/>
          <w:u w:val="single"/>
        </w:rPr>
        <w:t>100</w:t>
      </w:r>
      <w:r w:rsidR="00B4079F">
        <w:rPr>
          <w:rFonts w:ascii="Arial" w:hAnsi="Arial" w:cs="Arial"/>
          <w:szCs w:val="22"/>
          <w:u w:val="single"/>
        </w:rPr>
        <w:t>,</w:t>
      </w:r>
      <w:r w:rsidR="00605599" w:rsidRPr="000E20B1">
        <w:rPr>
          <w:rFonts w:ascii="Arial" w:hAnsi="Arial" w:cs="Arial"/>
          <w:szCs w:val="22"/>
          <w:u w:val="single"/>
        </w:rPr>
        <w:t>315</w:t>
      </w:r>
    </w:p>
    <w:p w:rsidR="005F46F5" w:rsidRPr="000E20B1" w:rsidRDefault="005F46F5" w:rsidP="000704DA">
      <w:pPr>
        <w:rPr>
          <w:rFonts w:ascii="Arial" w:hAnsi="Arial" w:cs="Arial"/>
          <w:szCs w:val="22"/>
        </w:rPr>
      </w:pPr>
    </w:p>
    <w:p w:rsidR="00284C3B" w:rsidRDefault="005B2ACD" w:rsidP="000704DA">
      <w:pPr>
        <w:rPr>
          <w:rFonts w:ascii="Arial" w:hAnsi="Arial" w:cs="Arial"/>
          <w:szCs w:val="22"/>
        </w:rPr>
      </w:pPr>
      <w:r w:rsidRPr="000E20B1">
        <w:rPr>
          <w:rFonts w:ascii="Arial" w:hAnsi="Arial" w:cs="Arial"/>
          <w:szCs w:val="22"/>
        </w:rPr>
        <w:t>Yea</w:t>
      </w:r>
      <w:r w:rsidR="00284C3B">
        <w:rPr>
          <w:rFonts w:ascii="Arial" w:hAnsi="Arial" w:cs="Arial"/>
          <w:szCs w:val="22"/>
        </w:rPr>
        <w:t>r</w:t>
      </w:r>
      <w:r w:rsidR="00B4079F">
        <w:rPr>
          <w:rFonts w:ascii="Arial" w:hAnsi="Arial" w:cs="Arial"/>
          <w:szCs w:val="22"/>
        </w:rPr>
        <w:t>-</w:t>
      </w:r>
      <w:r w:rsidR="00284C3B">
        <w:rPr>
          <w:rFonts w:ascii="Arial" w:hAnsi="Arial" w:cs="Arial"/>
          <w:szCs w:val="22"/>
        </w:rPr>
        <w:t>end forecast based on average expenditure to end of August (p5)</w:t>
      </w:r>
      <w:r w:rsidR="00196659">
        <w:rPr>
          <w:rFonts w:ascii="Arial" w:hAnsi="Arial" w:cs="Arial"/>
          <w:szCs w:val="22"/>
        </w:rPr>
        <w:t xml:space="preserve"> </w:t>
      </w:r>
    </w:p>
    <w:p w:rsidR="005B2ACD" w:rsidRPr="00284C3B" w:rsidRDefault="00284C3B" w:rsidP="00284C3B">
      <w:pPr>
        <w:ind w:left="4320"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196659">
        <w:rPr>
          <w:rFonts w:ascii="Arial" w:hAnsi="Arial" w:cs="Arial"/>
          <w:szCs w:val="22"/>
        </w:rPr>
        <w:t>verspend</w:t>
      </w:r>
      <w:r w:rsidR="00196659">
        <w:rPr>
          <w:rFonts w:ascii="Arial" w:hAnsi="Arial" w:cs="Arial"/>
          <w:szCs w:val="22"/>
        </w:rPr>
        <w:tab/>
      </w:r>
      <w:r w:rsidR="00196659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E558C" w:rsidRPr="00196659">
        <w:rPr>
          <w:rFonts w:ascii="Arial" w:hAnsi="Arial" w:cs="Arial"/>
          <w:b/>
          <w:color w:val="FF0000"/>
          <w:szCs w:val="22"/>
          <w:u w:val="single"/>
        </w:rPr>
        <w:t>340 000</w:t>
      </w:r>
    </w:p>
    <w:p w:rsidR="000B4E2C" w:rsidRPr="000E20B1" w:rsidRDefault="00B531D0" w:rsidP="000704DA">
      <w:pPr>
        <w:rPr>
          <w:rFonts w:ascii="Arial" w:hAnsi="Arial" w:cs="Arial"/>
          <w:szCs w:val="22"/>
        </w:rPr>
      </w:pPr>
      <w:r w:rsidRPr="000E20B1">
        <w:rPr>
          <w:rFonts w:ascii="Arial" w:hAnsi="Arial" w:cs="Arial"/>
          <w:szCs w:val="22"/>
        </w:rPr>
        <w:t xml:space="preserve"> </w:t>
      </w:r>
    </w:p>
    <w:p w:rsidR="00D2234E" w:rsidRDefault="00220344" w:rsidP="00345C0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spend more on transport than we do on education provision.</w:t>
      </w:r>
      <w:r w:rsidR="00284C3B">
        <w:rPr>
          <w:rFonts w:ascii="Arial" w:hAnsi="Arial" w:cs="Arial"/>
          <w:szCs w:val="22"/>
        </w:rPr>
        <w:t xml:space="preserve">  </w:t>
      </w:r>
      <w:r w:rsidR="00D2234E" w:rsidRPr="00DF0EED">
        <w:rPr>
          <w:rFonts w:ascii="Arial" w:hAnsi="Arial" w:cs="Arial"/>
          <w:szCs w:val="22"/>
        </w:rPr>
        <w:t>The transport cost includes fares incurred when pupils do not attend their provision but insufficient notice has been given to cancel.  This cost can be significant, with</w:t>
      </w:r>
      <w:r w:rsidR="00B531D0" w:rsidRPr="00DF0EED">
        <w:rPr>
          <w:rFonts w:ascii="Arial" w:hAnsi="Arial" w:cs="Arial"/>
          <w:szCs w:val="22"/>
        </w:rPr>
        <w:t xml:space="preserve"> a recent example </w:t>
      </w:r>
      <w:r w:rsidR="00DF0EED" w:rsidRPr="00DF0EED">
        <w:rPr>
          <w:rFonts w:ascii="Arial" w:hAnsi="Arial" w:cs="Arial"/>
          <w:szCs w:val="22"/>
        </w:rPr>
        <w:t>of costs amounting to £500 in one morning for transport not used.</w:t>
      </w:r>
    </w:p>
    <w:p w:rsidR="0058735F" w:rsidRPr="00DF0EED" w:rsidRDefault="0058735F" w:rsidP="00345C0F">
      <w:pPr>
        <w:rPr>
          <w:rFonts w:ascii="Arial" w:hAnsi="Arial" w:cs="Arial"/>
          <w:szCs w:val="22"/>
        </w:rPr>
      </w:pPr>
    </w:p>
    <w:p w:rsidR="005B2ACD" w:rsidRPr="000E20B1" w:rsidRDefault="005B3EB2" w:rsidP="000704D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Proposed action</w:t>
      </w:r>
    </w:p>
    <w:p w:rsidR="00290AFB" w:rsidRPr="000E20B1" w:rsidRDefault="00290AFB" w:rsidP="000704DA">
      <w:pPr>
        <w:rPr>
          <w:rFonts w:ascii="Arial" w:hAnsi="Arial" w:cs="Arial"/>
          <w:szCs w:val="22"/>
        </w:rPr>
      </w:pPr>
      <w:r w:rsidRPr="000E20B1">
        <w:rPr>
          <w:rFonts w:ascii="Arial" w:hAnsi="Arial" w:cs="Arial"/>
          <w:szCs w:val="22"/>
        </w:rPr>
        <w:t>A review of the current model of support from EOTAS</w:t>
      </w:r>
      <w:r w:rsidR="00F169FD">
        <w:rPr>
          <w:rFonts w:ascii="Arial" w:hAnsi="Arial" w:cs="Arial"/>
          <w:szCs w:val="22"/>
        </w:rPr>
        <w:t xml:space="preserve"> </w:t>
      </w:r>
      <w:r w:rsidRPr="000E20B1">
        <w:rPr>
          <w:rFonts w:ascii="Arial" w:hAnsi="Arial" w:cs="Arial"/>
          <w:szCs w:val="22"/>
        </w:rPr>
        <w:t>suggests that better value for money could be achieved for schools to improve outcomes for pupils at risk of permanent exclusion.</w:t>
      </w:r>
      <w:r w:rsidR="00F169FD">
        <w:rPr>
          <w:rFonts w:ascii="Arial" w:hAnsi="Arial" w:cs="Arial"/>
          <w:szCs w:val="22"/>
        </w:rPr>
        <w:t xml:space="preserve">  Our proposed action is:</w:t>
      </w:r>
    </w:p>
    <w:p w:rsidR="00290AFB" w:rsidRDefault="00290AFB" w:rsidP="000704DA">
      <w:pPr>
        <w:rPr>
          <w:rFonts w:ascii="Arial" w:hAnsi="Arial" w:cs="Arial"/>
          <w:szCs w:val="22"/>
        </w:rPr>
      </w:pPr>
    </w:p>
    <w:p w:rsidR="004E767D" w:rsidRPr="00B4079F" w:rsidRDefault="00F169FD" w:rsidP="00B4079F">
      <w:pPr>
        <w:pStyle w:val="ListParagraph"/>
        <w:numPr>
          <w:ilvl w:val="0"/>
          <w:numId w:val="9"/>
        </w:numPr>
        <w:spacing w:after="0" w:line="240" w:lineRule="auto"/>
        <w:ind w:hanging="357"/>
        <w:rPr>
          <w:rFonts w:ascii="Arial" w:hAnsi="Arial" w:cs="Arial"/>
          <w:b/>
          <w:u w:val="single"/>
        </w:rPr>
      </w:pPr>
      <w:r w:rsidRPr="00B4079F">
        <w:rPr>
          <w:rFonts w:ascii="Arial" w:hAnsi="Arial" w:cs="Arial"/>
          <w:b/>
          <w:u w:val="single"/>
        </w:rPr>
        <w:t>To a</w:t>
      </w:r>
      <w:r w:rsidR="004E767D" w:rsidRPr="00B4079F">
        <w:rPr>
          <w:rFonts w:ascii="Arial" w:hAnsi="Arial" w:cs="Arial"/>
          <w:b/>
          <w:u w:val="single"/>
        </w:rPr>
        <w:t xml:space="preserve">dapt the current model </w:t>
      </w:r>
      <w:r w:rsidRPr="00B4079F">
        <w:rPr>
          <w:rFonts w:ascii="Arial" w:hAnsi="Arial" w:cs="Arial"/>
          <w:b/>
          <w:u w:val="single"/>
        </w:rPr>
        <w:t>with immediate effect and up to 31</w:t>
      </w:r>
      <w:r w:rsidRPr="00B4079F">
        <w:rPr>
          <w:rFonts w:ascii="Arial" w:hAnsi="Arial" w:cs="Arial"/>
          <w:b/>
          <w:u w:val="single"/>
          <w:vertAlign w:val="superscript"/>
        </w:rPr>
        <w:t>st</w:t>
      </w:r>
      <w:r w:rsidRPr="00B4079F">
        <w:rPr>
          <w:rFonts w:ascii="Arial" w:hAnsi="Arial" w:cs="Arial"/>
          <w:b/>
          <w:u w:val="single"/>
        </w:rPr>
        <w:t xml:space="preserve"> March 2015</w:t>
      </w:r>
    </w:p>
    <w:p w:rsidR="00B4079F" w:rsidRPr="00B4079F" w:rsidRDefault="00B4079F" w:rsidP="00B4079F">
      <w:pPr>
        <w:rPr>
          <w:rFonts w:ascii="Arial" w:hAnsi="Arial" w:cs="Arial"/>
          <w:u w:val="single"/>
        </w:rPr>
      </w:pPr>
    </w:p>
    <w:p w:rsidR="00470AEB" w:rsidRPr="00470AEB" w:rsidRDefault="00F169FD" w:rsidP="00B4079F">
      <w:pPr>
        <w:pStyle w:val="ListParagraph"/>
        <w:numPr>
          <w:ilvl w:val="0"/>
          <w:numId w:val="8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Measures to r</w:t>
      </w:r>
      <w:r w:rsidR="00833EBE" w:rsidRPr="00D826D7">
        <w:rPr>
          <w:rFonts w:ascii="Arial" w:hAnsi="Arial" w:cs="Arial"/>
        </w:rPr>
        <w:t>educe cost of transport</w:t>
      </w:r>
      <w:r w:rsidR="00470AEB">
        <w:rPr>
          <w:rFonts w:ascii="Arial" w:hAnsi="Arial" w:cs="Arial"/>
        </w:rPr>
        <w:t>:</w:t>
      </w:r>
    </w:p>
    <w:p w:rsidR="00833EBE" w:rsidRPr="00D826D7" w:rsidRDefault="00F169FD" w:rsidP="00B4079F">
      <w:pPr>
        <w:pStyle w:val="ListParagraph"/>
        <w:numPr>
          <w:ilvl w:val="1"/>
          <w:numId w:val="8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3EBE" w:rsidRPr="00D826D7">
        <w:rPr>
          <w:rFonts w:ascii="Arial" w:hAnsi="Arial" w:cs="Arial"/>
        </w:rPr>
        <w:t>ithin an agreed radius, parents are responsible for transporting their children to an education setting</w:t>
      </w:r>
    </w:p>
    <w:p w:rsidR="00833EBE" w:rsidRPr="00D826D7" w:rsidRDefault="00F169FD" w:rsidP="00B4079F">
      <w:pPr>
        <w:pStyle w:val="ListParagraph"/>
        <w:numPr>
          <w:ilvl w:val="1"/>
          <w:numId w:val="8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33EBE" w:rsidRPr="00D826D7">
        <w:rPr>
          <w:rFonts w:ascii="Arial" w:hAnsi="Arial" w:cs="Arial"/>
        </w:rPr>
        <w:t>fter a risk assessment to ensure safety, make more effective use of bus passes</w:t>
      </w:r>
    </w:p>
    <w:p w:rsidR="00833EBE" w:rsidRPr="00D826D7" w:rsidRDefault="00F169FD" w:rsidP="00B4079F">
      <w:pPr>
        <w:pStyle w:val="ListParagraph"/>
        <w:numPr>
          <w:ilvl w:val="1"/>
          <w:numId w:val="8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33EBE" w:rsidRPr="00D826D7">
        <w:rPr>
          <w:rFonts w:ascii="Arial" w:hAnsi="Arial" w:cs="Arial"/>
        </w:rPr>
        <w:t xml:space="preserve">se the procurement </w:t>
      </w:r>
      <w:r>
        <w:rPr>
          <w:rFonts w:ascii="Arial" w:hAnsi="Arial" w:cs="Arial"/>
        </w:rPr>
        <w:t xml:space="preserve">process </w:t>
      </w:r>
      <w:r w:rsidR="00833EBE" w:rsidRPr="00D826D7">
        <w:rPr>
          <w:rFonts w:ascii="Arial" w:hAnsi="Arial" w:cs="Arial"/>
        </w:rPr>
        <w:t xml:space="preserve">of Alternative Providers </w:t>
      </w:r>
      <w:r>
        <w:rPr>
          <w:rFonts w:ascii="Arial" w:hAnsi="Arial" w:cs="Arial"/>
        </w:rPr>
        <w:t>currently underway</w:t>
      </w:r>
      <w:r w:rsidR="00833EBE" w:rsidRPr="00D826D7">
        <w:rPr>
          <w:rFonts w:ascii="Arial" w:hAnsi="Arial" w:cs="Arial"/>
        </w:rPr>
        <w:t xml:space="preserve"> to engage providers who </w:t>
      </w:r>
      <w:r>
        <w:rPr>
          <w:rFonts w:ascii="Arial" w:hAnsi="Arial" w:cs="Arial"/>
        </w:rPr>
        <w:t>include transport in their overall cost</w:t>
      </w:r>
      <w:r w:rsidR="00833EBE" w:rsidRPr="00D826D7">
        <w:rPr>
          <w:rFonts w:ascii="Arial" w:hAnsi="Arial" w:cs="Arial"/>
        </w:rPr>
        <w:t xml:space="preserve"> (</w:t>
      </w:r>
      <w:proofErr w:type="spellStart"/>
      <w:r w:rsidR="00833EBE" w:rsidRPr="00D826D7">
        <w:rPr>
          <w:rFonts w:ascii="Arial" w:hAnsi="Arial" w:cs="Arial"/>
        </w:rPr>
        <w:t>eg</w:t>
      </w:r>
      <w:proofErr w:type="spellEnd"/>
      <w:r w:rsidR="00833EBE" w:rsidRPr="00D826D7">
        <w:rPr>
          <w:rFonts w:ascii="Arial" w:hAnsi="Arial" w:cs="Arial"/>
        </w:rPr>
        <w:t xml:space="preserve"> GUST, </w:t>
      </w:r>
      <w:proofErr w:type="spellStart"/>
      <w:r w:rsidR="00833EBE" w:rsidRPr="00D826D7">
        <w:rPr>
          <w:rFonts w:ascii="Arial" w:hAnsi="Arial" w:cs="Arial"/>
        </w:rPr>
        <w:t>Choysez</w:t>
      </w:r>
      <w:proofErr w:type="spellEnd"/>
      <w:r w:rsidR="00833EBE" w:rsidRPr="00D826D7">
        <w:rPr>
          <w:rFonts w:ascii="Arial" w:hAnsi="Arial" w:cs="Arial"/>
        </w:rPr>
        <w:t>)</w:t>
      </w:r>
    </w:p>
    <w:p w:rsidR="006428FE" w:rsidRPr="00D826D7" w:rsidRDefault="00F169FD" w:rsidP="00B4079F">
      <w:pPr>
        <w:pStyle w:val="ListParagraph"/>
        <w:numPr>
          <w:ilvl w:val="1"/>
          <w:numId w:val="8"/>
        </w:numPr>
        <w:spacing w:after="0"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review with schools the geography of Alternative Providers used and agree a radius around each secondary/high school outside of which EOTAS will fund transport</w:t>
      </w:r>
    </w:p>
    <w:p w:rsidR="000B6AF3" w:rsidRPr="00D826D7" w:rsidRDefault="000B6AF3" w:rsidP="00B4079F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833EBE" w:rsidRPr="00D826D7" w:rsidRDefault="006428FE" w:rsidP="00B407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826D7">
        <w:rPr>
          <w:rFonts w:ascii="Arial" w:hAnsi="Arial" w:cs="Arial"/>
        </w:rPr>
        <w:t>Reduce cost of non-attendance at alternative provision:</w:t>
      </w:r>
    </w:p>
    <w:p w:rsidR="000B6AF3" w:rsidRPr="00D826D7" w:rsidRDefault="00DB4923" w:rsidP="00B407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826D7">
        <w:rPr>
          <w:rFonts w:ascii="Arial" w:hAnsi="Arial" w:cs="Arial"/>
        </w:rPr>
        <w:t xml:space="preserve">Cease the alternative provision arranged if a pupil does not attend for a minimum number of days </w:t>
      </w:r>
      <w:proofErr w:type="spellStart"/>
      <w:r w:rsidRPr="00D826D7">
        <w:rPr>
          <w:rFonts w:ascii="Arial" w:hAnsi="Arial" w:cs="Arial"/>
        </w:rPr>
        <w:t>eg</w:t>
      </w:r>
      <w:proofErr w:type="spellEnd"/>
      <w:r w:rsidRPr="00D826D7">
        <w:rPr>
          <w:rFonts w:ascii="Arial" w:hAnsi="Arial" w:cs="Arial"/>
        </w:rPr>
        <w:t xml:space="preserve"> 10</w:t>
      </w:r>
      <w:r w:rsidR="00D826D7" w:rsidRPr="00D826D7">
        <w:rPr>
          <w:rFonts w:ascii="Arial" w:hAnsi="Arial" w:cs="Arial"/>
        </w:rPr>
        <w:t>, unless there are mitigating circumstances such as health/medical needs</w:t>
      </w:r>
    </w:p>
    <w:p w:rsidR="00DB4923" w:rsidRDefault="00DB4923" w:rsidP="00B407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826D7">
        <w:rPr>
          <w:rFonts w:ascii="Arial" w:hAnsi="Arial" w:cs="Arial"/>
        </w:rPr>
        <w:lastRenderedPageBreak/>
        <w:t xml:space="preserve">Ensure </w:t>
      </w:r>
      <w:r w:rsidR="00F169FD">
        <w:rPr>
          <w:rFonts w:ascii="Arial" w:hAnsi="Arial" w:cs="Arial"/>
        </w:rPr>
        <w:t>a more consistent approach to prosecution by Education Welfare for pupils in Alternative Provision</w:t>
      </w:r>
    </w:p>
    <w:p w:rsidR="00470AEB" w:rsidRDefault="00470AEB" w:rsidP="00B407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A0E7E" w:rsidRDefault="00E664EE" w:rsidP="00B407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Schools/providers/EOTAS to work together to i</w:t>
      </w:r>
      <w:r w:rsidR="00470AEB">
        <w:rPr>
          <w:rFonts w:ascii="Arial" w:hAnsi="Arial" w:cs="Arial"/>
        </w:rPr>
        <w:t>mprove re-inte</w:t>
      </w:r>
      <w:r>
        <w:rPr>
          <w:rFonts w:ascii="Arial" w:hAnsi="Arial" w:cs="Arial"/>
        </w:rPr>
        <w:t>gration into mainstream school.</w:t>
      </w:r>
    </w:p>
    <w:p w:rsidR="00E664EE" w:rsidRDefault="00E664EE" w:rsidP="00B4079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A0E7E" w:rsidRDefault="001A0E7E" w:rsidP="00B407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Commit to continuing with the current model but </w:t>
      </w:r>
      <w:r w:rsidR="00611418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the budget is spent then </w:t>
      </w:r>
      <w:r w:rsidR="00611418">
        <w:rPr>
          <w:rFonts w:ascii="Arial" w:hAnsi="Arial" w:cs="Arial"/>
        </w:rPr>
        <w:t>suspend funding until 1</w:t>
      </w:r>
      <w:r w:rsidR="00611418" w:rsidRPr="00611418">
        <w:rPr>
          <w:rFonts w:ascii="Arial" w:hAnsi="Arial" w:cs="Arial"/>
          <w:vertAlign w:val="superscript"/>
        </w:rPr>
        <w:t>st</w:t>
      </w:r>
      <w:r w:rsidR="00611418">
        <w:rPr>
          <w:rFonts w:ascii="Arial" w:hAnsi="Arial" w:cs="Arial"/>
        </w:rPr>
        <w:t xml:space="preserve"> April 2016.</w:t>
      </w:r>
    </w:p>
    <w:p w:rsidR="004E767D" w:rsidRDefault="004E767D" w:rsidP="00B407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E0CBA" w:rsidRPr="00B4079F" w:rsidRDefault="00E664EE" w:rsidP="00B4079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B4079F">
        <w:rPr>
          <w:rFonts w:ascii="Arial" w:hAnsi="Arial" w:cs="Arial"/>
          <w:b/>
          <w:u w:val="single"/>
        </w:rPr>
        <w:t>Funding from 1</w:t>
      </w:r>
      <w:r w:rsidRPr="00B4079F">
        <w:rPr>
          <w:rFonts w:ascii="Arial" w:hAnsi="Arial" w:cs="Arial"/>
          <w:b/>
          <w:u w:val="single"/>
          <w:vertAlign w:val="superscript"/>
        </w:rPr>
        <w:t>st</w:t>
      </w:r>
      <w:r w:rsidRPr="00B4079F">
        <w:rPr>
          <w:rFonts w:ascii="Arial" w:hAnsi="Arial" w:cs="Arial"/>
          <w:b/>
          <w:u w:val="single"/>
        </w:rPr>
        <w:t xml:space="preserve"> April 2016</w:t>
      </w:r>
    </w:p>
    <w:p w:rsidR="00B4079F" w:rsidRPr="00B4079F" w:rsidRDefault="00B4079F" w:rsidP="00B4079F">
      <w:pPr>
        <w:rPr>
          <w:rFonts w:ascii="Arial" w:hAnsi="Arial" w:cs="Arial"/>
        </w:rPr>
      </w:pPr>
    </w:p>
    <w:p w:rsidR="002F21C7" w:rsidRPr="002D7345" w:rsidRDefault="00E664EE" w:rsidP="00B407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In collaboration with schools, review how EOTAS uses the budget to support inclusion and agree a revised model for April 2016.</w:t>
      </w:r>
      <w:r w:rsidR="00FA7025" w:rsidRPr="002D7345">
        <w:rPr>
          <w:rFonts w:ascii="Arial" w:hAnsi="Arial" w:cs="Arial"/>
        </w:rPr>
        <w:t xml:space="preserve">  </w:t>
      </w:r>
    </w:p>
    <w:sectPr w:rsidR="002F21C7" w:rsidRPr="002D7345" w:rsidSect="00142AF7">
      <w:footerReference w:type="even" r:id="rId9"/>
      <w:footerReference w:type="first" r:id="rId10"/>
      <w:type w:val="continuous"/>
      <w:pgSz w:w="11909" w:h="16834"/>
      <w:pgMar w:top="1134" w:right="1440" w:bottom="1008" w:left="1440" w:header="1699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B3" w:rsidRDefault="009C6DB3">
      <w:r>
        <w:separator/>
      </w:r>
    </w:p>
  </w:endnote>
  <w:endnote w:type="continuationSeparator" w:id="0">
    <w:p w:rsidR="009C6DB3" w:rsidRDefault="009C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36" w:rsidRDefault="00BC3C36" w:rsidP="00926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C3C36" w:rsidRDefault="00BC3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F7" w:rsidRPr="00142AF7" w:rsidRDefault="00142AF7" w:rsidP="00142AF7">
    <w:pPr>
      <w:rPr>
        <w:rFonts w:ascii="Arial" w:hAnsi="Arial" w:cs="Arial"/>
        <w:color w:val="BFBFBF" w:themeColor="background1" w:themeShade="BF"/>
        <w:sz w:val="18"/>
        <w:szCs w:val="18"/>
      </w:rPr>
    </w:pPr>
    <w:r w:rsidRPr="00142AF7">
      <w:rPr>
        <w:rFonts w:ascii="Arial" w:hAnsi="Arial" w:cs="Arial"/>
        <w:color w:val="BFBFBF" w:themeColor="background1" w:themeShade="BF"/>
        <w:sz w:val="18"/>
        <w:szCs w:val="18"/>
      </w:rPr>
      <w:t>October 2015</w:t>
    </w:r>
  </w:p>
  <w:p w:rsidR="00142AF7" w:rsidRPr="00142AF7" w:rsidRDefault="00142AF7" w:rsidP="00142AF7">
    <w:pPr>
      <w:rPr>
        <w:rFonts w:ascii="Arial" w:hAnsi="Arial" w:cs="Arial"/>
        <w:color w:val="BFBFBF" w:themeColor="background1" w:themeShade="BF"/>
        <w:sz w:val="18"/>
        <w:szCs w:val="18"/>
      </w:rPr>
    </w:pPr>
    <w:r w:rsidRPr="00142AF7">
      <w:rPr>
        <w:rFonts w:ascii="Arial" w:hAnsi="Arial" w:cs="Arial"/>
        <w:color w:val="BFBFBF" w:themeColor="background1" w:themeShade="BF"/>
        <w:sz w:val="18"/>
        <w:szCs w:val="18"/>
      </w:rPr>
      <w:t>Jane Walker, Senior Manager Education and Skills Service</w:t>
    </w:r>
  </w:p>
  <w:p w:rsidR="00142AF7" w:rsidRPr="00142AF7" w:rsidRDefault="00142AF7">
    <w:pPr>
      <w:pStyle w:val="Footer"/>
      <w:rPr>
        <w:color w:val="BFBFBF" w:themeColor="background1" w:themeShade="BF"/>
        <w:sz w:val="18"/>
        <w:szCs w:val="18"/>
      </w:rPr>
    </w:pPr>
  </w:p>
  <w:p w:rsidR="00BC3C36" w:rsidRPr="00E615D4" w:rsidRDefault="00BC3C36" w:rsidP="000704DA">
    <w:pPr>
      <w:pStyle w:val="ncchead"/>
      <w:spacing w:line="120" w:lineRule="exact"/>
      <w:ind w:left="-357" w:right="-35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B3" w:rsidRDefault="009C6DB3">
      <w:r>
        <w:separator/>
      </w:r>
    </w:p>
  </w:footnote>
  <w:footnote w:type="continuationSeparator" w:id="0">
    <w:p w:rsidR="009C6DB3" w:rsidRDefault="009C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1B9"/>
    <w:multiLevelType w:val="hybridMultilevel"/>
    <w:tmpl w:val="8190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2406"/>
    <w:multiLevelType w:val="hybridMultilevel"/>
    <w:tmpl w:val="1C2C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E39E6"/>
    <w:multiLevelType w:val="hybridMultilevel"/>
    <w:tmpl w:val="029EB59E"/>
    <w:lvl w:ilvl="0" w:tplc="5C1AB6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A78"/>
    <w:multiLevelType w:val="hybridMultilevel"/>
    <w:tmpl w:val="5C86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35281"/>
    <w:multiLevelType w:val="hybridMultilevel"/>
    <w:tmpl w:val="EEB0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2C32"/>
    <w:multiLevelType w:val="hybridMultilevel"/>
    <w:tmpl w:val="557C07CC"/>
    <w:lvl w:ilvl="0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7370171"/>
    <w:multiLevelType w:val="hybridMultilevel"/>
    <w:tmpl w:val="C0D40B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B14486"/>
    <w:multiLevelType w:val="hybridMultilevel"/>
    <w:tmpl w:val="1810683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BEC6426"/>
    <w:multiLevelType w:val="hybridMultilevel"/>
    <w:tmpl w:val="B76E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01"/>
    <w:rsid w:val="0000664B"/>
    <w:rsid w:val="00020A0F"/>
    <w:rsid w:val="000276E7"/>
    <w:rsid w:val="000300EC"/>
    <w:rsid w:val="00031DB0"/>
    <w:rsid w:val="00031F71"/>
    <w:rsid w:val="000366B8"/>
    <w:rsid w:val="000371AE"/>
    <w:rsid w:val="0004522E"/>
    <w:rsid w:val="000704DA"/>
    <w:rsid w:val="0007279B"/>
    <w:rsid w:val="00073CDB"/>
    <w:rsid w:val="00075786"/>
    <w:rsid w:val="00076407"/>
    <w:rsid w:val="00080AD1"/>
    <w:rsid w:val="00082C04"/>
    <w:rsid w:val="000A4814"/>
    <w:rsid w:val="000B14A6"/>
    <w:rsid w:val="000B4E2C"/>
    <w:rsid w:val="000B6AF3"/>
    <w:rsid w:val="000B76AE"/>
    <w:rsid w:val="000D4C36"/>
    <w:rsid w:val="000E20B1"/>
    <w:rsid w:val="000E31CF"/>
    <w:rsid w:val="000E4D2B"/>
    <w:rsid w:val="000E50F3"/>
    <w:rsid w:val="000E547F"/>
    <w:rsid w:val="000E558C"/>
    <w:rsid w:val="000F1482"/>
    <w:rsid w:val="00104EC1"/>
    <w:rsid w:val="00111C85"/>
    <w:rsid w:val="00116407"/>
    <w:rsid w:val="00142AF7"/>
    <w:rsid w:val="0014367F"/>
    <w:rsid w:val="0015556B"/>
    <w:rsid w:val="00175FFB"/>
    <w:rsid w:val="00195D85"/>
    <w:rsid w:val="00196659"/>
    <w:rsid w:val="001A0E7E"/>
    <w:rsid w:val="001B4169"/>
    <w:rsid w:val="001C0358"/>
    <w:rsid w:val="001C076F"/>
    <w:rsid w:val="001D4138"/>
    <w:rsid w:val="001D53B8"/>
    <w:rsid w:val="001F3A49"/>
    <w:rsid w:val="001F5DBB"/>
    <w:rsid w:val="00200CA1"/>
    <w:rsid w:val="0020214D"/>
    <w:rsid w:val="0021325C"/>
    <w:rsid w:val="00216445"/>
    <w:rsid w:val="00220344"/>
    <w:rsid w:val="00225EA7"/>
    <w:rsid w:val="0025728C"/>
    <w:rsid w:val="00262A1F"/>
    <w:rsid w:val="002650C7"/>
    <w:rsid w:val="00282777"/>
    <w:rsid w:val="00284C3B"/>
    <w:rsid w:val="00290AFB"/>
    <w:rsid w:val="002927AA"/>
    <w:rsid w:val="002C250C"/>
    <w:rsid w:val="002C6204"/>
    <w:rsid w:val="002D11BF"/>
    <w:rsid w:val="002D7345"/>
    <w:rsid w:val="002F21C7"/>
    <w:rsid w:val="003365D9"/>
    <w:rsid w:val="00345C0F"/>
    <w:rsid w:val="00345E0D"/>
    <w:rsid w:val="00360EE2"/>
    <w:rsid w:val="003779A9"/>
    <w:rsid w:val="00391F61"/>
    <w:rsid w:val="0039215E"/>
    <w:rsid w:val="00392863"/>
    <w:rsid w:val="00395D46"/>
    <w:rsid w:val="003A4BBD"/>
    <w:rsid w:val="003A524B"/>
    <w:rsid w:val="003A6D43"/>
    <w:rsid w:val="003B0EE6"/>
    <w:rsid w:val="003B2454"/>
    <w:rsid w:val="003B540A"/>
    <w:rsid w:val="003B5B6C"/>
    <w:rsid w:val="003B5F6E"/>
    <w:rsid w:val="003C2E4E"/>
    <w:rsid w:val="003D02B2"/>
    <w:rsid w:val="003E41D8"/>
    <w:rsid w:val="003E5F3D"/>
    <w:rsid w:val="0040111B"/>
    <w:rsid w:val="00411952"/>
    <w:rsid w:val="004207D2"/>
    <w:rsid w:val="00421181"/>
    <w:rsid w:val="00436D4C"/>
    <w:rsid w:val="00444A44"/>
    <w:rsid w:val="004470C5"/>
    <w:rsid w:val="004619FE"/>
    <w:rsid w:val="004649D8"/>
    <w:rsid w:val="00470AEB"/>
    <w:rsid w:val="0048479C"/>
    <w:rsid w:val="00487E87"/>
    <w:rsid w:val="004937C4"/>
    <w:rsid w:val="00493892"/>
    <w:rsid w:val="00497292"/>
    <w:rsid w:val="004A483D"/>
    <w:rsid w:val="004D71C6"/>
    <w:rsid w:val="004E767D"/>
    <w:rsid w:val="004E7B4B"/>
    <w:rsid w:val="004F5DCC"/>
    <w:rsid w:val="004F7462"/>
    <w:rsid w:val="0050116A"/>
    <w:rsid w:val="0050198A"/>
    <w:rsid w:val="005032B5"/>
    <w:rsid w:val="00514065"/>
    <w:rsid w:val="00522E19"/>
    <w:rsid w:val="0053157F"/>
    <w:rsid w:val="005435D9"/>
    <w:rsid w:val="0054612E"/>
    <w:rsid w:val="00554704"/>
    <w:rsid w:val="00555375"/>
    <w:rsid w:val="00571B79"/>
    <w:rsid w:val="00586A01"/>
    <w:rsid w:val="0058735F"/>
    <w:rsid w:val="005A18AE"/>
    <w:rsid w:val="005B2ACD"/>
    <w:rsid w:val="005B3EB2"/>
    <w:rsid w:val="005B4D65"/>
    <w:rsid w:val="005D3134"/>
    <w:rsid w:val="005D3B24"/>
    <w:rsid w:val="005E4E8D"/>
    <w:rsid w:val="005F46F5"/>
    <w:rsid w:val="0060170B"/>
    <w:rsid w:val="00605599"/>
    <w:rsid w:val="00611418"/>
    <w:rsid w:val="0061235C"/>
    <w:rsid w:val="00613421"/>
    <w:rsid w:val="006345D0"/>
    <w:rsid w:val="006428FE"/>
    <w:rsid w:val="006539DB"/>
    <w:rsid w:val="006655B2"/>
    <w:rsid w:val="0067292A"/>
    <w:rsid w:val="00673C94"/>
    <w:rsid w:val="00673E65"/>
    <w:rsid w:val="006757BB"/>
    <w:rsid w:val="006910D9"/>
    <w:rsid w:val="00692083"/>
    <w:rsid w:val="006966F5"/>
    <w:rsid w:val="006A3DBF"/>
    <w:rsid w:val="006B62C6"/>
    <w:rsid w:val="006C4DBC"/>
    <w:rsid w:val="006E1FAF"/>
    <w:rsid w:val="00706CD1"/>
    <w:rsid w:val="00715E76"/>
    <w:rsid w:val="00721F58"/>
    <w:rsid w:val="00722419"/>
    <w:rsid w:val="0072284A"/>
    <w:rsid w:val="00735BD8"/>
    <w:rsid w:val="00736757"/>
    <w:rsid w:val="0075710A"/>
    <w:rsid w:val="00764599"/>
    <w:rsid w:val="00771DD4"/>
    <w:rsid w:val="0077323C"/>
    <w:rsid w:val="00786672"/>
    <w:rsid w:val="00796622"/>
    <w:rsid w:val="007A52CD"/>
    <w:rsid w:val="007A6098"/>
    <w:rsid w:val="007A6F9A"/>
    <w:rsid w:val="007B031E"/>
    <w:rsid w:val="007B4D0F"/>
    <w:rsid w:val="007C504C"/>
    <w:rsid w:val="007D6EFE"/>
    <w:rsid w:val="007D7241"/>
    <w:rsid w:val="007E7F1C"/>
    <w:rsid w:val="007F163A"/>
    <w:rsid w:val="007F50E8"/>
    <w:rsid w:val="00801D6F"/>
    <w:rsid w:val="008233C5"/>
    <w:rsid w:val="00823A4B"/>
    <w:rsid w:val="00833EBE"/>
    <w:rsid w:val="00840E03"/>
    <w:rsid w:val="00845C5B"/>
    <w:rsid w:val="00846EC9"/>
    <w:rsid w:val="00862B52"/>
    <w:rsid w:val="00864872"/>
    <w:rsid w:val="00870445"/>
    <w:rsid w:val="008709AE"/>
    <w:rsid w:val="00875047"/>
    <w:rsid w:val="0088140B"/>
    <w:rsid w:val="008A56AA"/>
    <w:rsid w:val="008A66BB"/>
    <w:rsid w:val="008B4BC6"/>
    <w:rsid w:val="008B5BB1"/>
    <w:rsid w:val="008C3B5D"/>
    <w:rsid w:val="008C756C"/>
    <w:rsid w:val="008D4B86"/>
    <w:rsid w:val="008D5B23"/>
    <w:rsid w:val="008D5DEA"/>
    <w:rsid w:val="008D6F71"/>
    <w:rsid w:val="008E361A"/>
    <w:rsid w:val="008F3C5C"/>
    <w:rsid w:val="0090216B"/>
    <w:rsid w:val="009160FA"/>
    <w:rsid w:val="0092267C"/>
    <w:rsid w:val="0092554C"/>
    <w:rsid w:val="00926F9B"/>
    <w:rsid w:val="009427B6"/>
    <w:rsid w:val="009437EA"/>
    <w:rsid w:val="00947319"/>
    <w:rsid w:val="009476CE"/>
    <w:rsid w:val="00947A4E"/>
    <w:rsid w:val="009519E5"/>
    <w:rsid w:val="0095614F"/>
    <w:rsid w:val="009571B4"/>
    <w:rsid w:val="0096289F"/>
    <w:rsid w:val="009743BE"/>
    <w:rsid w:val="0097642F"/>
    <w:rsid w:val="00980A67"/>
    <w:rsid w:val="009849E7"/>
    <w:rsid w:val="009934A3"/>
    <w:rsid w:val="009947F9"/>
    <w:rsid w:val="009B0438"/>
    <w:rsid w:val="009C2420"/>
    <w:rsid w:val="009C6DB3"/>
    <w:rsid w:val="009D0F6F"/>
    <w:rsid w:val="009E5047"/>
    <w:rsid w:val="009E73FD"/>
    <w:rsid w:val="009F49FE"/>
    <w:rsid w:val="00A04353"/>
    <w:rsid w:val="00A21EB2"/>
    <w:rsid w:val="00A314DC"/>
    <w:rsid w:val="00A35DC9"/>
    <w:rsid w:val="00A60B83"/>
    <w:rsid w:val="00A670BB"/>
    <w:rsid w:val="00A7093E"/>
    <w:rsid w:val="00A84A00"/>
    <w:rsid w:val="00AA5F42"/>
    <w:rsid w:val="00AC3D21"/>
    <w:rsid w:val="00AD1439"/>
    <w:rsid w:val="00AD2F24"/>
    <w:rsid w:val="00AE2405"/>
    <w:rsid w:val="00AE6B8E"/>
    <w:rsid w:val="00B021FE"/>
    <w:rsid w:val="00B0778B"/>
    <w:rsid w:val="00B21650"/>
    <w:rsid w:val="00B21F78"/>
    <w:rsid w:val="00B25613"/>
    <w:rsid w:val="00B30E60"/>
    <w:rsid w:val="00B34313"/>
    <w:rsid w:val="00B3490D"/>
    <w:rsid w:val="00B4079F"/>
    <w:rsid w:val="00B4408C"/>
    <w:rsid w:val="00B450F0"/>
    <w:rsid w:val="00B531D0"/>
    <w:rsid w:val="00B545CA"/>
    <w:rsid w:val="00B56F2F"/>
    <w:rsid w:val="00B77FAB"/>
    <w:rsid w:val="00B8003C"/>
    <w:rsid w:val="00BA2DF3"/>
    <w:rsid w:val="00BB251D"/>
    <w:rsid w:val="00BB5F13"/>
    <w:rsid w:val="00BB7E4D"/>
    <w:rsid w:val="00BC0078"/>
    <w:rsid w:val="00BC363E"/>
    <w:rsid w:val="00BC3C36"/>
    <w:rsid w:val="00BC7CA4"/>
    <w:rsid w:val="00BE651B"/>
    <w:rsid w:val="00C14F35"/>
    <w:rsid w:val="00C311D4"/>
    <w:rsid w:val="00C325F7"/>
    <w:rsid w:val="00C341F9"/>
    <w:rsid w:val="00C50D18"/>
    <w:rsid w:val="00C5427F"/>
    <w:rsid w:val="00C55A0C"/>
    <w:rsid w:val="00C6159F"/>
    <w:rsid w:val="00C641CA"/>
    <w:rsid w:val="00C73094"/>
    <w:rsid w:val="00C74051"/>
    <w:rsid w:val="00C817CE"/>
    <w:rsid w:val="00C9564B"/>
    <w:rsid w:val="00CA03C1"/>
    <w:rsid w:val="00CA1AEF"/>
    <w:rsid w:val="00CA4BBE"/>
    <w:rsid w:val="00CC1B2E"/>
    <w:rsid w:val="00CD5E08"/>
    <w:rsid w:val="00CE3CFC"/>
    <w:rsid w:val="00CE6D32"/>
    <w:rsid w:val="00CE6EDC"/>
    <w:rsid w:val="00CF3641"/>
    <w:rsid w:val="00CF3BF0"/>
    <w:rsid w:val="00CF60D5"/>
    <w:rsid w:val="00D04ADE"/>
    <w:rsid w:val="00D15304"/>
    <w:rsid w:val="00D2234E"/>
    <w:rsid w:val="00D5151E"/>
    <w:rsid w:val="00D815A0"/>
    <w:rsid w:val="00D826D7"/>
    <w:rsid w:val="00DA5A64"/>
    <w:rsid w:val="00DB4923"/>
    <w:rsid w:val="00DE160C"/>
    <w:rsid w:val="00DF0EED"/>
    <w:rsid w:val="00DF0F21"/>
    <w:rsid w:val="00DF623C"/>
    <w:rsid w:val="00E00D5A"/>
    <w:rsid w:val="00E14E4E"/>
    <w:rsid w:val="00E2104D"/>
    <w:rsid w:val="00E24D6C"/>
    <w:rsid w:val="00E31DE6"/>
    <w:rsid w:val="00E42440"/>
    <w:rsid w:val="00E51402"/>
    <w:rsid w:val="00E615D4"/>
    <w:rsid w:val="00E664EE"/>
    <w:rsid w:val="00E7543D"/>
    <w:rsid w:val="00E777F0"/>
    <w:rsid w:val="00E805A0"/>
    <w:rsid w:val="00E97D37"/>
    <w:rsid w:val="00EA00EE"/>
    <w:rsid w:val="00EA136A"/>
    <w:rsid w:val="00EA3965"/>
    <w:rsid w:val="00EA5112"/>
    <w:rsid w:val="00EA61D0"/>
    <w:rsid w:val="00ED0A36"/>
    <w:rsid w:val="00ED5683"/>
    <w:rsid w:val="00EE0CBA"/>
    <w:rsid w:val="00EE29B2"/>
    <w:rsid w:val="00EF3647"/>
    <w:rsid w:val="00EF397D"/>
    <w:rsid w:val="00EF73E9"/>
    <w:rsid w:val="00F169FD"/>
    <w:rsid w:val="00F30882"/>
    <w:rsid w:val="00F457EF"/>
    <w:rsid w:val="00F57E1A"/>
    <w:rsid w:val="00F75C18"/>
    <w:rsid w:val="00F82772"/>
    <w:rsid w:val="00F95D7A"/>
    <w:rsid w:val="00FA265A"/>
    <w:rsid w:val="00FA2891"/>
    <w:rsid w:val="00FA7025"/>
    <w:rsid w:val="00FB2BD9"/>
    <w:rsid w:val="00FB77BF"/>
    <w:rsid w:val="00FC0631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cchead">
    <w:name w:val="ncchead"/>
    <w:basedOn w:val="Normal"/>
    <w:next w:val="depthead"/>
    <w:pPr>
      <w:spacing w:before="284"/>
      <w:jc w:val="center"/>
    </w:pPr>
    <w:rPr>
      <w:rFonts w:ascii="Arial" w:hAnsi="Arial"/>
      <w:b/>
      <w:noProof/>
      <w:sz w:val="18"/>
    </w:rPr>
  </w:style>
  <w:style w:type="paragraph" w:customStyle="1" w:styleId="depthead">
    <w:name w:val="depthead"/>
    <w:basedOn w:val="ncchead"/>
    <w:next w:val="Normal"/>
    <w:pPr>
      <w:pBdr>
        <w:bottom w:val="single" w:sz="6" w:space="12" w:color="auto"/>
      </w:pBdr>
      <w:spacing w:before="80" w:line="240" w:lineRule="atLeast"/>
    </w:pPr>
    <w:rPr>
      <w:b w:val="0"/>
    </w:rPr>
  </w:style>
  <w:style w:type="paragraph" w:customStyle="1" w:styleId="refs">
    <w:name w:val="refs"/>
    <w:basedOn w:val="ncchead"/>
    <w:next w:val="Normal"/>
    <w:pPr>
      <w:keepLines/>
      <w:spacing w:before="0"/>
      <w:jc w:val="right"/>
    </w:pPr>
    <w:rPr>
      <w:b w:val="0"/>
      <w:sz w:val="20"/>
    </w:rPr>
  </w:style>
  <w:style w:type="paragraph" w:styleId="BalloonText">
    <w:name w:val="Balloon Text"/>
    <w:basedOn w:val="Normal"/>
    <w:semiHidden/>
    <w:rsid w:val="00586A01"/>
    <w:rPr>
      <w:rFonts w:ascii="Tahoma" w:hAnsi="Tahoma" w:cs="Tahoma"/>
      <w:sz w:val="16"/>
      <w:szCs w:val="16"/>
    </w:rPr>
  </w:style>
  <w:style w:type="character" w:styleId="Hyperlink">
    <w:name w:val="Hyperlink"/>
    <w:rsid w:val="00020A0F"/>
    <w:rPr>
      <w:color w:val="0000FF"/>
      <w:u w:val="single"/>
    </w:rPr>
  </w:style>
  <w:style w:type="paragraph" w:styleId="BodyTextIndent">
    <w:name w:val="Body Text Indent"/>
    <w:basedOn w:val="Normal"/>
    <w:rsid w:val="007A6098"/>
    <w:pPr>
      <w:ind w:left="1440" w:hanging="1440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7A6098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7A6098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FA265A"/>
  </w:style>
  <w:style w:type="character" w:styleId="FollowedHyperlink">
    <w:name w:val="FollowedHyperlink"/>
    <w:rsid w:val="008709AE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73675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AF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cchead">
    <w:name w:val="ncchead"/>
    <w:basedOn w:val="Normal"/>
    <w:next w:val="depthead"/>
    <w:pPr>
      <w:spacing w:before="284"/>
      <w:jc w:val="center"/>
    </w:pPr>
    <w:rPr>
      <w:rFonts w:ascii="Arial" w:hAnsi="Arial"/>
      <w:b/>
      <w:noProof/>
      <w:sz w:val="18"/>
    </w:rPr>
  </w:style>
  <w:style w:type="paragraph" w:customStyle="1" w:styleId="depthead">
    <w:name w:val="depthead"/>
    <w:basedOn w:val="ncchead"/>
    <w:next w:val="Normal"/>
    <w:pPr>
      <w:pBdr>
        <w:bottom w:val="single" w:sz="6" w:space="12" w:color="auto"/>
      </w:pBdr>
      <w:spacing w:before="80" w:line="240" w:lineRule="atLeast"/>
    </w:pPr>
    <w:rPr>
      <w:b w:val="0"/>
    </w:rPr>
  </w:style>
  <w:style w:type="paragraph" w:customStyle="1" w:styleId="refs">
    <w:name w:val="refs"/>
    <w:basedOn w:val="ncchead"/>
    <w:next w:val="Normal"/>
    <w:pPr>
      <w:keepLines/>
      <w:spacing w:before="0"/>
      <w:jc w:val="right"/>
    </w:pPr>
    <w:rPr>
      <w:b w:val="0"/>
      <w:sz w:val="20"/>
    </w:rPr>
  </w:style>
  <w:style w:type="paragraph" w:styleId="BalloonText">
    <w:name w:val="Balloon Text"/>
    <w:basedOn w:val="Normal"/>
    <w:semiHidden/>
    <w:rsid w:val="00586A01"/>
    <w:rPr>
      <w:rFonts w:ascii="Tahoma" w:hAnsi="Tahoma" w:cs="Tahoma"/>
      <w:sz w:val="16"/>
      <w:szCs w:val="16"/>
    </w:rPr>
  </w:style>
  <w:style w:type="character" w:styleId="Hyperlink">
    <w:name w:val="Hyperlink"/>
    <w:rsid w:val="00020A0F"/>
    <w:rPr>
      <w:color w:val="0000FF"/>
      <w:u w:val="single"/>
    </w:rPr>
  </w:style>
  <w:style w:type="paragraph" w:styleId="BodyTextIndent">
    <w:name w:val="Body Text Indent"/>
    <w:basedOn w:val="Normal"/>
    <w:rsid w:val="007A6098"/>
    <w:pPr>
      <w:ind w:left="1440" w:hanging="1440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7A6098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7A6098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FA265A"/>
  </w:style>
  <w:style w:type="character" w:styleId="FollowedHyperlink">
    <w:name w:val="FollowedHyperlink"/>
    <w:rsid w:val="008709AE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73675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AF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96F0-AB6A-4E5D-A8FA-BE76BD10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5356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NorthumberlandCountyCouncil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Schools Forum EOTAS funding model</dc:title>
  <dc:creator>LMcCauley</dc:creator>
  <cp:lastModifiedBy>Papaioannou, Linda</cp:lastModifiedBy>
  <cp:revision>2</cp:revision>
  <cp:lastPrinted>2015-10-06T14:44:00Z</cp:lastPrinted>
  <dcterms:created xsi:type="dcterms:W3CDTF">2015-10-12T08:29:00Z</dcterms:created>
  <dcterms:modified xsi:type="dcterms:W3CDTF">2015-10-12T08:29:00Z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