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0B" w:rsidRPr="004764A0" w:rsidRDefault="000E600B" w:rsidP="000E600B">
      <w:pPr>
        <w:pStyle w:val="Default"/>
        <w:rPr>
          <w:rFonts w:asciiTheme="minorHAnsi" w:hAnsiTheme="minorHAnsi"/>
        </w:rPr>
      </w:pPr>
    </w:p>
    <w:p w:rsidR="00EE53AB" w:rsidRPr="004764A0" w:rsidRDefault="00986FD8" w:rsidP="004C4ECD">
      <w:pPr>
        <w:pStyle w:val="Default"/>
        <w:rPr>
          <w:rFonts w:asciiTheme="minorHAnsi" w:hAnsiTheme="minorHAnsi" w:cs="Arial"/>
          <w:b/>
          <w:bCs/>
        </w:rPr>
      </w:pPr>
      <w:r w:rsidRPr="004764A0">
        <w:rPr>
          <w:rFonts w:asciiTheme="minorHAnsi" w:hAnsiTheme="minorHAnsi" w:cs="Arial"/>
          <w:b/>
          <w:bCs/>
        </w:rPr>
        <w:t xml:space="preserve">New </w:t>
      </w:r>
      <w:r w:rsidR="000E600B" w:rsidRPr="004764A0">
        <w:rPr>
          <w:rFonts w:asciiTheme="minorHAnsi" w:hAnsiTheme="minorHAnsi" w:cs="Arial"/>
          <w:b/>
          <w:bCs/>
        </w:rPr>
        <w:t>Working</w:t>
      </w:r>
      <w:r w:rsidR="00EE53AB" w:rsidRPr="004764A0">
        <w:rPr>
          <w:rFonts w:asciiTheme="minorHAnsi" w:hAnsiTheme="minorHAnsi" w:cs="Arial"/>
          <w:b/>
          <w:bCs/>
        </w:rPr>
        <w:t xml:space="preserve"> Together to Safeguard Children:</w:t>
      </w:r>
    </w:p>
    <w:p w:rsidR="000E600B" w:rsidRPr="004764A0" w:rsidRDefault="000E600B" w:rsidP="004C4ECD">
      <w:pPr>
        <w:pStyle w:val="Default"/>
        <w:rPr>
          <w:rFonts w:asciiTheme="minorHAnsi" w:hAnsiTheme="minorHAnsi" w:cs="Arial"/>
          <w:b/>
          <w:bCs/>
        </w:rPr>
      </w:pPr>
      <w:r w:rsidRPr="004764A0">
        <w:rPr>
          <w:rFonts w:asciiTheme="minorHAnsi" w:hAnsiTheme="minorHAnsi" w:cs="Arial"/>
          <w:b/>
          <w:bCs/>
        </w:rPr>
        <w:t>A guide to inter-agency working to safeguard</w:t>
      </w:r>
      <w:r w:rsidR="009879D7" w:rsidRPr="004764A0">
        <w:rPr>
          <w:rFonts w:asciiTheme="minorHAnsi" w:hAnsiTheme="minorHAnsi" w:cs="Arial"/>
          <w:b/>
          <w:bCs/>
        </w:rPr>
        <w:t xml:space="preserve"> </w:t>
      </w:r>
      <w:r w:rsidRPr="004764A0">
        <w:rPr>
          <w:rFonts w:asciiTheme="minorHAnsi" w:hAnsiTheme="minorHAnsi" w:cs="Arial"/>
          <w:b/>
          <w:bCs/>
        </w:rPr>
        <w:t xml:space="preserve">and </w:t>
      </w:r>
      <w:r w:rsidR="009879D7" w:rsidRPr="004764A0">
        <w:rPr>
          <w:rFonts w:asciiTheme="minorHAnsi" w:hAnsiTheme="minorHAnsi" w:cs="Arial"/>
          <w:b/>
          <w:bCs/>
        </w:rPr>
        <w:t>promote the welfare of children (</w:t>
      </w:r>
      <w:r w:rsidRPr="004764A0">
        <w:rPr>
          <w:rFonts w:asciiTheme="minorHAnsi" w:hAnsiTheme="minorHAnsi" w:cs="Arial"/>
          <w:b/>
          <w:bCs/>
        </w:rPr>
        <w:t>March 2015</w:t>
      </w:r>
      <w:r w:rsidR="009879D7" w:rsidRPr="004764A0">
        <w:rPr>
          <w:rFonts w:asciiTheme="minorHAnsi" w:hAnsiTheme="minorHAnsi" w:cs="Arial"/>
          <w:b/>
          <w:bCs/>
        </w:rPr>
        <w:t>)</w:t>
      </w:r>
    </w:p>
    <w:p w:rsidR="00986FD8" w:rsidRPr="004764A0" w:rsidRDefault="00986FD8" w:rsidP="00986FD8">
      <w:pPr>
        <w:pStyle w:val="Default"/>
        <w:jc w:val="center"/>
        <w:rPr>
          <w:rFonts w:asciiTheme="minorHAnsi" w:hAnsiTheme="minorHAnsi" w:cs="Arial"/>
          <w:b/>
          <w:bCs/>
          <w:u w:val="single"/>
        </w:rPr>
      </w:pPr>
    </w:p>
    <w:p w:rsidR="000E600B" w:rsidRPr="004764A0" w:rsidRDefault="000E600B" w:rsidP="000E600B">
      <w:pPr>
        <w:pStyle w:val="Default"/>
        <w:rPr>
          <w:rFonts w:asciiTheme="minorHAnsi" w:hAnsiTheme="minorHAnsi"/>
          <w:color w:val="auto"/>
        </w:rPr>
      </w:pPr>
      <w:r w:rsidRPr="004764A0">
        <w:rPr>
          <w:rFonts w:asciiTheme="minorHAnsi" w:hAnsiTheme="minorHAnsi" w:cs="Arial"/>
          <w:b/>
          <w:bCs/>
          <w:color w:val="auto"/>
        </w:rPr>
        <w:t xml:space="preserve">Introduction </w:t>
      </w:r>
    </w:p>
    <w:p w:rsidR="00671B35" w:rsidRPr="004764A0" w:rsidRDefault="00671B35" w:rsidP="000E600B">
      <w:pPr>
        <w:pStyle w:val="Default"/>
        <w:rPr>
          <w:rFonts w:asciiTheme="minorHAnsi" w:hAnsiTheme="minorHAnsi" w:cs="Arial"/>
          <w:color w:val="auto"/>
        </w:rPr>
      </w:pPr>
    </w:p>
    <w:p w:rsidR="000E600B" w:rsidRPr="004764A0" w:rsidRDefault="000E600B" w:rsidP="000E600B">
      <w:pPr>
        <w:pStyle w:val="Default"/>
        <w:rPr>
          <w:rFonts w:asciiTheme="minorHAnsi" w:hAnsiTheme="minorHAnsi" w:cs="Arial"/>
          <w:color w:val="auto"/>
        </w:rPr>
      </w:pPr>
      <w:r w:rsidRPr="004764A0">
        <w:rPr>
          <w:rFonts w:asciiTheme="minorHAnsi" w:hAnsiTheme="minorHAnsi" w:cs="Arial"/>
          <w:color w:val="auto"/>
        </w:rPr>
        <w:t>The purpose of this summary is to highlight the changes made to Working Together March 2015 in relation to Working Together March 201</w:t>
      </w:r>
      <w:r w:rsidR="00E52483" w:rsidRPr="004764A0">
        <w:rPr>
          <w:rFonts w:asciiTheme="minorHAnsi" w:hAnsiTheme="minorHAnsi" w:cs="Arial"/>
          <w:color w:val="auto"/>
        </w:rPr>
        <w:t xml:space="preserve">3. </w:t>
      </w:r>
      <w:r w:rsidR="00BC1C3A" w:rsidRPr="004764A0">
        <w:rPr>
          <w:rFonts w:asciiTheme="minorHAnsi" w:hAnsiTheme="minorHAnsi" w:cs="Arial"/>
          <w:color w:val="auto"/>
        </w:rPr>
        <w:t xml:space="preserve">To review the whole guidance </w:t>
      </w:r>
      <w:proofErr w:type="gramStart"/>
      <w:r w:rsidR="00BC1C3A" w:rsidRPr="004764A0">
        <w:rPr>
          <w:rFonts w:asciiTheme="minorHAnsi" w:hAnsiTheme="minorHAnsi" w:cs="Arial"/>
          <w:color w:val="auto"/>
        </w:rPr>
        <w:t>go</w:t>
      </w:r>
      <w:proofErr w:type="gramEnd"/>
      <w:r w:rsidR="00BC1C3A" w:rsidRPr="004764A0">
        <w:rPr>
          <w:rFonts w:asciiTheme="minorHAnsi" w:hAnsiTheme="minorHAnsi" w:cs="Arial"/>
          <w:color w:val="auto"/>
        </w:rPr>
        <w:t xml:space="preserve"> to </w:t>
      </w:r>
      <w:hyperlink r:id="rId8" w:history="1">
        <w:r w:rsidR="00BC1C3A" w:rsidRPr="004764A0">
          <w:rPr>
            <w:rStyle w:val="Hyperlink"/>
            <w:rFonts w:asciiTheme="minorHAnsi" w:hAnsiTheme="minorHAnsi" w:cs="Arial"/>
          </w:rPr>
          <w:t>www.workingtogetheronline.co.uk</w:t>
        </w:r>
      </w:hyperlink>
      <w:r w:rsidR="00BC1C3A" w:rsidRPr="004764A0">
        <w:rPr>
          <w:rFonts w:asciiTheme="minorHAnsi" w:hAnsiTheme="minorHAnsi" w:cs="Arial"/>
          <w:color w:val="auto"/>
        </w:rPr>
        <w:t xml:space="preserve"> </w:t>
      </w:r>
    </w:p>
    <w:p w:rsidR="00671B35" w:rsidRPr="004764A0" w:rsidRDefault="00671B35" w:rsidP="000E600B">
      <w:pPr>
        <w:pStyle w:val="Default"/>
        <w:rPr>
          <w:rFonts w:asciiTheme="minorHAnsi" w:hAnsiTheme="minorHAnsi" w:cs="Arial"/>
          <w:color w:val="auto"/>
        </w:rPr>
      </w:pPr>
    </w:p>
    <w:p w:rsidR="000E600B" w:rsidRPr="004764A0" w:rsidRDefault="000E600B" w:rsidP="000E600B">
      <w:pPr>
        <w:pStyle w:val="Default"/>
        <w:rPr>
          <w:rFonts w:asciiTheme="minorHAnsi" w:hAnsiTheme="minorHAnsi" w:cs="Arial"/>
          <w:color w:val="auto"/>
        </w:rPr>
      </w:pPr>
      <w:r w:rsidRPr="004764A0">
        <w:rPr>
          <w:rFonts w:asciiTheme="minorHAnsi" w:hAnsiTheme="minorHAnsi" w:cs="Arial"/>
          <w:color w:val="auto"/>
        </w:rPr>
        <w:t xml:space="preserve">In Working Together 2015 document the following changes have been made: </w:t>
      </w:r>
    </w:p>
    <w:p w:rsidR="00671B35" w:rsidRPr="004764A0" w:rsidRDefault="00671B35" w:rsidP="000E600B">
      <w:pPr>
        <w:pStyle w:val="Default"/>
        <w:rPr>
          <w:rFonts w:asciiTheme="minorHAnsi" w:hAnsiTheme="minorHAnsi" w:cs="Arial"/>
          <w:color w:val="auto"/>
        </w:rPr>
      </w:pPr>
    </w:p>
    <w:p w:rsidR="006E43F7"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Referral of allegations against those who work with Children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Incidents ‘notifiable’ that involve care of a child or young person.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Whistleblowing guidance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Child Death Reviews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Serious Case Review definition of Serious Harm.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CSE reporting by LSCB </w:t>
      </w:r>
    </w:p>
    <w:p w:rsidR="000E600B" w:rsidRPr="004764A0" w:rsidRDefault="000E600B"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Information sharing </w:t>
      </w:r>
    </w:p>
    <w:p w:rsidR="000E600B" w:rsidRPr="004764A0" w:rsidRDefault="006E43F7" w:rsidP="006E43F7">
      <w:pPr>
        <w:pStyle w:val="Default"/>
        <w:numPr>
          <w:ilvl w:val="0"/>
          <w:numId w:val="14"/>
        </w:numPr>
        <w:rPr>
          <w:rFonts w:asciiTheme="minorHAnsi" w:hAnsiTheme="minorHAnsi" w:cs="Arial"/>
          <w:color w:val="auto"/>
        </w:rPr>
      </w:pPr>
      <w:r w:rsidRPr="004764A0">
        <w:rPr>
          <w:rFonts w:asciiTheme="minorHAnsi" w:hAnsiTheme="minorHAnsi" w:cs="Arial"/>
          <w:color w:val="auto"/>
        </w:rPr>
        <w:t xml:space="preserve">Other changes in brief </w:t>
      </w:r>
      <w:r w:rsidR="000E600B" w:rsidRPr="004764A0">
        <w:rPr>
          <w:rFonts w:asciiTheme="minorHAnsi" w:hAnsiTheme="minorHAnsi" w:cs="Arial"/>
          <w:color w:val="auto"/>
        </w:rPr>
        <w:t xml:space="preserve"> </w:t>
      </w:r>
    </w:p>
    <w:p w:rsidR="00671B35" w:rsidRPr="004764A0" w:rsidRDefault="00671B35" w:rsidP="000E600B">
      <w:pPr>
        <w:pStyle w:val="Default"/>
        <w:rPr>
          <w:rFonts w:asciiTheme="minorHAnsi" w:hAnsiTheme="minorHAnsi" w:cs="Arial"/>
          <w:color w:val="auto"/>
        </w:rPr>
      </w:pPr>
    </w:p>
    <w:p w:rsidR="000E600B" w:rsidRPr="004764A0" w:rsidRDefault="000E600B" w:rsidP="000E600B">
      <w:pPr>
        <w:pStyle w:val="Default"/>
        <w:rPr>
          <w:rFonts w:asciiTheme="minorHAnsi" w:hAnsiTheme="minorHAnsi" w:cs="Arial"/>
          <w:color w:val="auto"/>
        </w:rPr>
      </w:pPr>
    </w:p>
    <w:p w:rsidR="00671B35" w:rsidRPr="004764A0" w:rsidRDefault="000E600B" w:rsidP="00671B35">
      <w:pPr>
        <w:pStyle w:val="Default"/>
        <w:numPr>
          <w:ilvl w:val="0"/>
          <w:numId w:val="1"/>
        </w:numPr>
        <w:rPr>
          <w:rFonts w:asciiTheme="minorHAnsi" w:hAnsiTheme="minorHAnsi" w:cs="Arial"/>
          <w:b/>
          <w:bCs/>
          <w:color w:val="auto"/>
        </w:rPr>
      </w:pPr>
      <w:r w:rsidRPr="004764A0">
        <w:rPr>
          <w:rFonts w:asciiTheme="minorHAnsi" w:hAnsiTheme="minorHAnsi" w:cs="Arial"/>
          <w:b/>
          <w:bCs/>
          <w:color w:val="auto"/>
        </w:rPr>
        <w:t xml:space="preserve">Changes to the Referral of allegations against those who work with children. </w:t>
      </w:r>
    </w:p>
    <w:p w:rsidR="00671B35" w:rsidRPr="004764A0" w:rsidRDefault="00671B35" w:rsidP="00671B35">
      <w:pPr>
        <w:pStyle w:val="Default"/>
        <w:ind w:left="720"/>
        <w:rPr>
          <w:rFonts w:asciiTheme="minorHAnsi" w:hAnsiTheme="minorHAnsi" w:cs="Arial"/>
          <w:b/>
          <w:bCs/>
          <w:color w:val="auto"/>
        </w:rPr>
      </w:pPr>
    </w:p>
    <w:p w:rsidR="00141613" w:rsidRPr="004764A0" w:rsidRDefault="0059538B" w:rsidP="0059538B">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L</w:t>
      </w:r>
      <w:r w:rsidR="00782A23" w:rsidRPr="004764A0">
        <w:rPr>
          <w:rFonts w:cs="Arial"/>
          <w:color w:val="000000"/>
          <w:sz w:val="24"/>
          <w:szCs w:val="24"/>
        </w:rPr>
        <w:t xml:space="preserve">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w:t>
      </w:r>
    </w:p>
    <w:p w:rsidR="00141613" w:rsidRPr="004764A0" w:rsidRDefault="00141613" w:rsidP="00141613">
      <w:pPr>
        <w:pStyle w:val="ListParagraph"/>
        <w:autoSpaceDE w:val="0"/>
        <w:autoSpaceDN w:val="0"/>
        <w:adjustRightInd w:val="0"/>
        <w:spacing w:after="48" w:line="240" w:lineRule="auto"/>
        <w:rPr>
          <w:rFonts w:cs="Arial"/>
          <w:color w:val="000000"/>
          <w:sz w:val="24"/>
          <w:szCs w:val="24"/>
        </w:rPr>
      </w:pPr>
    </w:p>
    <w:p w:rsidR="00782A23" w:rsidRPr="004764A0" w:rsidRDefault="00782A23" w:rsidP="0059538B">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Local authorities should have designated a particular officer, or team of officers (either as part of multi-agency arrangements or otherwise), to be involved in the management and oversight of allegations against people that work with children. Any such officer, or team of officers, should be sufficiently qualified and experienced to be able to fulfil this role effectively.</w:t>
      </w:r>
    </w:p>
    <w:p w:rsidR="0059538B" w:rsidRPr="004764A0" w:rsidRDefault="0059538B" w:rsidP="0059538B">
      <w:pPr>
        <w:pStyle w:val="ListParagraph"/>
        <w:autoSpaceDE w:val="0"/>
        <w:autoSpaceDN w:val="0"/>
        <w:adjustRightInd w:val="0"/>
        <w:spacing w:after="48" w:line="240" w:lineRule="auto"/>
        <w:rPr>
          <w:rFonts w:cs="Arial"/>
          <w:color w:val="000000"/>
          <w:sz w:val="24"/>
          <w:szCs w:val="24"/>
        </w:rPr>
      </w:pPr>
    </w:p>
    <w:p w:rsidR="00141613" w:rsidRPr="004764A0" w:rsidRDefault="00782A23" w:rsidP="0059538B">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 xml:space="preserve">Local authorities should put in place arrangements to provide advice and guidance on how to deal with allegations against people who work with children to employers and voluntary organisations. </w:t>
      </w:r>
    </w:p>
    <w:p w:rsidR="00141613" w:rsidRPr="004764A0" w:rsidRDefault="00141613" w:rsidP="00141613">
      <w:pPr>
        <w:pStyle w:val="ListParagraph"/>
        <w:rPr>
          <w:rFonts w:cs="Arial"/>
          <w:color w:val="000000"/>
          <w:sz w:val="24"/>
          <w:szCs w:val="24"/>
        </w:rPr>
      </w:pPr>
    </w:p>
    <w:p w:rsidR="00782A23" w:rsidRPr="004764A0" w:rsidRDefault="00782A23" w:rsidP="0059538B">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 xml:space="preserve">Local authorities should also ensure that there are appropriate arrangements in place to effectively liaise with the police and other agencies to monitor the progress of cases and ensure that they are dealt with as quickly as possible, consistent with a thorough and fair process. </w:t>
      </w:r>
    </w:p>
    <w:p w:rsidR="00141613" w:rsidRPr="004764A0" w:rsidRDefault="00141613" w:rsidP="000E600B">
      <w:pPr>
        <w:autoSpaceDE w:val="0"/>
        <w:autoSpaceDN w:val="0"/>
        <w:adjustRightInd w:val="0"/>
        <w:spacing w:after="0" w:line="240" w:lineRule="auto"/>
        <w:rPr>
          <w:rFonts w:cs="Arial"/>
          <w:b/>
          <w:color w:val="000000"/>
          <w:sz w:val="24"/>
          <w:szCs w:val="24"/>
        </w:rPr>
      </w:pPr>
    </w:p>
    <w:p w:rsidR="000E600B" w:rsidRPr="004764A0" w:rsidRDefault="000E600B" w:rsidP="000E600B">
      <w:pPr>
        <w:autoSpaceDE w:val="0"/>
        <w:autoSpaceDN w:val="0"/>
        <w:adjustRightInd w:val="0"/>
        <w:spacing w:after="0" w:line="240" w:lineRule="auto"/>
        <w:rPr>
          <w:rFonts w:cs="Arial"/>
          <w:color w:val="000000"/>
          <w:sz w:val="24"/>
          <w:szCs w:val="24"/>
        </w:rPr>
      </w:pPr>
      <w:r w:rsidRPr="004764A0">
        <w:rPr>
          <w:rFonts w:cs="Arial"/>
          <w:b/>
          <w:color w:val="000000"/>
          <w:sz w:val="24"/>
          <w:szCs w:val="24"/>
        </w:rPr>
        <w:t>2</w:t>
      </w:r>
      <w:r w:rsidRPr="004764A0">
        <w:rPr>
          <w:rFonts w:cs="Arial"/>
          <w:color w:val="000000"/>
          <w:sz w:val="24"/>
          <w:szCs w:val="24"/>
        </w:rPr>
        <w:t xml:space="preserve">. </w:t>
      </w:r>
      <w:r w:rsidRPr="004764A0">
        <w:rPr>
          <w:rFonts w:cs="Arial"/>
          <w:b/>
          <w:bCs/>
          <w:color w:val="000000"/>
          <w:sz w:val="24"/>
          <w:szCs w:val="24"/>
        </w:rPr>
        <w:t xml:space="preserve">Notifiable incidents involving the case of a child. </w:t>
      </w:r>
      <w:r w:rsidR="00CB5B70" w:rsidRPr="004764A0">
        <w:rPr>
          <w:rFonts w:cs="Arial"/>
          <w:b/>
          <w:bCs/>
          <w:color w:val="000000"/>
          <w:sz w:val="24"/>
          <w:szCs w:val="24"/>
        </w:rPr>
        <w:t>(</w:t>
      </w:r>
      <w:r w:rsidRPr="004764A0">
        <w:rPr>
          <w:rFonts w:cs="Arial"/>
          <w:b/>
          <w:bCs/>
          <w:color w:val="000000"/>
          <w:sz w:val="24"/>
          <w:szCs w:val="24"/>
        </w:rPr>
        <w:t xml:space="preserve">Notifiable incidents have now been added to the document). </w:t>
      </w:r>
    </w:p>
    <w:p w:rsidR="000E600B" w:rsidRPr="004764A0" w:rsidRDefault="000E600B" w:rsidP="000E600B">
      <w:pPr>
        <w:autoSpaceDE w:val="0"/>
        <w:autoSpaceDN w:val="0"/>
        <w:adjustRightInd w:val="0"/>
        <w:spacing w:after="0" w:line="240" w:lineRule="auto"/>
        <w:rPr>
          <w:rFonts w:cs="Arial"/>
          <w:color w:val="000000"/>
          <w:sz w:val="24"/>
          <w:szCs w:val="24"/>
        </w:rPr>
      </w:pPr>
    </w:p>
    <w:p w:rsidR="00CB5B70" w:rsidRPr="004764A0" w:rsidRDefault="000E600B" w:rsidP="00634D10">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A child died (including cases of susp</w:t>
      </w:r>
      <w:r w:rsidR="00652EA4" w:rsidRPr="004764A0">
        <w:rPr>
          <w:rFonts w:cs="Arial"/>
          <w:color w:val="000000"/>
          <w:sz w:val="24"/>
          <w:szCs w:val="24"/>
        </w:rPr>
        <w:t>ected</w:t>
      </w:r>
      <w:r w:rsidRPr="004764A0">
        <w:rPr>
          <w:rFonts w:cs="Arial"/>
          <w:color w:val="000000"/>
          <w:sz w:val="24"/>
          <w:szCs w:val="24"/>
        </w:rPr>
        <w:t xml:space="preserve"> suicide), and abuse or neglect is known or suspected;</w:t>
      </w:r>
    </w:p>
    <w:p w:rsidR="000E600B" w:rsidRPr="004764A0" w:rsidRDefault="000E600B" w:rsidP="00634D10">
      <w:pPr>
        <w:autoSpaceDE w:val="0"/>
        <w:autoSpaceDN w:val="0"/>
        <w:adjustRightInd w:val="0"/>
        <w:spacing w:after="48" w:line="240" w:lineRule="auto"/>
        <w:ind w:firstLine="60"/>
        <w:rPr>
          <w:rFonts w:cs="Arial"/>
          <w:color w:val="000000"/>
          <w:sz w:val="24"/>
          <w:szCs w:val="24"/>
        </w:rPr>
      </w:pPr>
    </w:p>
    <w:p w:rsidR="000E600B" w:rsidRPr="004764A0" w:rsidRDefault="000E600B" w:rsidP="00634D10">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 xml:space="preserve">A child has been seriously harmed and abuse or neglect is known or suspected; </w:t>
      </w:r>
    </w:p>
    <w:p w:rsidR="00CB5B70" w:rsidRPr="004764A0" w:rsidRDefault="00CB5B70" w:rsidP="000E600B">
      <w:pPr>
        <w:autoSpaceDE w:val="0"/>
        <w:autoSpaceDN w:val="0"/>
        <w:adjustRightInd w:val="0"/>
        <w:spacing w:after="48" w:line="240" w:lineRule="auto"/>
        <w:rPr>
          <w:rFonts w:cs="Arial"/>
          <w:color w:val="000000"/>
          <w:sz w:val="24"/>
          <w:szCs w:val="24"/>
        </w:rPr>
      </w:pPr>
    </w:p>
    <w:p w:rsidR="000E600B" w:rsidRPr="004764A0" w:rsidRDefault="000E600B" w:rsidP="00634D10">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 xml:space="preserve">A looked after child has died (including cases where abuse or neglect is now known or </w:t>
      </w:r>
      <w:r w:rsidR="00986FD8" w:rsidRPr="004764A0">
        <w:rPr>
          <w:rFonts w:cs="Arial"/>
          <w:color w:val="000000"/>
          <w:sz w:val="24"/>
          <w:szCs w:val="24"/>
        </w:rPr>
        <w:t>suspected ;</w:t>
      </w:r>
      <w:r w:rsidRPr="004764A0">
        <w:rPr>
          <w:rFonts w:cs="Arial"/>
          <w:color w:val="000000"/>
          <w:sz w:val="24"/>
          <w:szCs w:val="24"/>
        </w:rPr>
        <w:t xml:space="preserve">) or </w:t>
      </w:r>
    </w:p>
    <w:p w:rsidR="00CB5B70" w:rsidRPr="004764A0" w:rsidRDefault="00CB5B70" w:rsidP="000E600B">
      <w:pPr>
        <w:autoSpaceDE w:val="0"/>
        <w:autoSpaceDN w:val="0"/>
        <w:adjustRightInd w:val="0"/>
        <w:spacing w:after="48" w:line="240" w:lineRule="auto"/>
        <w:rPr>
          <w:rFonts w:cs="Arial"/>
          <w:color w:val="000000"/>
          <w:sz w:val="24"/>
          <w:szCs w:val="24"/>
        </w:rPr>
      </w:pPr>
    </w:p>
    <w:p w:rsidR="000E600B" w:rsidRPr="004764A0" w:rsidRDefault="000E600B" w:rsidP="00634D10">
      <w:pPr>
        <w:pStyle w:val="ListParagraph"/>
        <w:numPr>
          <w:ilvl w:val="0"/>
          <w:numId w:val="9"/>
        </w:numPr>
        <w:autoSpaceDE w:val="0"/>
        <w:autoSpaceDN w:val="0"/>
        <w:adjustRightInd w:val="0"/>
        <w:spacing w:after="48" w:line="240" w:lineRule="auto"/>
        <w:rPr>
          <w:rFonts w:cs="Arial"/>
          <w:color w:val="000000"/>
          <w:sz w:val="24"/>
          <w:szCs w:val="24"/>
        </w:rPr>
      </w:pPr>
      <w:r w:rsidRPr="004764A0">
        <w:rPr>
          <w:rFonts w:cs="Arial"/>
          <w:color w:val="000000"/>
          <w:sz w:val="24"/>
          <w:szCs w:val="24"/>
        </w:rPr>
        <w:t xml:space="preserve">A child in a regulated setting or service has died (including cases where abuse or neglect is not known or suspected.) </w:t>
      </w:r>
    </w:p>
    <w:p w:rsidR="00CB5B70" w:rsidRPr="004764A0" w:rsidRDefault="00CB5B70" w:rsidP="000E600B">
      <w:pPr>
        <w:autoSpaceDE w:val="0"/>
        <w:autoSpaceDN w:val="0"/>
        <w:adjustRightInd w:val="0"/>
        <w:spacing w:after="48" w:line="240" w:lineRule="auto"/>
        <w:rPr>
          <w:rFonts w:cs="Arial"/>
          <w:color w:val="000000"/>
          <w:sz w:val="24"/>
          <w:szCs w:val="24"/>
        </w:rPr>
      </w:pPr>
    </w:p>
    <w:p w:rsidR="000E600B" w:rsidRPr="004764A0" w:rsidRDefault="000E600B" w:rsidP="00634D10">
      <w:pPr>
        <w:pStyle w:val="ListParagraph"/>
        <w:numPr>
          <w:ilvl w:val="0"/>
          <w:numId w:val="9"/>
        </w:numPr>
        <w:autoSpaceDE w:val="0"/>
        <w:autoSpaceDN w:val="0"/>
        <w:adjustRightInd w:val="0"/>
        <w:spacing w:after="0" w:line="240" w:lineRule="auto"/>
        <w:rPr>
          <w:rFonts w:cs="Arial"/>
          <w:color w:val="000000"/>
          <w:sz w:val="24"/>
          <w:szCs w:val="24"/>
        </w:rPr>
      </w:pPr>
      <w:r w:rsidRPr="004764A0">
        <w:rPr>
          <w:rFonts w:cs="Arial"/>
          <w:color w:val="000000"/>
          <w:sz w:val="24"/>
          <w:szCs w:val="24"/>
        </w:rPr>
        <w:t>The local</w:t>
      </w:r>
      <w:r w:rsidR="00986FD8" w:rsidRPr="004764A0">
        <w:rPr>
          <w:rFonts w:cs="Arial"/>
          <w:color w:val="000000"/>
          <w:sz w:val="24"/>
          <w:szCs w:val="24"/>
        </w:rPr>
        <w:t xml:space="preserve"> Authority</w:t>
      </w:r>
      <w:r w:rsidRPr="004764A0">
        <w:rPr>
          <w:rFonts w:cs="Arial"/>
          <w:color w:val="000000"/>
          <w:sz w:val="24"/>
          <w:szCs w:val="24"/>
        </w:rPr>
        <w:t xml:space="preserve"> should report any incident that meets the above criteria to Ofsted and relevant LSCB within 5 days of becoming aware about the incident. </w:t>
      </w:r>
    </w:p>
    <w:p w:rsidR="00CB5B70" w:rsidRPr="004764A0" w:rsidRDefault="00CB5B70" w:rsidP="000E600B">
      <w:pPr>
        <w:autoSpaceDE w:val="0"/>
        <w:autoSpaceDN w:val="0"/>
        <w:adjustRightInd w:val="0"/>
        <w:spacing w:after="0" w:line="240" w:lineRule="auto"/>
        <w:rPr>
          <w:rFonts w:cs="Arial"/>
          <w:color w:val="000000"/>
          <w:sz w:val="24"/>
          <w:szCs w:val="24"/>
        </w:rPr>
      </w:pPr>
    </w:p>
    <w:p w:rsidR="000E600B" w:rsidRPr="004764A0" w:rsidRDefault="000E600B" w:rsidP="000E600B">
      <w:pPr>
        <w:autoSpaceDE w:val="0"/>
        <w:autoSpaceDN w:val="0"/>
        <w:adjustRightInd w:val="0"/>
        <w:spacing w:after="0" w:line="240" w:lineRule="auto"/>
        <w:rPr>
          <w:rFonts w:cs="Arial"/>
          <w:color w:val="000000"/>
          <w:sz w:val="24"/>
          <w:szCs w:val="24"/>
        </w:rPr>
      </w:pPr>
    </w:p>
    <w:p w:rsidR="00CB5B70" w:rsidRPr="004764A0" w:rsidRDefault="00CB5B70" w:rsidP="00CB5B70">
      <w:pPr>
        <w:autoSpaceDE w:val="0"/>
        <w:autoSpaceDN w:val="0"/>
        <w:adjustRightInd w:val="0"/>
        <w:spacing w:after="0" w:line="240" w:lineRule="auto"/>
        <w:rPr>
          <w:rFonts w:cs="Arial"/>
          <w:b/>
          <w:bCs/>
          <w:color w:val="000000"/>
          <w:sz w:val="24"/>
          <w:szCs w:val="24"/>
        </w:rPr>
      </w:pPr>
      <w:r w:rsidRPr="004764A0">
        <w:rPr>
          <w:rFonts w:cs="Arial"/>
          <w:b/>
          <w:bCs/>
          <w:color w:val="000000"/>
          <w:sz w:val="24"/>
          <w:szCs w:val="24"/>
        </w:rPr>
        <w:t xml:space="preserve">3. </w:t>
      </w:r>
      <w:r w:rsidR="000E600B" w:rsidRPr="004764A0">
        <w:rPr>
          <w:rFonts w:cs="Arial"/>
          <w:b/>
          <w:bCs/>
          <w:color w:val="000000"/>
          <w:sz w:val="24"/>
          <w:szCs w:val="24"/>
        </w:rPr>
        <w:t xml:space="preserve">Whistleblowing </w:t>
      </w:r>
    </w:p>
    <w:p w:rsidR="00CB5B70" w:rsidRPr="004764A0" w:rsidRDefault="00CB5B70" w:rsidP="00CB5B70">
      <w:pPr>
        <w:autoSpaceDE w:val="0"/>
        <w:autoSpaceDN w:val="0"/>
        <w:adjustRightInd w:val="0"/>
        <w:spacing w:after="0" w:line="240" w:lineRule="auto"/>
        <w:rPr>
          <w:rFonts w:cs="Arial"/>
          <w:b/>
          <w:bCs/>
          <w:color w:val="000000"/>
          <w:sz w:val="24"/>
          <w:szCs w:val="24"/>
        </w:rPr>
      </w:pPr>
    </w:p>
    <w:p w:rsidR="000E600B" w:rsidRPr="004764A0" w:rsidRDefault="000E600B" w:rsidP="000E600B">
      <w:pPr>
        <w:autoSpaceDE w:val="0"/>
        <w:autoSpaceDN w:val="0"/>
        <w:adjustRightInd w:val="0"/>
        <w:spacing w:after="0" w:line="240" w:lineRule="auto"/>
        <w:rPr>
          <w:rFonts w:cs="Arial"/>
          <w:color w:val="000000"/>
          <w:sz w:val="24"/>
          <w:szCs w:val="24"/>
        </w:rPr>
      </w:pPr>
      <w:r w:rsidRPr="004764A0">
        <w:rPr>
          <w:rFonts w:cs="Arial"/>
          <w:color w:val="000000"/>
          <w:sz w:val="24"/>
          <w:szCs w:val="24"/>
        </w:rPr>
        <w:t xml:space="preserve">WT15 sets out a new expectation that all organisations that have safeguarding responsibilities must have internal whistleblowing policies in place. These should be: </w:t>
      </w:r>
    </w:p>
    <w:p w:rsidR="00CB5B70" w:rsidRPr="004764A0" w:rsidRDefault="00CB5B70" w:rsidP="000E600B">
      <w:pPr>
        <w:autoSpaceDE w:val="0"/>
        <w:autoSpaceDN w:val="0"/>
        <w:adjustRightInd w:val="0"/>
        <w:spacing w:after="0" w:line="240" w:lineRule="auto"/>
        <w:rPr>
          <w:rFonts w:cs="Arial"/>
          <w:color w:val="000000"/>
          <w:sz w:val="24"/>
          <w:szCs w:val="24"/>
        </w:rPr>
      </w:pPr>
    </w:p>
    <w:p w:rsidR="000E600B" w:rsidRPr="004764A0" w:rsidRDefault="000E600B" w:rsidP="00421ABC">
      <w:pPr>
        <w:pStyle w:val="ListParagraph"/>
        <w:numPr>
          <w:ilvl w:val="0"/>
          <w:numId w:val="10"/>
        </w:numPr>
        <w:autoSpaceDE w:val="0"/>
        <w:autoSpaceDN w:val="0"/>
        <w:adjustRightInd w:val="0"/>
        <w:spacing w:after="51" w:line="240" w:lineRule="auto"/>
        <w:rPr>
          <w:rFonts w:cs="Arial"/>
          <w:color w:val="000000"/>
          <w:sz w:val="24"/>
          <w:szCs w:val="24"/>
        </w:rPr>
      </w:pPr>
      <w:r w:rsidRPr="004764A0">
        <w:rPr>
          <w:rFonts w:cs="Arial"/>
          <w:color w:val="000000"/>
          <w:sz w:val="24"/>
          <w:szCs w:val="24"/>
        </w:rPr>
        <w:t xml:space="preserve">Integrated into training and codes of conduct. </w:t>
      </w:r>
    </w:p>
    <w:p w:rsidR="00CB5B70" w:rsidRPr="004764A0" w:rsidRDefault="00CB5B70" w:rsidP="000E600B">
      <w:pPr>
        <w:autoSpaceDE w:val="0"/>
        <w:autoSpaceDN w:val="0"/>
        <w:adjustRightInd w:val="0"/>
        <w:spacing w:after="51" w:line="240" w:lineRule="auto"/>
        <w:rPr>
          <w:rFonts w:cs="Arial"/>
          <w:color w:val="000000"/>
          <w:sz w:val="24"/>
          <w:szCs w:val="24"/>
        </w:rPr>
      </w:pPr>
    </w:p>
    <w:p w:rsidR="000E600B" w:rsidRPr="004764A0" w:rsidRDefault="000E600B" w:rsidP="00421ABC">
      <w:pPr>
        <w:pStyle w:val="ListParagraph"/>
        <w:numPr>
          <w:ilvl w:val="0"/>
          <w:numId w:val="10"/>
        </w:numPr>
        <w:autoSpaceDE w:val="0"/>
        <w:autoSpaceDN w:val="0"/>
        <w:adjustRightInd w:val="0"/>
        <w:spacing w:after="51" w:line="240" w:lineRule="auto"/>
        <w:rPr>
          <w:rFonts w:cs="Arial"/>
          <w:color w:val="000000"/>
          <w:sz w:val="24"/>
          <w:szCs w:val="24"/>
        </w:rPr>
      </w:pPr>
      <w:r w:rsidRPr="004764A0">
        <w:rPr>
          <w:rFonts w:cs="Arial"/>
          <w:color w:val="000000"/>
          <w:sz w:val="24"/>
          <w:szCs w:val="24"/>
        </w:rPr>
        <w:t xml:space="preserve">Training and the culture of the organisation should mirror the promotion of the welfare of children and safeguarding. </w:t>
      </w:r>
    </w:p>
    <w:p w:rsidR="00CB5B70" w:rsidRPr="004764A0" w:rsidRDefault="00CB5B70" w:rsidP="000E600B">
      <w:pPr>
        <w:autoSpaceDE w:val="0"/>
        <w:autoSpaceDN w:val="0"/>
        <w:adjustRightInd w:val="0"/>
        <w:spacing w:after="51" w:line="240" w:lineRule="auto"/>
        <w:rPr>
          <w:rFonts w:cs="Arial"/>
          <w:color w:val="000000"/>
          <w:sz w:val="24"/>
          <w:szCs w:val="24"/>
        </w:rPr>
      </w:pPr>
    </w:p>
    <w:p w:rsidR="000E600B" w:rsidRPr="004764A0" w:rsidRDefault="000E600B" w:rsidP="00421ABC">
      <w:pPr>
        <w:pStyle w:val="ListParagraph"/>
        <w:numPr>
          <w:ilvl w:val="0"/>
          <w:numId w:val="10"/>
        </w:numPr>
        <w:autoSpaceDE w:val="0"/>
        <w:autoSpaceDN w:val="0"/>
        <w:adjustRightInd w:val="0"/>
        <w:spacing w:after="51" w:line="240" w:lineRule="auto"/>
        <w:rPr>
          <w:rFonts w:cs="Arial"/>
          <w:color w:val="000000"/>
          <w:sz w:val="24"/>
          <w:szCs w:val="24"/>
        </w:rPr>
      </w:pPr>
      <w:r w:rsidRPr="004764A0">
        <w:rPr>
          <w:rFonts w:cs="Arial"/>
          <w:color w:val="000000"/>
          <w:sz w:val="24"/>
          <w:szCs w:val="24"/>
        </w:rPr>
        <w:t xml:space="preserve">The Whistle blowing policies and procedures should reflect </w:t>
      </w:r>
      <w:r w:rsidRPr="004764A0">
        <w:rPr>
          <w:rFonts w:cs="Arial"/>
          <w:color w:val="000000"/>
          <w:sz w:val="24"/>
          <w:szCs w:val="24"/>
          <w:u w:val="single"/>
        </w:rPr>
        <w:t>Sir Robert Francis’s</w:t>
      </w:r>
      <w:r w:rsidRPr="004764A0">
        <w:rPr>
          <w:rFonts w:cs="Arial"/>
          <w:color w:val="000000"/>
          <w:sz w:val="24"/>
          <w:szCs w:val="24"/>
        </w:rPr>
        <w:t xml:space="preserve"> Freedom to speak up review. </w:t>
      </w:r>
    </w:p>
    <w:p w:rsidR="00CB5B70" w:rsidRPr="004764A0" w:rsidRDefault="00CB5B70" w:rsidP="000E600B">
      <w:pPr>
        <w:autoSpaceDE w:val="0"/>
        <w:autoSpaceDN w:val="0"/>
        <w:adjustRightInd w:val="0"/>
        <w:spacing w:after="51" w:line="240" w:lineRule="auto"/>
        <w:rPr>
          <w:rFonts w:cs="Arial"/>
          <w:color w:val="000000"/>
          <w:sz w:val="24"/>
          <w:szCs w:val="24"/>
        </w:rPr>
      </w:pPr>
    </w:p>
    <w:p w:rsidR="000E600B" w:rsidRPr="004764A0" w:rsidRDefault="000E600B" w:rsidP="00421ABC">
      <w:pPr>
        <w:pStyle w:val="ListParagraph"/>
        <w:numPr>
          <w:ilvl w:val="0"/>
          <w:numId w:val="10"/>
        </w:numPr>
        <w:autoSpaceDE w:val="0"/>
        <w:autoSpaceDN w:val="0"/>
        <w:adjustRightInd w:val="0"/>
        <w:spacing w:after="0" w:line="240" w:lineRule="auto"/>
        <w:rPr>
          <w:rFonts w:cs="Arial"/>
          <w:color w:val="000000"/>
          <w:sz w:val="24"/>
          <w:szCs w:val="24"/>
        </w:rPr>
      </w:pPr>
      <w:r w:rsidRPr="004764A0">
        <w:rPr>
          <w:rFonts w:cs="Arial"/>
          <w:color w:val="000000"/>
          <w:sz w:val="24"/>
          <w:szCs w:val="24"/>
        </w:rPr>
        <w:t xml:space="preserve">The ‘Freedom to speak’ should be referenced in staff training, codes of conduct and the culture of the organisation should reflect the safeguarding and promoting the welfare of the child as a priority. </w:t>
      </w:r>
    </w:p>
    <w:p w:rsidR="000E600B" w:rsidRPr="004764A0" w:rsidRDefault="000E600B" w:rsidP="000E600B">
      <w:pPr>
        <w:autoSpaceDE w:val="0"/>
        <w:autoSpaceDN w:val="0"/>
        <w:adjustRightInd w:val="0"/>
        <w:spacing w:after="0" w:line="240" w:lineRule="auto"/>
        <w:rPr>
          <w:rFonts w:cs="Arial"/>
          <w:color w:val="000000"/>
          <w:sz w:val="24"/>
          <w:szCs w:val="24"/>
        </w:rPr>
      </w:pPr>
    </w:p>
    <w:p w:rsidR="00CB5B70" w:rsidRPr="004764A0" w:rsidRDefault="00CB5B70" w:rsidP="000E600B">
      <w:pPr>
        <w:autoSpaceDE w:val="0"/>
        <w:autoSpaceDN w:val="0"/>
        <w:adjustRightInd w:val="0"/>
        <w:spacing w:after="0" w:line="240" w:lineRule="auto"/>
        <w:rPr>
          <w:rFonts w:cs="Arial"/>
          <w:color w:val="000000"/>
          <w:sz w:val="24"/>
          <w:szCs w:val="24"/>
        </w:rPr>
      </w:pPr>
    </w:p>
    <w:p w:rsidR="000E600B" w:rsidRPr="004764A0" w:rsidRDefault="000E600B" w:rsidP="000E600B">
      <w:pPr>
        <w:autoSpaceDE w:val="0"/>
        <w:autoSpaceDN w:val="0"/>
        <w:adjustRightInd w:val="0"/>
        <w:spacing w:after="0" w:line="240" w:lineRule="auto"/>
        <w:rPr>
          <w:rFonts w:cs="Arial"/>
          <w:b/>
          <w:color w:val="000000"/>
          <w:sz w:val="24"/>
          <w:szCs w:val="24"/>
        </w:rPr>
      </w:pPr>
      <w:r w:rsidRPr="004764A0">
        <w:rPr>
          <w:rFonts w:cs="Arial"/>
          <w:b/>
          <w:color w:val="000000"/>
          <w:sz w:val="24"/>
          <w:szCs w:val="24"/>
        </w:rPr>
        <w:t xml:space="preserve">4. </w:t>
      </w:r>
      <w:r w:rsidRPr="004764A0">
        <w:rPr>
          <w:rFonts w:cs="Arial"/>
          <w:b/>
          <w:bCs/>
          <w:color w:val="000000"/>
          <w:sz w:val="24"/>
          <w:szCs w:val="24"/>
        </w:rPr>
        <w:t xml:space="preserve">Child Death Reviews </w:t>
      </w:r>
    </w:p>
    <w:p w:rsidR="000E600B" w:rsidRPr="004764A0" w:rsidRDefault="000E600B" w:rsidP="000E600B">
      <w:pPr>
        <w:autoSpaceDE w:val="0"/>
        <w:autoSpaceDN w:val="0"/>
        <w:adjustRightInd w:val="0"/>
        <w:spacing w:after="0" w:line="240" w:lineRule="auto"/>
        <w:rPr>
          <w:rFonts w:cs="Arial"/>
          <w:color w:val="000000"/>
          <w:sz w:val="24"/>
          <w:szCs w:val="24"/>
        </w:rPr>
      </w:pPr>
    </w:p>
    <w:p w:rsidR="000E600B" w:rsidRPr="004764A0" w:rsidRDefault="000E600B" w:rsidP="000E600B">
      <w:pPr>
        <w:autoSpaceDE w:val="0"/>
        <w:autoSpaceDN w:val="0"/>
        <w:adjustRightInd w:val="0"/>
        <w:spacing w:after="0" w:line="240" w:lineRule="auto"/>
        <w:rPr>
          <w:rFonts w:cs="Arial"/>
          <w:b/>
          <w:bCs/>
          <w:i/>
          <w:iCs/>
          <w:color w:val="000000"/>
          <w:sz w:val="24"/>
          <w:szCs w:val="24"/>
        </w:rPr>
      </w:pPr>
      <w:r w:rsidRPr="004764A0">
        <w:rPr>
          <w:rFonts w:cs="Arial"/>
          <w:color w:val="000000"/>
          <w:sz w:val="24"/>
          <w:szCs w:val="24"/>
        </w:rPr>
        <w:t xml:space="preserve">WT15 defines preventable child deaths as those in which </w:t>
      </w:r>
      <w:r w:rsidRPr="004764A0">
        <w:rPr>
          <w:rFonts w:cs="Arial"/>
          <w:b/>
          <w:bCs/>
          <w:i/>
          <w:iCs/>
          <w:color w:val="000000"/>
          <w:sz w:val="24"/>
          <w:szCs w:val="24"/>
        </w:rPr>
        <w:t xml:space="preserve">modifiable factors may have contributed to the death. </w:t>
      </w:r>
    </w:p>
    <w:p w:rsidR="00CB5B70" w:rsidRPr="004764A0" w:rsidRDefault="00CB5B70" w:rsidP="000E600B">
      <w:pPr>
        <w:autoSpaceDE w:val="0"/>
        <w:autoSpaceDN w:val="0"/>
        <w:adjustRightInd w:val="0"/>
        <w:spacing w:after="0" w:line="240" w:lineRule="auto"/>
        <w:rPr>
          <w:rFonts w:cs="Arial"/>
          <w:color w:val="000000"/>
          <w:sz w:val="24"/>
          <w:szCs w:val="24"/>
        </w:rPr>
      </w:pPr>
    </w:p>
    <w:p w:rsidR="000E600B" w:rsidRPr="004764A0" w:rsidRDefault="000E600B" w:rsidP="00652EA4">
      <w:pPr>
        <w:pStyle w:val="ListParagraph"/>
        <w:numPr>
          <w:ilvl w:val="0"/>
          <w:numId w:val="11"/>
        </w:numPr>
        <w:autoSpaceDE w:val="0"/>
        <w:autoSpaceDN w:val="0"/>
        <w:adjustRightInd w:val="0"/>
        <w:spacing w:after="51" w:line="240" w:lineRule="auto"/>
        <w:rPr>
          <w:rFonts w:cs="Arial"/>
          <w:color w:val="000000"/>
          <w:sz w:val="24"/>
          <w:szCs w:val="24"/>
        </w:rPr>
      </w:pPr>
      <w:r w:rsidRPr="004764A0">
        <w:rPr>
          <w:rFonts w:cs="Arial"/>
          <w:color w:val="000000"/>
          <w:sz w:val="24"/>
          <w:szCs w:val="24"/>
        </w:rPr>
        <w:t>The specific</w:t>
      </w:r>
      <w:r w:rsidR="00986FD8" w:rsidRPr="004764A0">
        <w:rPr>
          <w:rFonts w:cs="Arial"/>
          <w:color w:val="000000"/>
          <w:sz w:val="24"/>
          <w:szCs w:val="24"/>
        </w:rPr>
        <w:t>:</w:t>
      </w:r>
      <w:r w:rsidRPr="004764A0">
        <w:rPr>
          <w:rFonts w:cs="Arial"/>
          <w:color w:val="000000"/>
          <w:sz w:val="24"/>
          <w:szCs w:val="24"/>
        </w:rPr>
        <w:t xml:space="preserve"> these factors are defined as: those, where, if actions could be taken through national or local interventions, the risk of future child deaths could be reduced. </w:t>
      </w:r>
    </w:p>
    <w:p w:rsidR="00CB5B70" w:rsidRPr="004764A0" w:rsidRDefault="00CB5B70" w:rsidP="000E600B">
      <w:pPr>
        <w:autoSpaceDE w:val="0"/>
        <w:autoSpaceDN w:val="0"/>
        <w:adjustRightInd w:val="0"/>
        <w:spacing w:after="51" w:line="240" w:lineRule="auto"/>
        <w:rPr>
          <w:rFonts w:cs="Arial"/>
          <w:color w:val="000000"/>
          <w:sz w:val="24"/>
          <w:szCs w:val="24"/>
        </w:rPr>
      </w:pPr>
    </w:p>
    <w:p w:rsidR="000E600B" w:rsidRPr="004764A0" w:rsidRDefault="000E600B" w:rsidP="00652EA4">
      <w:pPr>
        <w:pStyle w:val="ListParagraph"/>
        <w:numPr>
          <w:ilvl w:val="0"/>
          <w:numId w:val="11"/>
        </w:numPr>
        <w:autoSpaceDE w:val="0"/>
        <w:autoSpaceDN w:val="0"/>
        <w:adjustRightInd w:val="0"/>
        <w:spacing w:after="0" w:line="240" w:lineRule="auto"/>
        <w:rPr>
          <w:rFonts w:cs="Arial"/>
          <w:color w:val="000000"/>
          <w:sz w:val="24"/>
          <w:szCs w:val="24"/>
        </w:rPr>
      </w:pPr>
      <w:r w:rsidRPr="004764A0">
        <w:rPr>
          <w:rFonts w:cs="Arial"/>
          <w:color w:val="000000"/>
          <w:sz w:val="24"/>
          <w:szCs w:val="24"/>
        </w:rPr>
        <w:t xml:space="preserve">This replaces: These factors are defined as those which, by means of national or locally achievable interventions, could be modified to reduce the risk of future child deaths. </w:t>
      </w:r>
    </w:p>
    <w:p w:rsidR="007D5C78" w:rsidRPr="004764A0" w:rsidRDefault="007D5C78" w:rsidP="000E600B">
      <w:pPr>
        <w:autoSpaceDE w:val="0"/>
        <w:autoSpaceDN w:val="0"/>
        <w:adjustRightInd w:val="0"/>
        <w:spacing w:after="0" w:line="240" w:lineRule="auto"/>
        <w:rPr>
          <w:rFonts w:cs="Arial"/>
          <w:b/>
          <w:color w:val="000000"/>
          <w:sz w:val="24"/>
          <w:szCs w:val="24"/>
        </w:rPr>
      </w:pPr>
    </w:p>
    <w:p w:rsidR="000E600B" w:rsidRPr="00ED4E4B" w:rsidRDefault="00ED4E4B" w:rsidP="00ED4E4B">
      <w:pPr>
        <w:autoSpaceDE w:val="0"/>
        <w:autoSpaceDN w:val="0"/>
        <w:adjustRightInd w:val="0"/>
        <w:spacing w:after="0" w:line="240" w:lineRule="auto"/>
        <w:rPr>
          <w:rFonts w:cs="Arial"/>
          <w:b/>
          <w:bCs/>
          <w:color w:val="000000"/>
          <w:sz w:val="24"/>
          <w:szCs w:val="24"/>
        </w:rPr>
      </w:pPr>
      <w:r>
        <w:rPr>
          <w:rFonts w:cs="Arial"/>
          <w:color w:val="000000"/>
          <w:sz w:val="24"/>
          <w:szCs w:val="24"/>
        </w:rPr>
        <w:t xml:space="preserve">5. </w:t>
      </w:r>
      <w:r w:rsidR="009215E3" w:rsidRPr="00ED4E4B">
        <w:rPr>
          <w:rFonts w:cs="Arial"/>
          <w:color w:val="000000"/>
          <w:sz w:val="24"/>
          <w:szCs w:val="24"/>
        </w:rPr>
        <w:t>Notifiable Incidents</w:t>
      </w:r>
    </w:p>
    <w:p w:rsidR="009215E3" w:rsidRPr="00700E53" w:rsidRDefault="009215E3" w:rsidP="00ED4E4B">
      <w:pPr>
        <w:shd w:val="clear" w:color="auto" w:fill="FFFFFF"/>
        <w:spacing w:before="100" w:beforeAutospacing="1" w:after="0" w:line="330" w:lineRule="atLeast"/>
        <w:rPr>
          <w:rFonts w:eastAsia="Times New Roman" w:cs="Arial"/>
          <w:b/>
          <w:color w:val="000000" w:themeColor="text1"/>
          <w:sz w:val="24"/>
          <w:szCs w:val="24"/>
          <w:lang w:eastAsia="en-GB"/>
        </w:rPr>
      </w:pPr>
      <w:r w:rsidRPr="00D40D45">
        <w:rPr>
          <w:rFonts w:eastAsia="Times New Roman" w:cs="Arial"/>
          <w:color w:val="000000" w:themeColor="text1"/>
          <w:sz w:val="24"/>
          <w:szCs w:val="24"/>
          <w:lang w:eastAsia="en-GB"/>
        </w:rPr>
        <w:t xml:space="preserve">There has been an addition to Chapter 4 ‘Notifiable Incidents’. This is because local authorities were unclear both about the requirement to notify and what constitutes a notifiable incident. </w:t>
      </w:r>
      <w:r w:rsidRPr="00700E53">
        <w:rPr>
          <w:rFonts w:eastAsia="Times New Roman" w:cs="Arial"/>
          <w:b/>
          <w:color w:val="000000" w:themeColor="text1"/>
          <w:sz w:val="24"/>
          <w:szCs w:val="24"/>
          <w:lang w:eastAsia="en-GB"/>
        </w:rPr>
        <w:t xml:space="preserve">A section on Notifiable Incidents has been added. </w:t>
      </w:r>
    </w:p>
    <w:p w:rsidR="009215E3" w:rsidRPr="00D40D45" w:rsidRDefault="009215E3" w:rsidP="00C44326">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A notifiable incident is an incident involving the care of a child which meets </w:t>
      </w:r>
      <w:r w:rsidRPr="00D40D45">
        <w:rPr>
          <w:rFonts w:eastAsia="Times New Roman" w:cs="Arial"/>
          <w:b/>
          <w:bCs/>
          <w:color w:val="000000" w:themeColor="text1"/>
          <w:sz w:val="24"/>
          <w:szCs w:val="24"/>
          <w:lang w:eastAsia="en-GB"/>
        </w:rPr>
        <w:t xml:space="preserve">any </w:t>
      </w:r>
      <w:r w:rsidRPr="00D40D45">
        <w:rPr>
          <w:rFonts w:eastAsia="Times New Roman" w:cs="Arial"/>
          <w:color w:val="000000" w:themeColor="text1"/>
          <w:sz w:val="24"/>
          <w:szCs w:val="24"/>
          <w:lang w:eastAsia="en-GB"/>
        </w:rPr>
        <w:t xml:space="preserve">of the following criteria: </w:t>
      </w:r>
    </w:p>
    <w:p w:rsidR="009215E3" w:rsidRPr="00D40D45" w:rsidRDefault="009215E3" w:rsidP="004F740F">
      <w:pPr>
        <w:pStyle w:val="ListParagraph"/>
        <w:numPr>
          <w:ilvl w:val="0"/>
          <w:numId w:val="17"/>
        </w:num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a child has died (including cases of suspected suicide), and abuse or neglect is known or suspected; </w:t>
      </w:r>
    </w:p>
    <w:p w:rsidR="009215E3" w:rsidRPr="00D40D45" w:rsidRDefault="009215E3" w:rsidP="004F740F">
      <w:pPr>
        <w:pStyle w:val="ListParagraph"/>
        <w:numPr>
          <w:ilvl w:val="0"/>
          <w:numId w:val="17"/>
        </w:num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a child has been seriously harmed and abuse or neglect is known or suspected </w:t>
      </w:r>
    </w:p>
    <w:p w:rsidR="009215E3" w:rsidRPr="00D40D45" w:rsidRDefault="009215E3" w:rsidP="004F740F">
      <w:pPr>
        <w:pStyle w:val="ListParagraph"/>
        <w:numPr>
          <w:ilvl w:val="0"/>
          <w:numId w:val="17"/>
        </w:num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a looked after child has died (including cases where abuse or neglect is not known or suspected) ; or </w:t>
      </w:r>
    </w:p>
    <w:p w:rsidR="009215E3" w:rsidRPr="00D40D45" w:rsidRDefault="009215E3" w:rsidP="004F740F">
      <w:pPr>
        <w:pStyle w:val="ListParagraph"/>
        <w:numPr>
          <w:ilvl w:val="0"/>
          <w:numId w:val="17"/>
        </w:num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a child in a regulated setting or service has died (including cases where abuse or neglect is not known or suspected) </w:t>
      </w:r>
    </w:p>
    <w:p w:rsidR="009215E3" w:rsidRPr="00D40D45" w:rsidRDefault="009215E3" w:rsidP="00C44326">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b/>
          <w:bCs/>
          <w:color w:val="000000" w:themeColor="text1"/>
          <w:sz w:val="24"/>
          <w:szCs w:val="24"/>
          <w:lang w:eastAsia="en-GB"/>
        </w:rPr>
        <w:t xml:space="preserve">The local authority should report any incident that meets the above criteria to Ofsted and the relevant LSCB or LSCBs promptly, and within five working days of becoming aware that the incident has occurred. </w:t>
      </w:r>
    </w:p>
    <w:p w:rsidR="009215E3" w:rsidRPr="00D40D45" w:rsidRDefault="009215E3" w:rsidP="00C44326">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b/>
          <w:bCs/>
          <w:color w:val="000000" w:themeColor="text1"/>
          <w:sz w:val="24"/>
          <w:szCs w:val="24"/>
          <w:lang w:eastAsia="en-GB"/>
        </w:rPr>
        <w:t xml:space="preserve">For the avoidance of doubt, if an incident meets the criteria for a Serious Case Review then it will also meet the criteria for a notifiable incident (above). </w:t>
      </w:r>
    </w:p>
    <w:p w:rsidR="009215E3" w:rsidRPr="00D40D45" w:rsidRDefault="009215E3" w:rsidP="00C44326">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There will, however, be notifiable incidents that do not proceed through to Serious Case Review. </w:t>
      </w:r>
    </w:p>
    <w:p w:rsidR="004F740F" w:rsidRPr="009215E3" w:rsidRDefault="00ED4E4B" w:rsidP="009215E3">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Pr>
          <w:rFonts w:eastAsia="Times New Roman" w:cs="Arial"/>
          <w:b/>
          <w:bCs/>
          <w:color w:val="000000" w:themeColor="text1"/>
          <w:sz w:val="24"/>
          <w:szCs w:val="24"/>
          <w:lang w:eastAsia="en-GB"/>
        </w:rPr>
        <w:t xml:space="preserve">6. </w:t>
      </w:r>
      <w:r w:rsidR="004F740F" w:rsidRPr="009215E3">
        <w:rPr>
          <w:rFonts w:eastAsia="Times New Roman" w:cs="Arial"/>
          <w:b/>
          <w:bCs/>
          <w:color w:val="000000" w:themeColor="text1"/>
          <w:sz w:val="24"/>
          <w:szCs w:val="24"/>
          <w:lang w:eastAsia="en-GB"/>
        </w:rPr>
        <w:t xml:space="preserve">The definition of serious harm for the purposes of serious case reviews. </w:t>
      </w:r>
    </w:p>
    <w:p w:rsidR="004F740F" w:rsidRPr="00D40D45" w:rsidRDefault="004F740F" w:rsidP="004F740F">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Working Together 2015 now provides a definition of ‘seriously harmed’. There were concerns –flagged by the national panel - </w:t>
      </w:r>
      <w:proofErr w:type="gramStart"/>
      <w:r w:rsidRPr="00D40D45">
        <w:rPr>
          <w:rFonts w:eastAsia="Times New Roman" w:cs="Arial"/>
          <w:color w:val="000000" w:themeColor="text1"/>
          <w:sz w:val="24"/>
          <w:szCs w:val="24"/>
          <w:lang w:eastAsia="en-GB"/>
        </w:rPr>
        <w:t>that</w:t>
      </w:r>
      <w:proofErr w:type="gramEnd"/>
      <w:r w:rsidRPr="00D40D45">
        <w:rPr>
          <w:rFonts w:eastAsia="Times New Roman" w:cs="Arial"/>
          <w:color w:val="000000" w:themeColor="text1"/>
          <w:sz w:val="24"/>
          <w:szCs w:val="24"/>
          <w:lang w:eastAsia="en-GB"/>
        </w:rPr>
        <w:t xml:space="preserve"> some LSCBs were failing to make appropriate decisions on what constituted serious harm. It is also hoped the new wording will help support local authority decision-making when determining whether to notify an incident. </w:t>
      </w:r>
    </w:p>
    <w:p w:rsidR="004F740F" w:rsidRPr="00D40D45" w:rsidRDefault="004F740F" w:rsidP="004F740F">
      <w:pPr>
        <w:shd w:val="clear" w:color="auto" w:fill="FFFFFF"/>
        <w:spacing w:before="100" w:beforeAutospacing="1" w:after="100" w:afterAutospacing="1" w:line="330" w:lineRule="atLeast"/>
        <w:rPr>
          <w:rFonts w:eastAsia="Times New Roman" w:cs="Arial"/>
          <w:b/>
          <w:color w:val="FF0000"/>
          <w:sz w:val="24"/>
          <w:szCs w:val="24"/>
          <w:lang w:eastAsia="en-GB"/>
        </w:rPr>
      </w:pPr>
      <w:r w:rsidRPr="00D40D45">
        <w:rPr>
          <w:rFonts w:eastAsia="Times New Roman" w:cs="Arial"/>
          <w:b/>
          <w:color w:val="FF0000"/>
          <w:sz w:val="24"/>
          <w:szCs w:val="24"/>
          <w:lang w:eastAsia="en-GB"/>
        </w:rPr>
        <w:t xml:space="preserve">To note - Some respondents to the consultation had asked for clarification about the ‘and’. Working Together 2015 has not changed and it is not explicitly stated that there should be a causal link between the child’s death or injury, and abuse or neglect [as stated in 2006 and 2010]. It still remains for LSCBs to decide whether it is appropriate to undertake an SCR, and the SCR panel is in place to review those decisions. </w:t>
      </w:r>
    </w:p>
    <w:p w:rsidR="004F740F" w:rsidRPr="00D40D45" w:rsidRDefault="004F740F" w:rsidP="004F740F">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(2) For the purposes of paragraph (1) (e) a serious case is one where: </w:t>
      </w:r>
    </w:p>
    <w:p w:rsidR="004F740F" w:rsidRPr="00D40D45" w:rsidRDefault="004F740F" w:rsidP="004F740F">
      <w:pPr>
        <w:shd w:val="clear" w:color="auto" w:fill="FFFFFF"/>
        <w:spacing w:before="100" w:beforeAutospacing="1" w:after="100" w:afterAutospacing="1" w:line="330" w:lineRule="atLeast"/>
        <w:rPr>
          <w:rFonts w:eastAsia="Times New Roman" w:cs="Arial"/>
          <w:color w:val="FF0000"/>
          <w:sz w:val="24"/>
          <w:szCs w:val="24"/>
          <w:lang w:eastAsia="en-GB"/>
        </w:rPr>
      </w:pPr>
      <w:r w:rsidRPr="00D40D45">
        <w:rPr>
          <w:rFonts w:eastAsia="Times New Roman" w:cs="Arial"/>
          <w:color w:val="000000" w:themeColor="text1"/>
          <w:sz w:val="24"/>
          <w:szCs w:val="24"/>
          <w:lang w:eastAsia="en-GB"/>
        </w:rPr>
        <w:t xml:space="preserve">(a) </w:t>
      </w:r>
      <w:proofErr w:type="gramStart"/>
      <w:r w:rsidRPr="00D40D45">
        <w:rPr>
          <w:rFonts w:eastAsia="Times New Roman" w:cs="Arial"/>
          <w:color w:val="000000" w:themeColor="text1"/>
          <w:sz w:val="24"/>
          <w:szCs w:val="24"/>
          <w:lang w:eastAsia="en-GB"/>
        </w:rPr>
        <w:t>abuse</w:t>
      </w:r>
      <w:proofErr w:type="gramEnd"/>
      <w:r w:rsidRPr="00D40D45">
        <w:rPr>
          <w:rFonts w:eastAsia="Times New Roman" w:cs="Arial"/>
          <w:color w:val="000000" w:themeColor="text1"/>
          <w:sz w:val="24"/>
          <w:szCs w:val="24"/>
          <w:lang w:eastAsia="en-GB"/>
        </w:rPr>
        <w:t xml:space="preserve"> or neglect of a child is known or suspected; </w:t>
      </w:r>
      <w:r w:rsidRPr="00D40D45">
        <w:rPr>
          <w:rFonts w:eastAsia="Times New Roman" w:cs="Arial"/>
          <w:b/>
          <w:color w:val="FF0000"/>
          <w:sz w:val="24"/>
          <w:szCs w:val="24"/>
          <w:lang w:eastAsia="en-GB"/>
        </w:rPr>
        <w:t>and</w:t>
      </w:r>
      <w:r w:rsidRPr="00D40D45">
        <w:rPr>
          <w:rFonts w:eastAsia="Times New Roman" w:cs="Arial"/>
          <w:color w:val="FF0000"/>
          <w:sz w:val="24"/>
          <w:szCs w:val="24"/>
          <w:lang w:eastAsia="en-GB"/>
        </w:rPr>
        <w:t xml:space="preserve"> </w:t>
      </w:r>
    </w:p>
    <w:p w:rsidR="004F740F" w:rsidRPr="00D40D45" w:rsidRDefault="004F740F" w:rsidP="004F740F">
      <w:pPr>
        <w:shd w:val="clear" w:color="auto" w:fill="FFFFFF"/>
        <w:spacing w:before="100" w:beforeAutospacing="1" w:after="100" w:afterAutospacing="1" w:line="330" w:lineRule="atLeast"/>
        <w:rPr>
          <w:rFonts w:eastAsia="Times New Roman" w:cs="Arial"/>
          <w:color w:val="000000" w:themeColor="text1"/>
          <w:sz w:val="24"/>
          <w:szCs w:val="24"/>
          <w:lang w:eastAsia="en-GB"/>
        </w:rPr>
      </w:pPr>
      <w:r w:rsidRPr="00D40D45">
        <w:rPr>
          <w:rFonts w:eastAsia="Times New Roman" w:cs="Arial"/>
          <w:color w:val="000000" w:themeColor="text1"/>
          <w:sz w:val="24"/>
          <w:szCs w:val="24"/>
          <w:lang w:eastAsia="en-GB"/>
        </w:rPr>
        <w:t xml:space="preserve">(b) </w:t>
      </w:r>
      <w:proofErr w:type="gramStart"/>
      <w:r w:rsidRPr="00D40D45">
        <w:rPr>
          <w:rFonts w:eastAsia="Times New Roman" w:cs="Arial"/>
          <w:color w:val="000000" w:themeColor="text1"/>
          <w:sz w:val="24"/>
          <w:szCs w:val="24"/>
          <w:lang w:eastAsia="en-GB"/>
        </w:rPr>
        <w:t>either</w:t>
      </w:r>
      <w:proofErr w:type="gramEnd"/>
      <w:r w:rsidRPr="00D40D45">
        <w:rPr>
          <w:rFonts w:eastAsia="Times New Roman" w:cs="Arial"/>
          <w:color w:val="000000" w:themeColor="text1"/>
          <w:sz w:val="24"/>
          <w:szCs w:val="24"/>
          <w:lang w:eastAsia="en-GB"/>
        </w:rPr>
        <w:t>— (</w:t>
      </w:r>
      <w:proofErr w:type="spellStart"/>
      <w:r w:rsidRPr="00D40D45">
        <w:rPr>
          <w:rFonts w:eastAsia="Times New Roman" w:cs="Arial"/>
          <w:color w:val="000000" w:themeColor="text1"/>
          <w:sz w:val="24"/>
          <w:szCs w:val="24"/>
          <w:lang w:eastAsia="en-GB"/>
        </w:rPr>
        <w:t>i</w:t>
      </w:r>
      <w:proofErr w:type="spellEnd"/>
      <w:r w:rsidRPr="00D40D45">
        <w:rPr>
          <w:rFonts w:eastAsia="Times New Roman" w:cs="Arial"/>
          <w:color w:val="000000" w:themeColor="text1"/>
          <w:sz w:val="24"/>
          <w:szCs w:val="24"/>
          <w:lang w:eastAsia="en-GB"/>
        </w:rPr>
        <w:t>) the child has died; or (ii) the child has been seriously harmed and there is cause for concern as to the way in which the authority, their Board partners or other relevant persons have worked together to safeguard the child.</w:t>
      </w:r>
    </w:p>
    <w:p w:rsidR="004F740F" w:rsidRPr="00D40D45" w:rsidRDefault="004F740F" w:rsidP="004F740F">
      <w:pPr>
        <w:shd w:val="clear" w:color="auto" w:fill="FFFFFF"/>
        <w:spacing w:before="100" w:beforeAutospacing="1" w:after="100" w:afterAutospacing="1" w:line="240" w:lineRule="auto"/>
        <w:outlineLvl w:val="1"/>
        <w:rPr>
          <w:rFonts w:eastAsia="Times New Roman" w:cs="Arial"/>
          <w:b/>
          <w:bCs/>
          <w:color w:val="000000" w:themeColor="text1"/>
          <w:spacing w:val="2"/>
          <w:sz w:val="24"/>
          <w:szCs w:val="24"/>
          <w:lang w:eastAsia="en-GB"/>
        </w:rPr>
      </w:pPr>
      <w:r w:rsidRPr="00D40D45">
        <w:rPr>
          <w:rFonts w:eastAsia="Times New Roman" w:cs="Arial"/>
          <w:b/>
          <w:bCs/>
          <w:color w:val="000000" w:themeColor="text1"/>
          <w:spacing w:val="2"/>
          <w:sz w:val="24"/>
          <w:szCs w:val="24"/>
          <w:lang w:eastAsia="en-GB"/>
        </w:rPr>
        <w:t>March 2015 (page 76)</w:t>
      </w:r>
    </w:p>
    <w:p w:rsidR="004F740F" w:rsidRPr="00D40D45" w:rsidRDefault="004F740F" w:rsidP="004F740F">
      <w:pPr>
        <w:shd w:val="clear" w:color="auto" w:fill="FFFFFF"/>
        <w:spacing w:before="100" w:beforeAutospacing="1" w:after="100" w:afterAutospacing="1" w:line="240" w:lineRule="auto"/>
        <w:outlineLvl w:val="1"/>
        <w:rPr>
          <w:rFonts w:eastAsia="Times New Roman" w:cs="Arial"/>
          <w:bCs/>
          <w:color w:val="000000" w:themeColor="text1"/>
          <w:spacing w:val="2"/>
          <w:sz w:val="24"/>
          <w:szCs w:val="24"/>
          <w:lang w:eastAsia="en-GB"/>
        </w:rPr>
      </w:pPr>
      <w:r w:rsidRPr="00D40D45">
        <w:rPr>
          <w:rFonts w:eastAsia="Times New Roman" w:cs="Arial"/>
          <w:bCs/>
          <w:color w:val="000000" w:themeColor="text1"/>
          <w:spacing w:val="2"/>
          <w:sz w:val="24"/>
          <w:szCs w:val="24"/>
          <w:lang w:eastAsia="en-GB"/>
        </w:rPr>
        <w:t>“Seriously harmed” in the context of paragraph 18 below and regulation 5(2)(b)(ii) above includes, but is not limited to, cases where the child has sustained, as a result of abuse or neglect, any or all of the following:</w:t>
      </w:r>
    </w:p>
    <w:p w:rsidR="004F740F" w:rsidRPr="00D40D45" w:rsidRDefault="004F740F" w:rsidP="004F740F">
      <w:pPr>
        <w:shd w:val="clear" w:color="auto" w:fill="FFFFFF"/>
        <w:spacing w:before="100" w:beforeAutospacing="1" w:after="100" w:afterAutospacing="1" w:line="240" w:lineRule="auto"/>
        <w:outlineLvl w:val="1"/>
        <w:rPr>
          <w:rFonts w:eastAsia="Times New Roman" w:cs="Arial"/>
          <w:bCs/>
          <w:color w:val="000000" w:themeColor="text1"/>
          <w:spacing w:val="2"/>
          <w:sz w:val="24"/>
          <w:szCs w:val="24"/>
          <w:lang w:eastAsia="en-GB"/>
        </w:rPr>
      </w:pPr>
      <w:r w:rsidRPr="00D40D45">
        <w:rPr>
          <w:rFonts w:eastAsia="Times New Roman" w:cs="Arial"/>
          <w:bCs/>
          <w:color w:val="000000" w:themeColor="text1"/>
          <w:spacing w:val="2"/>
          <w:sz w:val="24"/>
          <w:szCs w:val="24"/>
          <w:lang w:eastAsia="en-GB"/>
        </w:rPr>
        <w:t>• A potentially life-threatening injury;</w:t>
      </w:r>
    </w:p>
    <w:p w:rsidR="004F740F" w:rsidRPr="00D40D45" w:rsidRDefault="004F740F" w:rsidP="004F740F">
      <w:pPr>
        <w:shd w:val="clear" w:color="auto" w:fill="FFFFFF"/>
        <w:spacing w:before="100" w:beforeAutospacing="1" w:after="100" w:afterAutospacing="1" w:line="240" w:lineRule="auto"/>
        <w:outlineLvl w:val="1"/>
        <w:rPr>
          <w:rFonts w:eastAsia="Times New Roman" w:cs="Arial"/>
          <w:bCs/>
          <w:color w:val="000000" w:themeColor="text1"/>
          <w:spacing w:val="2"/>
          <w:sz w:val="24"/>
          <w:szCs w:val="24"/>
          <w:lang w:eastAsia="en-GB"/>
        </w:rPr>
      </w:pPr>
      <w:r w:rsidRPr="00D40D45">
        <w:rPr>
          <w:rFonts w:eastAsia="Times New Roman" w:cs="Arial"/>
          <w:bCs/>
          <w:color w:val="000000" w:themeColor="text1"/>
          <w:spacing w:val="2"/>
          <w:sz w:val="24"/>
          <w:szCs w:val="24"/>
          <w:lang w:eastAsia="en-GB"/>
        </w:rPr>
        <w:t>• Serious and/or likely long-term impairment of physical or mental health or physical, intellectual, emotional, social or behavioural development.</w:t>
      </w:r>
    </w:p>
    <w:p w:rsidR="004F740F" w:rsidRPr="00D40D45" w:rsidRDefault="004F740F" w:rsidP="004F740F">
      <w:pPr>
        <w:shd w:val="clear" w:color="auto" w:fill="FFFFFF"/>
        <w:spacing w:before="100" w:beforeAutospacing="1" w:after="100" w:afterAutospacing="1" w:line="240" w:lineRule="auto"/>
        <w:outlineLvl w:val="1"/>
        <w:rPr>
          <w:rFonts w:eastAsia="Times New Roman" w:cs="Arial"/>
          <w:b/>
          <w:bCs/>
          <w:color w:val="000000" w:themeColor="text1"/>
          <w:spacing w:val="2"/>
          <w:sz w:val="24"/>
          <w:szCs w:val="24"/>
          <w:lang w:eastAsia="en-GB"/>
        </w:rPr>
      </w:pPr>
      <w:r w:rsidRPr="00D40D45">
        <w:rPr>
          <w:rFonts w:eastAsia="Times New Roman" w:cs="Arial"/>
          <w:bCs/>
          <w:color w:val="000000" w:themeColor="text1"/>
          <w:spacing w:val="2"/>
          <w:sz w:val="24"/>
          <w:szCs w:val="24"/>
          <w:lang w:eastAsia="en-GB"/>
        </w:rPr>
        <w:t>This definition is not exhaustive. In addition, even if a child recovers, this does not mean that serious harm cannot have occurred. LSCBs should ensure that their considerations on whether serious harm has occurred are informed by available research evidence</w:t>
      </w:r>
      <w:r w:rsidRPr="00D40D45">
        <w:rPr>
          <w:rFonts w:eastAsia="Times New Roman" w:cs="Arial"/>
          <w:b/>
          <w:bCs/>
          <w:color w:val="000000" w:themeColor="text1"/>
          <w:spacing w:val="2"/>
          <w:sz w:val="24"/>
          <w:szCs w:val="24"/>
          <w:lang w:eastAsia="en-GB"/>
        </w:rPr>
        <w:t>.</w:t>
      </w:r>
    </w:p>
    <w:p w:rsidR="000E600B" w:rsidRPr="004764A0" w:rsidRDefault="000E600B" w:rsidP="000E600B">
      <w:pPr>
        <w:autoSpaceDE w:val="0"/>
        <w:autoSpaceDN w:val="0"/>
        <w:adjustRightInd w:val="0"/>
        <w:spacing w:after="0" w:line="240" w:lineRule="auto"/>
        <w:rPr>
          <w:rFonts w:cs="Arial"/>
          <w:color w:val="000000"/>
          <w:sz w:val="24"/>
          <w:szCs w:val="24"/>
        </w:rPr>
      </w:pPr>
    </w:p>
    <w:p w:rsidR="000E600B" w:rsidRPr="004764A0" w:rsidRDefault="00232EF2" w:rsidP="000E600B">
      <w:pPr>
        <w:autoSpaceDE w:val="0"/>
        <w:autoSpaceDN w:val="0"/>
        <w:adjustRightInd w:val="0"/>
        <w:spacing w:after="0" w:line="240" w:lineRule="auto"/>
        <w:rPr>
          <w:rFonts w:cs="Arial"/>
          <w:b/>
          <w:color w:val="000000"/>
          <w:sz w:val="24"/>
          <w:szCs w:val="24"/>
        </w:rPr>
      </w:pPr>
      <w:r>
        <w:rPr>
          <w:rFonts w:cs="Arial"/>
          <w:b/>
          <w:color w:val="000000"/>
          <w:sz w:val="24"/>
          <w:szCs w:val="24"/>
        </w:rPr>
        <w:t>7</w:t>
      </w:r>
      <w:r w:rsidR="000E600B" w:rsidRPr="004764A0">
        <w:rPr>
          <w:rFonts w:cs="Arial"/>
          <w:b/>
          <w:color w:val="000000"/>
          <w:sz w:val="24"/>
          <w:szCs w:val="24"/>
        </w:rPr>
        <w:t xml:space="preserve">. </w:t>
      </w:r>
      <w:r w:rsidR="000E600B" w:rsidRPr="004764A0">
        <w:rPr>
          <w:rFonts w:cs="Arial"/>
          <w:b/>
          <w:bCs/>
          <w:color w:val="000000"/>
          <w:sz w:val="24"/>
          <w:szCs w:val="24"/>
        </w:rPr>
        <w:t xml:space="preserve">CSE specific reporting by LSCB </w:t>
      </w:r>
    </w:p>
    <w:p w:rsidR="00A534B9" w:rsidRPr="004764A0" w:rsidRDefault="00A534B9" w:rsidP="000E600B">
      <w:pPr>
        <w:autoSpaceDE w:val="0"/>
        <w:autoSpaceDN w:val="0"/>
        <w:adjustRightInd w:val="0"/>
        <w:spacing w:after="0" w:line="240" w:lineRule="auto"/>
        <w:rPr>
          <w:rFonts w:cs="Arial"/>
          <w:color w:val="000000"/>
          <w:sz w:val="24"/>
          <w:szCs w:val="24"/>
        </w:rPr>
      </w:pPr>
    </w:p>
    <w:p w:rsidR="000E600B" w:rsidRPr="004764A0" w:rsidRDefault="000E600B" w:rsidP="00A534B9">
      <w:pPr>
        <w:autoSpaceDE w:val="0"/>
        <w:autoSpaceDN w:val="0"/>
        <w:adjustRightInd w:val="0"/>
        <w:spacing w:after="0" w:line="240" w:lineRule="auto"/>
        <w:jc w:val="both"/>
        <w:rPr>
          <w:rFonts w:cs="Arial"/>
          <w:color w:val="000000"/>
          <w:sz w:val="24"/>
          <w:szCs w:val="24"/>
        </w:rPr>
      </w:pPr>
      <w:r w:rsidRPr="004764A0">
        <w:rPr>
          <w:rFonts w:cs="Arial"/>
          <w:color w:val="000000"/>
          <w:sz w:val="24"/>
          <w:szCs w:val="24"/>
        </w:rPr>
        <w:t xml:space="preserve">The high profile of CSE has been reflected in new expectations of LSCB boards to provide regular assessments and outcome of these assessments. These are new expectations on LSCB annual reports, to reflect government decisions relating to Child Sexual Exploitation on page 70. </w:t>
      </w:r>
    </w:p>
    <w:p w:rsidR="00A534B9" w:rsidRPr="004764A0" w:rsidRDefault="00A534B9" w:rsidP="00A534B9">
      <w:pPr>
        <w:autoSpaceDE w:val="0"/>
        <w:autoSpaceDN w:val="0"/>
        <w:adjustRightInd w:val="0"/>
        <w:spacing w:after="0" w:line="240" w:lineRule="auto"/>
        <w:jc w:val="both"/>
        <w:rPr>
          <w:rFonts w:cs="Arial"/>
          <w:color w:val="000000"/>
          <w:sz w:val="24"/>
          <w:szCs w:val="24"/>
        </w:rPr>
      </w:pPr>
    </w:p>
    <w:p w:rsidR="000E600B" w:rsidRPr="004764A0" w:rsidRDefault="000E600B" w:rsidP="00A534B9">
      <w:pPr>
        <w:autoSpaceDE w:val="0"/>
        <w:autoSpaceDN w:val="0"/>
        <w:adjustRightInd w:val="0"/>
        <w:spacing w:after="0" w:line="240" w:lineRule="auto"/>
        <w:jc w:val="both"/>
        <w:rPr>
          <w:rFonts w:cs="Arial"/>
          <w:color w:val="000000"/>
          <w:sz w:val="24"/>
          <w:szCs w:val="24"/>
        </w:rPr>
      </w:pPr>
      <w:r w:rsidRPr="004764A0">
        <w:rPr>
          <w:rFonts w:cs="Arial"/>
          <w:color w:val="000000"/>
          <w:sz w:val="24"/>
          <w:szCs w:val="24"/>
        </w:rPr>
        <w:t xml:space="preserve">The guidance requires LSCBs boards to: </w:t>
      </w:r>
    </w:p>
    <w:p w:rsidR="00A534B9" w:rsidRPr="004764A0" w:rsidRDefault="00A534B9" w:rsidP="00A534B9">
      <w:pPr>
        <w:autoSpaceDE w:val="0"/>
        <w:autoSpaceDN w:val="0"/>
        <w:adjustRightInd w:val="0"/>
        <w:spacing w:after="0" w:line="240" w:lineRule="auto"/>
        <w:jc w:val="both"/>
        <w:rPr>
          <w:rFonts w:cs="Arial"/>
          <w:color w:val="000000"/>
          <w:sz w:val="24"/>
          <w:szCs w:val="24"/>
        </w:rPr>
      </w:pPr>
    </w:p>
    <w:p w:rsidR="000E600B" w:rsidRPr="004764A0" w:rsidRDefault="000E600B" w:rsidP="00652EA4">
      <w:pPr>
        <w:pStyle w:val="ListParagraph"/>
        <w:numPr>
          <w:ilvl w:val="0"/>
          <w:numId w:val="12"/>
        </w:numPr>
        <w:autoSpaceDE w:val="0"/>
        <w:autoSpaceDN w:val="0"/>
        <w:adjustRightInd w:val="0"/>
        <w:spacing w:after="51" w:line="240" w:lineRule="auto"/>
        <w:jc w:val="both"/>
        <w:rPr>
          <w:rFonts w:cs="Arial"/>
          <w:color w:val="000000"/>
          <w:sz w:val="24"/>
          <w:szCs w:val="24"/>
        </w:rPr>
      </w:pPr>
      <w:r w:rsidRPr="004764A0">
        <w:rPr>
          <w:rFonts w:cs="Arial"/>
          <w:color w:val="000000"/>
          <w:sz w:val="24"/>
          <w:szCs w:val="24"/>
        </w:rPr>
        <w:t xml:space="preserve">Conduct regular assessments on the effectiveness of Board partners’ responses to child sexual exploitation and include in the [annual] report information on the outcome of these assessments. </w:t>
      </w:r>
    </w:p>
    <w:p w:rsidR="00A534B9" w:rsidRPr="004764A0" w:rsidRDefault="00A534B9" w:rsidP="00A534B9">
      <w:pPr>
        <w:autoSpaceDE w:val="0"/>
        <w:autoSpaceDN w:val="0"/>
        <w:adjustRightInd w:val="0"/>
        <w:spacing w:after="51" w:line="240" w:lineRule="auto"/>
        <w:jc w:val="both"/>
        <w:rPr>
          <w:rFonts w:cs="Arial"/>
          <w:color w:val="000000"/>
          <w:sz w:val="24"/>
          <w:szCs w:val="24"/>
        </w:rPr>
      </w:pPr>
    </w:p>
    <w:p w:rsidR="00A534B9" w:rsidRPr="004764A0" w:rsidRDefault="000E600B" w:rsidP="00652EA4">
      <w:pPr>
        <w:pStyle w:val="ListParagraph"/>
        <w:numPr>
          <w:ilvl w:val="0"/>
          <w:numId w:val="12"/>
        </w:numPr>
        <w:autoSpaceDE w:val="0"/>
        <w:autoSpaceDN w:val="0"/>
        <w:adjustRightInd w:val="0"/>
        <w:spacing w:after="51" w:line="240" w:lineRule="auto"/>
        <w:jc w:val="both"/>
        <w:rPr>
          <w:rFonts w:cs="Arial"/>
          <w:color w:val="000000"/>
          <w:sz w:val="24"/>
          <w:szCs w:val="24"/>
        </w:rPr>
      </w:pPr>
      <w:r w:rsidRPr="004764A0">
        <w:rPr>
          <w:rFonts w:cs="Arial"/>
          <w:color w:val="000000"/>
          <w:sz w:val="24"/>
          <w:szCs w:val="24"/>
        </w:rPr>
        <w:t>The assessments should include an analysis of how the LSCB partners have used their data to promote service improvement for vulnerable children and families, including in respect of sexual abuse.</w:t>
      </w:r>
    </w:p>
    <w:p w:rsidR="00A534B9" w:rsidRPr="004764A0" w:rsidRDefault="00A534B9" w:rsidP="00652EA4">
      <w:pPr>
        <w:autoSpaceDE w:val="0"/>
        <w:autoSpaceDN w:val="0"/>
        <w:adjustRightInd w:val="0"/>
        <w:spacing w:after="51" w:line="240" w:lineRule="auto"/>
        <w:ind w:firstLine="60"/>
        <w:jc w:val="both"/>
        <w:rPr>
          <w:rFonts w:cs="Arial"/>
          <w:color w:val="000000"/>
          <w:sz w:val="24"/>
          <w:szCs w:val="24"/>
        </w:rPr>
      </w:pPr>
    </w:p>
    <w:p w:rsidR="00A90520" w:rsidRPr="004764A0" w:rsidRDefault="000E600B" w:rsidP="00652EA4">
      <w:pPr>
        <w:pStyle w:val="ListParagraph"/>
        <w:numPr>
          <w:ilvl w:val="0"/>
          <w:numId w:val="12"/>
        </w:numPr>
        <w:autoSpaceDE w:val="0"/>
        <w:autoSpaceDN w:val="0"/>
        <w:adjustRightInd w:val="0"/>
        <w:spacing w:after="0" w:line="240" w:lineRule="auto"/>
        <w:jc w:val="both"/>
        <w:rPr>
          <w:rFonts w:cs="Arial"/>
          <w:color w:val="000000"/>
          <w:sz w:val="24"/>
          <w:szCs w:val="24"/>
        </w:rPr>
      </w:pPr>
      <w:r w:rsidRPr="004764A0">
        <w:rPr>
          <w:rFonts w:cs="Arial"/>
          <w:color w:val="000000"/>
          <w:sz w:val="24"/>
          <w:szCs w:val="24"/>
        </w:rPr>
        <w:t>The guidance requires additional information from LSCBs about children ‘missing from care’. The report should include appropriate data on children missing from care, and how the LSCB is addressing t</w:t>
      </w:r>
      <w:r w:rsidR="00A90520" w:rsidRPr="004764A0">
        <w:rPr>
          <w:rFonts w:cs="Arial"/>
          <w:color w:val="000000"/>
          <w:sz w:val="24"/>
          <w:szCs w:val="24"/>
        </w:rPr>
        <w:t>he issue (to improve outcomes).</w:t>
      </w:r>
    </w:p>
    <w:p w:rsidR="00A90520" w:rsidRPr="004764A0" w:rsidRDefault="00A90520" w:rsidP="00A90520">
      <w:pPr>
        <w:autoSpaceDE w:val="0"/>
        <w:autoSpaceDN w:val="0"/>
        <w:adjustRightInd w:val="0"/>
        <w:spacing w:after="0" w:line="240" w:lineRule="auto"/>
        <w:jc w:val="both"/>
        <w:rPr>
          <w:rFonts w:cs="Arial"/>
          <w:color w:val="000000"/>
          <w:sz w:val="24"/>
          <w:szCs w:val="24"/>
        </w:rPr>
      </w:pPr>
    </w:p>
    <w:p w:rsidR="000E600B" w:rsidRPr="004764A0" w:rsidRDefault="000E600B" w:rsidP="00652EA4">
      <w:pPr>
        <w:pStyle w:val="ListParagraph"/>
        <w:numPr>
          <w:ilvl w:val="0"/>
          <w:numId w:val="12"/>
        </w:numPr>
        <w:autoSpaceDE w:val="0"/>
        <w:autoSpaceDN w:val="0"/>
        <w:adjustRightInd w:val="0"/>
        <w:spacing w:after="0" w:line="240" w:lineRule="auto"/>
        <w:jc w:val="both"/>
        <w:rPr>
          <w:rFonts w:cs="Arial"/>
          <w:color w:val="000000"/>
          <w:sz w:val="24"/>
          <w:szCs w:val="24"/>
        </w:rPr>
      </w:pPr>
      <w:r w:rsidRPr="004764A0">
        <w:rPr>
          <w:rFonts w:cs="Arial"/>
          <w:color w:val="000000"/>
          <w:sz w:val="24"/>
          <w:szCs w:val="24"/>
        </w:rPr>
        <w:t xml:space="preserve">Where the LSCB has a secure establishment within its area, the report should include a review of the use of restraint within that establishment and the findings of the review should be reported to the Youth Justice Board. </w:t>
      </w:r>
    </w:p>
    <w:p w:rsidR="00A90520" w:rsidRPr="004764A0" w:rsidRDefault="00A90520" w:rsidP="000E600B">
      <w:pPr>
        <w:autoSpaceDE w:val="0"/>
        <w:autoSpaceDN w:val="0"/>
        <w:adjustRightInd w:val="0"/>
        <w:spacing w:after="0" w:line="240" w:lineRule="auto"/>
        <w:rPr>
          <w:rFonts w:cs="Arial"/>
          <w:color w:val="000000"/>
          <w:sz w:val="24"/>
          <w:szCs w:val="24"/>
        </w:rPr>
      </w:pPr>
    </w:p>
    <w:p w:rsidR="000E600B" w:rsidRPr="004764A0" w:rsidRDefault="00232EF2" w:rsidP="000E600B">
      <w:pPr>
        <w:autoSpaceDE w:val="0"/>
        <w:autoSpaceDN w:val="0"/>
        <w:adjustRightInd w:val="0"/>
        <w:spacing w:after="0" w:line="240" w:lineRule="auto"/>
        <w:rPr>
          <w:rFonts w:cs="Arial"/>
          <w:b/>
          <w:bCs/>
          <w:color w:val="000000"/>
          <w:sz w:val="24"/>
          <w:szCs w:val="24"/>
        </w:rPr>
      </w:pPr>
      <w:r>
        <w:rPr>
          <w:rFonts w:cs="Arial"/>
          <w:b/>
          <w:color w:val="000000"/>
          <w:sz w:val="24"/>
          <w:szCs w:val="24"/>
        </w:rPr>
        <w:t>8</w:t>
      </w:r>
      <w:r w:rsidR="000E600B" w:rsidRPr="004764A0">
        <w:rPr>
          <w:rFonts w:cs="Arial"/>
          <w:b/>
          <w:color w:val="000000"/>
          <w:sz w:val="24"/>
          <w:szCs w:val="24"/>
        </w:rPr>
        <w:t xml:space="preserve">. </w:t>
      </w:r>
      <w:r w:rsidR="000E600B" w:rsidRPr="004764A0">
        <w:rPr>
          <w:rFonts w:cs="Arial"/>
          <w:b/>
          <w:bCs/>
          <w:color w:val="000000"/>
          <w:sz w:val="24"/>
          <w:szCs w:val="24"/>
        </w:rPr>
        <w:t xml:space="preserve">Information sharing </w:t>
      </w:r>
    </w:p>
    <w:p w:rsidR="00A90520" w:rsidRPr="004764A0" w:rsidRDefault="00A90520" w:rsidP="000E600B">
      <w:pPr>
        <w:autoSpaceDE w:val="0"/>
        <w:autoSpaceDN w:val="0"/>
        <w:adjustRightInd w:val="0"/>
        <w:spacing w:after="0" w:line="240" w:lineRule="auto"/>
        <w:rPr>
          <w:rFonts w:cs="Arial"/>
          <w:color w:val="000000"/>
          <w:sz w:val="24"/>
          <w:szCs w:val="24"/>
        </w:rPr>
      </w:pPr>
    </w:p>
    <w:p w:rsidR="000E600B" w:rsidRPr="004764A0" w:rsidRDefault="000E600B" w:rsidP="00A90520">
      <w:pPr>
        <w:autoSpaceDE w:val="0"/>
        <w:autoSpaceDN w:val="0"/>
        <w:adjustRightInd w:val="0"/>
        <w:spacing w:after="0" w:line="240" w:lineRule="auto"/>
        <w:jc w:val="both"/>
        <w:rPr>
          <w:rFonts w:cs="Arial"/>
          <w:color w:val="000000"/>
          <w:sz w:val="24"/>
          <w:szCs w:val="24"/>
        </w:rPr>
      </w:pPr>
      <w:r w:rsidRPr="004764A0">
        <w:rPr>
          <w:rFonts w:cs="Arial"/>
          <w:color w:val="000000"/>
          <w:sz w:val="24"/>
          <w:szCs w:val="24"/>
        </w:rPr>
        <w:t xml:space="preserve">Information Sharing WT15 is on page 17 information Sharing: Advice for practitioners providing safeguarding services to children, young people, parents and carers (2015) </w:t>
      </w:r>
      <w:r w:rsidR="00B46202" w:rsidRPr="004764A0">
        <w:rPr>
          <w:rFonts w:cs="Arial"/>
          <w:color w:val="000000"/>
          <w:sz w:val="24"/>
          <w:szCs w:val="24"/>
        </w:rPr>
        <w:t>s</w:t>
      </w:r>
      <w:r w:rsidRPr="004764A0">
        <w:rPr>
          <w:rFonts w:cs="Arial"/>
          <w:color w:val="000000"/>
          <w:sz w:val="24"/>
          <w:szCs w:val="24"/>
        </w:rPr>
        <w:t xml:space="preserve">upports front line practitioners, working in child or adult services, who have to make decisions about sharing personal information on a case by case basis. The advice includes the seven golden rules for sharing information effectively and can be used to supplement local guidance and encourage good practice in information sharing. </w:t>
      </w:r>
    </w:p>
    <w:p w:rsidR="00A90520" w:rsidRPr="004764A0" w:rsidRDefault="00A90520" w:rsidP="00A90520">
      <w:pPr>
        <w:autoSpaceDE w:val="0"/>
        <w:autoSpaceDN w:val="0"/>
        <w:adjustRightInd w:val="0"/>
        <w:spacing w:after="0" w:line="240" w:lineRule="auto"/>
        <w:jc w:val="both"/>
        <w:rPr>
          <w:rFonts w:cs="Arial"/>
          <w:color w:val="000000"/>
          <w:sz w:val="24"/>
          <w:szCs w:val="24"/>
        </w:rPr>
      </w:pPr>
    </w:p>
    <w:p w:rsidR="00A90520" w:rsidRPr="004764A0" w:rsidRDefault="00A90520" w:rsidP="00A90520">
      <w:pPr>
        <w:autoSpaceDE w:val="0"/>
        <w:autoSpaceDN w:val="0"/>
        <w:adjustRightInd w:val="0"/>
        <w:spacing w:after="0" w:line="240" w:lineRule="auto"/>
        <w:jc w:val="both"/>
        <w:rPr>
          <w:rFonts w:cs="Arial"/>
          <w:color w:val="000000"/>
          <w:sz w:val="24"/>
          <w:szCs w:val="24"/>
        </w:rPr>
      </w:pPr>
    </w:p>
    <w:p w:rsidR="000E600B" w:rsidRPr="004764A0" w:rsidRDefault="00232EF2" w:rsidP="00A90520">
      <w:pPr>
        <w:autoSpaceDE w:val="0"/>
        <w:autoSpaceDN w:val="0"/>
        <w:adjustRightInd w:val="0"/>
        <w:spacing w:after="0" w:line="240" w:lineRule="auto"/>
        <w:jc w:val="both"/>
        <w:rPr>
          <w:rFonts w:cs="Arial"/>
          <w:b/>
          <w:bCs/>
          <w:color w:val="000000"/>
          <w:sz w:val="24"/>
          <w:szCs w:val="24"/>
        </w:rPr>
      </w:pPr>
      <w:r>
        <w:rPr>
          <w:rFonts w:cs="Arial"/>
          <w:b/>
          <w:color w:val="000000"/>
          <w:sz w:val="24"/>
          <w:szCs w:val="24"/>
        </w:rPr>
        <w:t>9</w:t>
      </w:r>
      <w:r w:rsidR="000E600B" w:rsidRPr="004764A0">
        <w:rPr>
          <w:rFonts w:cs="Arial"/>
          <w:color w:val="000000"/>
          <w:sz w:val="24"/>
          <w:szCs w:val="24"/>
        </w:rPr>
        <w:t xml:space="preserve">. </w:t>
      </w:r>
      <w:r w:rsidR="000E600B" w:rsidRPr="004764A0">
        <w:rPr>
          <w:rFonts w:cs="Arial"/>
          <w:b/>
          <w:bCs/>
          <w:color w:val="000000"/>
          <w:sz w:val="24"/>
          <w:szCs w:val="24"/>
        </w:rPr>
        <w:t xml:space="preserve">Other changes in brief </w:t>
      </w:r>
    </w:p>
    <w:p w:rsidR="00502DF2" w:rsidRPr="004764A0" w:rsidRDefault="00502DF2" w:rsidP="00A90520">
      <w:pPr>
        <w:autoSpaceDE w:val="0"/>
        <w:autoSpaceDN w:val="0"/>
        <w:adjustRightInd w:val="0"/>
        <w:spacing w:after="0" w:line="240" w:lineRule="auto"/>
        <w:jc w:val="both"/>
        <w:rPr>
          <w:rFonts w:cs="Arial"/>
          <w:color w:val="000000"/>
          <w:sz w:val="24"/>
          <w:szCs w:val="24"/>
        </w:rPr>
      </w:pPr>
    </w:p>
    <w:tbl>
      <w:tblPr>
        <w:tblStyle w:val="TableGrid"/>
        <w:tblW w:w="0" w:type="auto"/>
        <w:tblInd w:w="66" w:type="dxa"/>
        <w:tblLook w:val="04A0" w:firstRow="1" w:lastRow="0" w:firstColumn="1" w:lastColumn="0" w:noHBand="0" w:noVBand="1"/>
      </w:tblPr>
      <w:tblGrid>
        <w:gridCol w:w="9242"/>
      </w:tblGrid>
      <w:tr w:rsidR="00502DF2" w:rsidRPr="004764A0" w:rsidTr="00C44326">
        <w:tc>
          <w:tcPr>
            <w:tcW w:w="9242" w:type="dxa"/>
          </w:tcPr>
          <w:p w:rsidR="00502DF2" w:rsidRPr="004764A0" w:rsidRDefault="00C60251"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9" w:history="1">
              <w:r w:rsidR="00502DF2" w:rsidRPr="004764A0">
                <w:rPr>
                  <w:rStyle w:val="Hyperlink"/>
                  <w:rFonts w:eastAsia="Times New Roman" w:cs="Arial"/>
                  <w:bCs/>
                  <w:spacing w:val="2"/>
                  <w:sz w:val="24"/>
                  <w:szCs w:val="24"/>
                  <w:lang w:eastAsia="en-GB"/>
                </w:rPr>
                <w:t>Young Carers and Parent Carers – WT2015 includes the new duties to assess young carers and parent carers, as introduced in the Children and Families Act 2014 and the Care Act 2014. Page 97 – 98</w:t>
              </w:r>
            </w:hyperlink>
          </w:p>
        </w:tc>
      </w:tr>
      <w:tr w:rsidR="00502DF2" w:rsidRPr="004764A0" w:rsidTr="00C44326">
        <w:tc>
          <w:tcPr>
            <w:tcW w:w="9242" w:type="dxa"/>
          </w:tcPr>
          <w:p w:rsidR="00502DF2" w:rsidRPr="004764A0" w:rsidRDefault="00E00B8D"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0" w:history="1">
              <w:r w:rsidR="00502DF2" w:rsidRPr="004764A0">
                <w:rPr>
                  <w:rStyle w:val="Hyperlink"/>
                  <w:rFonts w:eastAsia="Times New Roman" w:cs="Arial"/>
                  <w:bCs/>
                  <w:spacing w:val="2"/>
                  <w:sz w:val="24"/>
                  <w:szCs w:val="24"/>
                  <w:lang w:eastAsia="en-GB"/>
                </w:rPr>
                <w:t>Special Educational Needs / Educational Health and Care Plans include guidance with the new SEN provisions following the Children and Families Act 2014. Page 94.</w:t>
              </w:r>
            </w:hyperlink>
          </w:p>
        </w:tc>
      </w:tr>
      <w:tr w:rsidR="00502DF2" w:rsidRPr="004764A0" w:rsidTr="00C44326">
        <w:tc>
          <w:tcPr>
            <w:tcW w:w="9242" w:type="dxa"/>
          </w:tcPr>
          <w:p w:rsidR="00502DF2" w:rsidRPr="004764A0" w:rsidRDefault="00AC4FAC"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1" w:anchor="focusing" w:history="1">
              <w:r w:rsidR="00502DF2" w:rsidRPr="004764A0">
                <w:rPr>
                  <w:rStyle w:val="Hyperlink"/>
                  <w:rFonts w:eastAsia="Times New Roman" w:cs="Arial"/>
                  <w:bCs/>
                  <w:spacing w:val="2"/>
                  <w:sz w:val="24"/>
                  <w:szCs w:val="24"/>
                  <w:lang w:eastAsia="en-GB"/>
                </w:rPr>
                <w:t>Child protection for foreign national children WT2015 includes change to reflect the publication of new guidance on Working with foreign authorities on child protection cases and care orders (published July 2014). Page 23</w:t>
              </w:r>
            </w:hyperlink>
          </w:p>
        </w:tc>
      </w:tr>
      <w:tr w:rsidR="00502DF2" w:rsidRPr="004764A0" w:rsidTr="00C44326">
        <w:tc>
          <w:tcPr>
            <w:tcW w:w="9242" w:type="dxa"/>
          </w:tcPr>
          <w:p w:rsidR="00502DF2" w:rsidRPr="004764A0" w:rsidRDefault="00AC4FAC"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2" w:anchor="flow_six" w:history="1">
              <w:r w:rsidR="00502DF2" w:rsidRPr="004764A0">
                <w:rPr>
                  <w:rStyle w:val="Hyperlink"/>
                  <w:rFonts w:eastAsia="Times New Roman" w:cs="Arial"/>
                  <w:bCs/>
                  <w:spacing w:val="2"/>
                  <w:sz w:val="24"/>
                  <w:szCs w:val="24"/>
                  <w:lang w:eastAsia="en-GB"/>
                </w:rPr>
                <w:t>Children returning home from care WT2015 makes explicit the requirements and expectations for continued assessment, planning, support and review for children who return home where this is both planned and unplanned. See flowchart on Page 51.</w:t>
              </w:r>
            </w:hyperlink>
          </w:p>
        </w:tc>
      </w:tr>
      <w:tr w:rsidR="00502DF2" w:rsidRPr="004764A0" w:rsidTr="00C44326">
        <w:tc>
          <w:tcPr>
            <w:tcW w:w="9242" w:type="dxa"/>
          </w:tcPr>
          <w:p w:rsidR="00502DF2" w:rsidRPr="004764A0" w:rsidRDefault="00D1390E"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3" w:anchor="probabtion" w:history="1">
              <w:r w:rsidR="00502DF2" w:rsidRPr="004764A0">
                <w:rPr>
                  <w:rStyle w:val="Hyperlink"/>
                  <w:rFonts w:eastAsia="Times New Roman" w:cs="Arial"/>
                  <w:bCs/>
                  <w:spacing w:val="2"/>
                  <w:sz w:val="24"/>
                  <w:szCs w:val="24"/>
                  <w:lang w:eastAsia="en-GB"/>
                </w:rPr>
                <w:t>Probation WT215 Reflects the structural changes to probation under the Transforming Rehabilitation Programme and the findings of HM Inspectorate of Probation thematic inspection on protecting children. Page 60.</w:t>
              </w:r>
            </w:hyperlink>
          </w:p>
        </w:tc>
      </w:tr>
      <w:tr w:rsidR="00502DF2" w:rsidRPr="004764A0" w:rsidTr="00C44326">
        <w:tc>
          <w:tcPr>
            <w:tcW w:w="9242" w:type="dxa"/>
          </w:tcPr>
          <w:p w:rsidR="00502DF2" w:rsidRPr="004764A0" w:rsidRDefault="00D1390E"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4" w:anchor="assessments" w:history="1">
              <w:r w:rsidR="00502DF2" w:rsidRPr="004764A0">
                <w:rPr>
                  <w:rStyle w:val="Hyperlink"/>
                  <w:rFonts w:eastAsia="Times New Roman" w:cs="Arial"/>
                  <w:bCs/>
                  <w:spacing w:val="2"/>
                  <w:sz w:val="24"/>
                  <w:szCs w:val="24"/>
                  <w:lang w:eastAsia="en-GB"/>
                </w:rPr>
                <w:t>Channel panels WT2015 reflects duties set out in the Counter-Terrorism and Security Act 2015 regarding Channel panels, due to come in to force on12 April 2015. Page 19.</w:t>
              </w:r>
            </w:hyperlink>
          </w:p>
        </w:tc>
      </w:tr>
      <w:tr w:rsidR="00502DF2" w:rsidRPr="004764A0" w:rsidTr="00C44326">
        <w:tc>
          <w:tcPr>
            <w:tcW w:w="9242" w:type="dxa"/>
          </w:tcPr>
          <w:p w:rsidR="00502DF2" w:rsidRPr="004764A0" w:rsidRDefault="004764A0" w:rsidP="00502DF2">
            <w:pPr>
              <w:pStyle w:val="ListParagraph"/>
              <w:numPr>
                <w:ilvl w:val="0"/>
                <w:numId w:val="16"/>
              </w:numPr>
              <w:shd w:val="clear" w:color="auto" w:fill="FFFFFF"/>
              <w:spacing w:before="100" w:beforeAutospacing="1" w:after="100" w:afterAutospacing="1"/>
              <w:outlineLvl w:val="1"/>
              <w:rPr>
                <w:rFonts w:eastAsia="Times New Roman" w:cs="Arial"/>
                <w:bCs/>
                <w:color w:val="000000" w:themeColor="text1"/>
                <w:spacing w:val="2"/>
                <w:sz w:val="24"/>
                <w:szCs w:val="24"/>
                <w:lang w:eastAsia="en-GB"/>
              </w:rPr>
            </w:pPr>
            <w:hyperlink r:id="rId15" w:anchor="about" w:history="1">
              <w:r w:rsidR="00502DF2" w:rsidRPr="004764A0">
                <w:rPr>
                  <w:rStyle w:val="Hyperlink"/>
                  <w:rFonts w:eastAsia="Times New Roman" w:cs="Arial"/>
                  <w:bCs/>
                  <w:spacing w:val="2"/>
                  <w:sz w:val="24"/>
                  <w:szCs w:val="24"/>
                  <w:lang w:eastAsia="en-GB"/>
                </w:rPr>
                <w:t>Schools WT2015 clarifies that the guidance applies in its entirety to all schools, including independent schools, academies and free schools, who all have duties in relation to safeguarding and promoting the welfare of pupils, consistent with Keeping Children Safe in Education</w:t>
              </w:r>
            </w:hyperlink>
          </w:p>
        </w:tc>
      </w:tr>
    </w:tbl>
    <w:p w:rsidR="000E600B" w:rsidRPr="004764A0" w:rsidRDefault="000E600B" w:rsidP="00A90520">
      <w:pPr>
        <w:autoSpaceDE w:val="0"/>
        <w:autoSpaceDN w:val="0"/>
        <w:adjustRightInd w:val="0"/>
        <w:spacing w:after="0" w:line="240" w:lineRule="auto"/>
        <w:jc w:val="both"/>
        <w:rPr>
          <w:rFonts w:cs="Arial"/>
          <w:color w:val="000000"/>
          <w:sz w:val="24"/>
          <w:szCs w:val="24"/>
        </w:rPr>
      </w:pPr>
    </w:p>
    <w:sectPr w:rsidR="000E600B" w:rsidRPr="004764A0" w:rsidSect="00544D4C">
      <w:headerReference w:type="default" r:id="rId16"/>
      <w:footerReference w:type="default" r:id="rId17"/>
      <w:pgSz w:w="11906" w:h="17338"/>
      <w:pgMar w:top="893" w:right="991" w:bottom="709"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F3" w:rsidRDefault="009650F3" w:rsidP="00A71920">
      <w:pPr>
        <w:spacing w:after="0" w:line="240" w:lineRule="auto"/>
      </w:pPr>
      <w:r>
        <w:separator/>
      </w:r>
    </w:p>
  </w:endnote>
  <w:endnote w:type="continuationSeparator" w:id="0">
    <w:p w:rsidR="009650F3" w:rsidRDefault="009650F3" w:rsidP="00A7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63502"/>
      <w:docPartObj>
        <w:docPartGallery w:val="Page Numbers (Bottom of Page)"/>
        <w:docPartUnique/>
      </w:docPartObj>
    </w:sdtPr>
    <w:sdtEndPr>
      <w:rPr>
        <w:noProof/>
      </w:rPr>
    </w:sdtEndPr>
    <w:sdtContent>
      <w:p w:rsidR="0045418D" w:rsidRDefault="0045418D">
        <w:pPr>
          <w:pStyle w:val="Footer"/>
          <w:jc w:val="right"/>
        </w:pPr>
        <w:r>
          <w:fldChar w:fldCharType="begin"/>
        </w:r>
        <w:r>
          <w:instrText xml:space="preserve"> PAGE   \* MERGEFORMAT </w:instrText>
        </w:r>
        <w:r>
          <w:fldChar w:fldCharType="separate"/>
        </w:r>
        <w:r w:rsidR="00E64EE5">
          <w:rPr>
            <w:noProof/>
          </w:rPr>
          <w:t>1</w:t>
        </w:r>
        <w:r>
          <w:rPr>
            <w:noProof/>
          </w:rPr>
          <w:fldChar w:fldCharType="end"/>
        </w:r>
      </w:p>
    </w:sdtContent>
  </w:sdt>
  <w:p w:rsidR="0045418D" w:rsidRDefault="0045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F3" w:rsidRDefault="009650F3" w:rsidP="00A71920">
      <w:pPr>
        <w:spacing w:after="0" w:line="240" w:lineRule="auto"/>
      </w:pPr>
      <w:r>
        <w:separator/>
      </w:r>
    </w:p>
  </w:footnote>
  <w:footnote w:type="continuationSeparator" w:id="0">
    <w:p w:rsidR="009650F3" w:rsidRDefault="009650F3" w:rsidP="00A7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20" w:rsidRDefault="00A71920">
    <w:pPr>
      <w:pStyle w:val="Header"/>
    </w:pPr>
    <w:r>
      <w:rPr>
        <w:noProof/>
        <w:lang w:eastAsia="en-GB"/>
      </w:rPr>
      <mc:AlternateContent>
        <mc:Choice Requires="wps">
          <w:drawing>
            <wp:anchor distT="0" distB="0" distL="114300" distR="114300" simplePos="0" relativeHeight="251658240" behindDoc="0" locked="0" layoutInCell="1" allowOverlap="1" wp14:anchorId="15FE0A07" wp14:editId="4DD36C35">
              <wp:simplePos x="0" y="0"/>
              <wp:positionH relativeFrom="column">
                <wp:posOffset>-647700</wp:posOffset>
              </wp:positionH>
              <wp:positionV relativeFrom="paragraph">
                <wp:posOffset>-379095</wp:posOffset>
              </wp:positionV>
              <wp:extent cx="11391900" cy="340995"/>
              <wp:effectExtent l="19050" t="1905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0" cy="340995"/>
                      </a:xfrm>
                      <a:prstGeom prst="rect">
                        <a:avLst/>
                      </a:prstGeom>
                      <a:solidFill>
                        <a:srgbClr val="77091B">
                          <a:alpha val="64999"/>
                        </a:srgbClr>
                      </a:solidFill>
                      <a:ln w="38100" cmpd="dbl">
                        <a:solidFill>
                          <a:srgbClr val="77091B"/>
                        </a:solidFill>
                        <a:miter lim="800000"/>
                        <a:headEnd/>
                        <a:tailEnd/>
                      </a:ln>
                    </wps:spPr>
                    <wps:txbx>
                      <w:txbxContent>
                        <w:p w:rsidR="00A71920" w:rsidRPr="00A022F6" w:rsidRDefault="00A71920" w:rsidP="00A75902">
                          <w:pPr>
                            <w:rPr>
                              <w:b/>
                              <w:bCs/>
                              <w:color w:val="FFFFFF"/>
                              <w:sz w:val="28"/>
                              <w:szCs w:val="28"/>
                            </w:rPr>
                          </w:pPr>
                          <w:r w:rsidRPr="00A022F6">
                            <w:rPr>
                              <w:b/>
                              <w:bCs/>
                              <w:color w:val="FFFFFF"/>
                              <w:sz w:val="28"/>
                              <w:szCs w:val="28"/>
                            </w:rPr>
                            <w:t xml:space="preserve">                     Keeping Children and Young People Safe from Harm, Abuse and Neglect</w:t>
                          </w:r>
                        </w:p>
                        <w:p w:rsidR="00A71920" w:rsidRPr="00C36F0F" w:rsidRDefault="00A71920" w:rsidP="00A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29.85pt;width:897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" fillcolor="#77091b" strokecolor="#77091b" strokeweight="3pt">
              <v:fill opacity="42662f"/>
              <v:stroke linestyle="thinThin"/>
              <v:textbox>
                <w:txbxContent>
                  <w:p w:rsidR="00A71920" w:rsidRPr="00A022F6" w:rsidRDefault="00A71920" w:rsidP="00A75902">
                    <w:pPr>
                      <w:rPr>
                        <w:b/>
                        <w:bCs/>
                        <w:color w:val="FFFFFF"/>
                        <w:sz w:val="28"/>
                        <w:szCs w:val="28"/>
                      </w:rPr>
                    </w:pPr>
                    <w:r w:rsidRPr="00A022F6">
                      <w:rPr>
                        <w:b/>
                        <w:bCs/>
                        <w:color w:val="FFFFFF"/>
                        <w:sz w:val="28"/>
                        <w:szCs w:val="28"/>
                      </w:rPr>
                      <w:t xml:space="preserve">                     Keeping Children and Young People Safe from Harm, Abuse and Neglect</w:t>
                    </w:r>
                  </w:p>
                  <w:p w:rsidR="00A71920" w:rsidRPr="00C36F0F" w:rsidRDefault="00A71920" w:rsidP="00A7590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F92"/>
    <w:multiLevelType w:val="hybridMultilevel"/>
    <w:tmpl w:val="09C66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61AB3"/>
    <w:multiLevelType w:val="hybridMultilevel"/>
    <w:tmpl w:val="013C9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33C64"/>
    <w:multiLevelType w:val="hybridMultilevel"/>
    <w:tmpl w:val="8A4ADCA6"/>
    <w:lvl w:ilvl="0" w:tplc="0809000F">
      <w:start w:val="1"/>
      <w:numFmt w:val="decimal"/>
      <w:lvlText w:val="%1."/>
      <w:lvlJc w:val="left"/>
      <w:pPr>
        <w:ind w:left="360" w:hanging="360"/>
      </w:pPr>
      <w:rPr>
        <w:rFonts w:hint="default"/>
        <w:b w:val="0"/>
      </w:rPr>
    </w:lvl>
    <w:lvl w:ilvl="1" w:tplc="1CD44774">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F26936"/>
    <w:multiLevelType w:val="hybridMultilevel"/>
    <w:tmpl w:val="3AB48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55A14"/>
    <w:multiLevelType w:val="hybridMultilevel"/>
    <w:tmpl w:val="F20A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F51AA"/>
    <w:multiLevelType w:val="hybridMultilevel"/>
    <w:tmpl w:val="3B9E6D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369F1"/>
    <w:multiLevelType w:val="hybridMultilevel"/>
    <w:tmpl w:val="020E53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34001"/>
    <w:multiLevelType w:val="hybridMultilevel"/>
    <w:tmpl w:val="6798A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11988"/>
    <w:multiLevelType w:val="hybridMultilevel"/>
    <w:tmpl w:val="69E26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F66A4"/>
    <w:multiLevelType w:val="hybridMultilevel"/>
    <w:tmpl w:val="0298E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400A4"/>
    <w:multiLevelType w:val="hybridMultilevel"/>
    <w:tmpl w:val="8D489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772D2D"/>
    <w:multiLevelType w:val="hybridMultilevel"/>
    <w:tmpl w:val="84C03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0314B8"/>
    <w:multiLevelType w:val="hybridMultilevel"/>
    <w:tmpl w:val="0FD01D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065CA8"/>
    <w:multiLevelType w:val="hybridMultilevel"/>
    <w:tmpl w:val="D22C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3F5FFC"/>
    <w:multiLevelType w:val="hybridMultilevel"/>
    <w:tmpl w:val="437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AF50DC"/>
    <w:multiLevelType w:val="hybridMultilevel"/>
    <w:tmpl w:val="8CB0B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DE6B49"/>
    <w:multiLevelType w:val="hybridMultilevel"/>
    <w:tmpl w:val="3D90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6"/>
  </w:num>
  <w:num w:numId="5">
    <w:abstractNumId w:val="5"/>
  </w:num>
  <w:num w:numId="6">
    <w:abstractNumId w:val="13"/>
  </w:num>
  <w:num w:numId="7">
    <w:abstractNumId w:val="3"/>
  </w:num>
  <w:num w:numId="8">
    <w:abstractNumId w:val="11"/>
  </w:num>
  <w:num w:numId="9">
    <w:abstractNumId w:val="15"/>
  </w:num>
  <w:num w:numId="10">
    <w:abstractNumId w:val="9"/>
  </w:num>
  <w:num w:numId="11">
    <w:abstractNumId w:val="1"/>
  </w:num>
  <w:num w:numId="12">
    <w:abstractNumId w:val="7"/>
  </w:num>
  <w:num w:numId="13">
    <w:abstractNumId w:val="0"/>
  </w:num>
  <w:num w:numId="14">
    <w:abstractNumId w:val="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0B"/>
    <w:rsid w:val="00006516"/>
    <w:rsid w:val="00040603"/>
    <w:rsid w:val="00062E35"/>
    <w:rsid w:val="000E600B"/>
    <w:rsid w:val="00141613"/>
    <w:rsid w:val="001A2F44"/>
    <w:rsid w:val="001E6C97"/>
    <w:rsid w:val="00232EF2"/>
    <w:rsid w:val="0029750C"/>
    <w:rsid w:val="002C7B00"/>
    <w:rsid w:val="00413404"/>
    <w:rsid w:val="00421ABC"/>
    <w:rsid w:val="0045418D"/>
    <w:rsid w:val="00461594"/>
    <w:rsid w:val="004764A0"/>
    <w:rsid w:val="004C4ECD"/>
    <w:rsid w:val="004F740F"/>
    <w:rsid w:val="00502DF2"/>
    <w:rsid w:val="00510D62"/>
    <w:rsid w:val="00532921"/>
    <w:rsid w:val="00544D4C"/>
    <w:rsid w:val="0059538B"/>
    <w:rsid w:val="00603AEF"/>
    <w:rsid w:val="00634D10"/>
    <w:rsid w:val="00647AB3"/>
    <w:rsid w:val="00652EA4"/>
    <w:rsid w:val="00671B35"/>
    <w:rsid w:val="0068470F"/>
    <w:rsid w:val="006E43F7"/>
    <w:rsid w:val="00782A23"/>
    <w:rsid w:val="007B0197"/>
    <w:rsid w:val="007D5C78"/>
    <w:rsid w:val="00815233"/>
    <w:rsid w:val="00917DDD"/>
    <w:rsid w:val="009215E3"/>
    <w:rsid w:val="009650F3"/>
    <w:rsid w:val="00986FD8"/>
    <w:rsid w:val="009879D7"/>
    <w:rsid w:val="009B440E"/>
    <w:rsid w:val="00A46DB0"/>
    <w:rsid w:val="00A534B9"/>
    <w:rsid w:val="00A71920"/>
    <w:rsid w:val="00A90520"/>
    <w:rsid w:val="00AC4FAC"/>
    <w:rsid w:val="00AD5178"/>
    <w:rsid w:val="00B46202"/>
    <w:rsid w:val="00B51369"/>
    <w:rsid w:val="00B53287"/>
    <w:rsid w:val="00B81388"/>
    <w:rsid w:val="00BC04F0"/>
    <w:rsid w:val="00BC1C3A"/>
    <w:rsid w:val="00BE39E4"/>
    <w:rsid w:val="00C60251"/>
    <w:rsid w:val="00C86AF5"/>
    <w:rsid w:val="00CB32D1"/>
    <w:rsid w:val="00CB5B70"/>
    <w:rsid w:val="00D1390E"/>
    <w:rsid w:val="00DF07ED"/>
    <w:rsid w:val="00E00B8D"/>
    <w:rsid w:val="00E52483"/>
    <w:rsid w:val="00E64EE5"/>
    <w:rsid w:val="00ED4E4B"/>
    <w:rsid w:val="00EE53AB"/>
    <w:rsid w:val="00F72FD4"/>
    <w:rsid w:val="00FC03C3"/>
    <w:rsid w:val="00FE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0B"/>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7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20"/>
  </w:style>
  <w:style w:type="paragraph" w:styleId="Footer">
    <w:name w:val="footer"/>
    <w:basedOn w:val="Normal"/>
    <w:link w:val="FooterChar"/>
    <w:uiPriority w:val="99"/>
    <w:unhideWhenUsed/>
    <w:rsid w:val="00A7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20"/>
  </w:style>
  <w:style w:type="paragraph" w:styleId="BalloonText">
    <w:name w:val="Balloon Text"/>
    <w:basedOn w:val="Normal"/>
    <w:link w:val="BalloonTextChar"/>
    <w:uiPriority w:val="99"/>
    <w:semiHidden/>
    <w:unhideWhenUsed/>
    <w:rsid w:val="00A7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20"/>
    <w:rPr>
      <w:rFonts w:ascii="Tahoma" w:hAnsi="Tahoma" w:cs="Tahoma"/>
      <w:sz w:val="16"/>
      <w:szCs w:val="16"/>
    </w:rPr>
  </w:style>
  <w:style w:type="character" w:styleId="Hyperlink">
    <w:name w:val="Hyperlink"/>
    <w:basedOn w:val="DefaultParagraphFont"/>
    <w:uiPriority w:val="99"/>
    <w:unhideWhenUsed/>
    <w:rsid w:val="00671B35"/>
    <w:rPr>
      <w:color w:val="0000FF" w:themeColor="hyperlink"/>
      <w:u w:val="single"/>
    </w:rPr>
  </w:style>
  <w:style w:type="paragraph" w:styleId="ListParagraph">
    <w:name w:val="List Paragraph"/>
    <w:basedOn w:val="Normal"/>
    <w:uiPriority w:val="34"/>
    <w:qFormat/>
    <w:rsid w:val="00CB5B70"/>
    <w:pPr>
      <w:ind w:left="720"/>
      <w:contextualSpacing/>
    </w:pPr>
  </w:style>
  <w:style w:type="paragraph" w:styleId="CommentText">
    <w:name w:val="annotation text"/>
    <w:basedOn w:val="Normal"/>
    <w:link w:val="CommentTextChar"/>
    <w:uiPriority w:val="99"/>
    <w:semiHidden/>
    <w:unhideWhenUsed/>
    <w:rsid w:val="004C4ECD"/>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4C4ECD"/>
    <w:rPr>
      <w:rFonts w:ascii="Arial" w:hAnsi="Arial" w:cs="Arial"/>
      <w:sz w:val="20"/>
      <w:szCs w:val="20"/>
    </w:rPr>
  </w:style>
  <w:style w:type="character" w:styleId="CommentReference">
    <w:name w:val="annotation reference"/>
    <w:basedOn w:val="DefaultParagraphFont"/>
    <w:uiPriority w:val="99"/>
    <w:semiHidden/>
    <w:unhideWhenUsed/>
    <w:rsid w:val="004C4ECD"/>
  </w:style>
  <w:style w:type="table" w:styleId="TableGrid">
    <w:name w:val="Table Grid"/>
    <w:basedOn w:val="TableNormal"/>
    <w:uiPriority w:val="59"/>
    <w:rsid w:val="0050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0B"/>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7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20"/>
  </w:style>
  <w:style w:type="paragraph" w:styleId="Footer">
    <w:name w:val="footer"/>
    <w:basedOn w:val="Normal"/>
    <w:link w:val="FooterChar"/>
    <w:uiPriority w:val="99"/>
    <w:unhideWhenUsed/>
    <w:rsid w:val="00A7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20"/>
  </w:style>
  <w:style w:type="paragraph" w:styleId="BalloonText">
    <w:name w:val="Balloon Text"/>
    <w:basedOn w:val="Normal"/>
    <w:link w:val="BalloonTextChar"/>
    <w:uiPriority w:val="99"/>
    <w:semiHidden/>
    <w:unhideWhenUsed/>
    <w:rsid w:val="00A7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20"/>
    <w:rPr>
      <w:rFonts w:ascii="Tahoma" w:hAnsi="Tahoma" w:cs="Tahoma"/>
      <w:sz w:val="16"/>
      <w:szCs w:val="16"/>
    </w:rPr>
  </w:style>
  <w:style w:type="character" w:styleId="Hyperlink">
    <w:name w:val="Hyperlink"/>
    <w:basedOn w:val="DefaultParagraphFont"/>
    <w:uiPriority w:val="99"/>
    <w:unhideWhenUsed/>
    <w:rsid w:val="00671B35"/>
    <w:rPr>
      <w:color w:val="0000FF" w:themeColor="hyperlink"/>
      <w:u w:val="single"/>
    </w:rPr>
  </w:style>
  <w:style w:type="paragraph" w:styleId="ListParagraph">
    <w:name w:val="List Paragraph"/>
    <w:basedOn w:val="Normal"/>
    <w:uiPriority w:val="34"/>
    <w:qFormat/>
    <w:rsid w:val="00CB5B70"/>
    <w:pPr>
      <w:ind w:left="720"/>
      <w:contextualSpacing/>
    </w:pPr>
  </w:style>
  <w:style w:type="paragraph" w:styleId="CommentText">
    <w:name w:val="annotation text"/>
    <w:basedOn w:val="Normal"/>
    <w:link w:val="CommentTextChar"/>
    <w:uiPriority w:val="99"/>
    <w:semiHidden/>
    <w:unhideWhenUsed/>
    <w:rsid w:val="004C4ECD"/>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4C4ECD"/>
    <w:rPr>
      <w:rFonts w:ascii="Arial" w:hAnsi="Arial" w:cs="Arial"/>
      <w:sz w:val="20"/>
      <w:szCs w:val="20"/>
    </w:rPr>
  </w:style>
  <w:style w:type="character" w:styleId="CommentReference">
    <w:name w:val="annotation reference"/>
    <w:basedOn w:val="DefaultParagraphFont"/>
    <w:uiPriority w:val="99"/>
    <w:semiHidden/>
    <w:unhideWhenUsed/>
    <w:rsid w:val="004C4ECD"/>
  </w:style>
  <w:style w:type="table" w:styleId="TableGrid">
    <w:name w:val="Table Grid"/>
    <w:basedOn w:val="TableNormal"/>
    <w:uiPriority w:val="59"/>
    <w:rsid w:val="0050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224">
      <w:bodyDiv w:val="1"/>
      <w:marLeft w:val="0"/>
      <w:marRight w:val="0"/>
      <w:marTop w:val="0"/>
      <w:marBottom w:val="0"/>
      <w:divBdr>
        <w:top w:val="none" w:sz="0" w:space="0" w:color="auto"/>
        <w:left w:val="none" w:sz="0" w:space="0" w:color="auto"/>
        <w:bottom w:val="none" w:sz="0" w:space="0" w:color="auto"/>
        <w:right w:val="none" w:sz="0" w:space="0" w:color="auto"/>
      </w:divBdr>
    </w:div>
    <w:div w:id="493104223">
      <w:bodyDiv w:val="1"/>
      <w:marLeft w:val="0"/>
      <w:marRight w:val="0"/>
      <w:marTop w:val="0"/>
      <w:marBottom w:val="0"/>
      <w:divBdr>
        <w:top w:val="none" w:sz="0" w:space="0" w:color="auto"/>
        <w:left w:val="none" w:sz="0" w:space="0" w:color="auto"/>
        <w:bottom w:val="none" w:sz="0" w:space="0" w:color="auto"/>
        <w:right w:val="none" w:sz="0" w:space="0" w:color="auto"/>
      </w:divBdr>
    </w:div>
    <w:div w:id="720321839">
      <w:bodyDiv w:val="1"/>
      <w:marLeft w:val="0"/>
      <w:marRight w:val="0"/>
      <w:marTop w:val="0"/>
      <w:marBottom w:val="0"/>
      <w:divBdr>
        <w:top w:val="none" w:sz="0" w:space="0" w:color="auto"/>
        <w:left w:val="none" w:sz="0" w:space="0" w:color="auto"/>
        <w:bottom w:val="none" w:sz="0" w:space="0" w:color="auto"/>
        <w:right w:val="none" w:sz="0" w:space="0" w:color="auto"/>
      </w:divBdr>
    </w:div>
    <w:div w:id="1466120710">
      <w:bodyDiv w:val="1"/>
      <w:marLeft w:val="0"/>
      <w:marRight w:val="0"/>
      <w:marTop w:val="0"/>
      <w:marBottom w:val="0"/>
      <w:divBdr>
        <w:top w:val="none" w:sz="0" w:space="0" w:color="auto"/>
        <w:left w:val="none" w:sz="0" w:space="0" w:color="auto"/>
        <w:bottom w:val="none" w:sz="0" w:space="0" w:color="auto"/>
        <w:right w:val="none" w:sz="0" w:space="0" w:color="auto"/>
      </w:divBdr>
    </w:div>
    <w:div w:id="21314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 TargetMode="External"/><Relationship Id="rId13" Type="http://schemas.openxmlformats.org/officeDocument/2006/relationships/hyperlink" Target="http://www.workingtogetheronline.co.uk/chapters/chapter_two.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kingtogetheronline.co.uk/chapters/chapter_on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ingtogetheronline.co.uk/chapters/chapter_one.html" TargetMode="External"/><Relationship Id="rId5" Type="http://schemas.openxmlformats.org/officeDocument/2006/relationships/webSettings" Target="webSettings.xml"/><Relationship Id="rId15" Type="http://schemas.openxmlformats.org/officeDocument/2006/relationships/hyperlink" Target="http://www.workingtogetheronline.co.uk/chapters/intro.html" TargetMode="External"/><Relationship Id="rId10" Type="http://schemas.openxmlformats.org/officeDocument/2006/relationships/hyperlink" Target="http://www.workingtogetheronline.co.uk/glossary/ed_health_pl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kingtogetheronline.co.uk/chapters/appendix_b.html" TargetMode="External"/><Relationship Id="rId14" Type="http://schemas.openxmlformats.org/officeDocument/2006/relationships/hyperlink" Target="http://www.workingtogetheronline.co.uk/chapters/chapter_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1739</Words>
  <Characters>9167</Characters>
  <Application>Microsoft Office Word</Application>
  <DocSecurity>0</DocSecurity>
  <Lines>213</Lines>
  <Paragraphs>94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Aisbitt, Nicole</dc:creator>
  <cp:lastModifiedBy>Park, Saira</cp:lastModifiedBy>
  <cp:revision>2</cp:revision>
  <dcterms:created xsi:type="dcterms:W3CDTF">2015-09-17T10:35:00Z</dcterms:created>
  <dcterms:modified xsi:type="dcterms:W3CDTF">2015-09-17T10:35:00Z</dcterms:modified>
</cp:coreProperties>
</file>