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97" w:rsidRPr="00196F97" w:rsidRDefault="00196F97" w:rsidP="00FF583B">
      <w:pPr>
        <w:spacing w:after="0"/>
        <w:jc w:val="center"/>
        <w:rPr>
          <w:b/>
        </w:rPr>
      </w:pPr>
      <w:bookmarkStart w:id="0" w:name="_GoBack"/>
      <w:bookmarkEnd w:id="0"/>
      <w:r w:rsidRPr="00196F97">
        <w:rPr>
          <w:b/>
        </w:rPr>
        <w:t>NSCB Multi Agency Training Programme</w:t>
      </w:r>
    </w:p>
    <w:p w:rsidR="00E2123B" w:rsidRPr="00196F97" w:rsidRDefault="00CB7295" w:rsidP="00196F97">
      <w:pPr>
        <w:jc w:val="center"/>
        <w:rPr>
          <w:b/>
        </w:rPr>
      </w:pPr>
      <w:r>
        <w:rPr>
          <w:b/>
        </w:rPr>
        <w:t>Annual Report 2014-15</w:t>
      </w:r>
    </w:p>
    <w:p w:rsidR="001B54A0" w:rsidRDefault="001B54A0" w:rsidP="00196F97">
      <w:pPr>
        <w:spacing w:after="0"/>
        <w:rPr>
          <w:b/>
        </w:rPr>
      </w:pPr>
      <w:r>
        <w:rPr>
          <w:b/>
        </w:rPr>
        <w:t>QUANTITATIVE DATA</w:t>
      </w:r>
    </w:p>
    <w:p w:rsidR="00196F97" w:rsidRPr="00196F97" w:rsidRDefault="00196F97" w:rsidP="00196F97">
      <w:pPr>
        <w:spacing w:after="0"/>
        <w:rPr>
          <w:b/>
        </w:rPr>
      </w:pPr>
      <w:r w:rsidRPr="00196F97">
        <w:rPr>
          <w:b/>
        </w:rPr>
        <w:t>Headline Statistics:</w:t>
      </w:r>
    </w:p>
    <w:p w:rsidR="00196F97" w:rsidRDefault="00BC40E0" w:rsidP="00196F97">
      <w:pPr>
        <w:pStyle w:val="ListParagraph"/>
        <w:numPr>
          <w:ilvl w:val="0"/>
          <w:numId w:val="1"/>
        </w:numPr>
        <w:spacing w:after="0"/>
      </w:pPr>
      <w:r>
        <w:t xml:space="preserve">90 learning events </w:t>
      </w:r>
    </w:p>
    <w:p w:rsidR="00196F97" w:rsidRDefault="00B706ED" w:rsidP="00196F97">
      <w:pPr>
        <w:pStyle w:val="ListParagraph"/>
        <w:numPr>
          <w:ilvl w:val="0"/>
          <w:numId w:val="1"/>
        </w:numPr>
        <w:spacing w:after="0"/>
      </w:pPr>
      <w:r>
        <w:t>1,547</w:t>
      </w:r>
      <w:r w:rsidR="00BC40E0">
        <w:t xml:space="preserve"> attendance</w:t>
      </w:r>
    </w:p>
    <w:p w:rsidR="008E3F74" w:rsidRDefault="00B706ED" w:rsidP="00196F97">
      <w:pPr>
        <w:pStyle w:val="ListParagraph"/>
        <w:numPr>
          <w:ilvl w:val="0"/>
          <w:numId w:val="1"/>
        </w:numPr>
        <w:spacing w:after="0"/>
      </w:pPr>
      <w:r>
        <w:t>73.5</w:t>
      </w:r>
      <w:r w:rsidR="008E3F74">
        <w:t xml:space="preserve"> days of training delivered</w:t>
      </w:r>
    </w:p>
    <w:p w:rsidR="00FF583B" w:rsidRDefault="00FF583B" w:rsidP="00FF583B">
      <w:pPr>
        <w:pStyle w:val="ListParagraph"/>
        <w:numPr>
          <w:ilvl w:val="0"/>
          <w:numId w:val="1"/>
        </w:numPr>
        <w:spacing w:after="0"/>
      </w:pPr>
      <w:r>
        <w:t>4 events cancelled</w:t>
      </w:r>
    </w:p>
    <w:p w:rsidR="009B76CC" w:rsidRDefault="007F2143" w:rsidP="00FF583B">
      <w:pPr>
        <w:pStyle w:val="ListParagraph"/>
        <w:numPr>
          <w:ilvl w:val="0"/>
          <w:numId w:val="1"/>
        </w:numPr>
        <w:spacing w:after="0"/>
      </w:pPr>
      <w:r>
        <w:t xml:space="preserve">17 delegates per event  - average attendance </w:t>
      </w:r>
    </w:p>
    <w:p w:rsidR="00E975D0" w:rsidRDefault="00E975D0" w:rsidP="008E3F74">
      <w:pPr>
        <w:spacing w:after="0"/>
      </w:pPr>
    </w:p>
    <w:p w:rsidR="00D63918" w:rsidRDefault="008E3F74" w:rsidP="008E3F74">
      <w:pPr>
        <w:spacing w:after="0"/>
        <w:rPr>
          <w:b/>
        </w:rPr>
      </w:pPr>
      <w:r w:rsidRPr="008E3F74">
        <w:rPr>
          <w:b/>
        </w:rPr>
        <w:t>Training Delivery</w:t>
      </w:r>
      <w:r>
        <w:rPr>
          <w:b/>
        </w:rPr>
        <w:t xml:space="preserve"> - Agency Contributions </w:t>
      </w:r>
      <w:r w:rsidR="00DD5C55">
        <w:rPr>
          <w:b/>
        </w:rPr>
        <w:t>of Trainer Days (and Number of Trainers)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731"/>
        <w:gridCol w:w="721"/>
        <w:gridCol w:w="729"/>
        <w:gridCol w:w="960"/>
        <w:gridCol w:w="1025"/>
        <w:gridCol w:w="851"/>
        <w:gridCol w:w="1559"/>
      </w:tblGrid>
      <w:tr w:rsidR="00B70B64" w:rsidRPr="00D63918" w:rsidTr="00330AAB">
        <w:tc>
          <w:tcPr>
            <w:tcW w:w="1046" w:type="dxa"/>
            <w:shd w:val="clear" w:color="auto" w:fill="auto"/>
          </w:tcPr>
          <w:p w:rsidR="00D63918" w:rsidRPr="00D63918" w:rsidRDefault="00D63918" w:rsidP="00D639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YEAR</w:t>
            </w:r>
          </w:p>
        </w:tc>
        <w:tc>
          <w:tcPr>
            <w:tcW w:w="731" w:type="dxa"/>
          </w:tcPr>
          <w:p w:rsidR="00D63918" w:rsidRPr="00D63918" w:rsidRDefault="00D63918" w:rsidP="00D639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721" w:type="dxa"/>
            <w:shd w:val="clear" w:color="auto" w:fill="auto"/>
          </w:tcPr>
          <w:p w:rsidR="00D63918" w:rsidRPr="00D63918" w:rsidRDefault="00D63918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NHCT</w:t>
            </w:r>
          </w:p>
        </w:tc>
        <w:tc>
          <w:tcPr>
            <w:tcW w:w="729" w:type="dxa"/>
            <w:shd w:val="clear" w:color="auto" w:fill="auto"/>
          </w:tcPr>
          <w:p w:rsidR="00D63918" w:rsidRPr="00D63918" w:rsidRDefault="00D63918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NTW</w:t>
            </w:r>
          </w:p>
        </w:tc>
        <w:tc>
          <w:tcPr>
            <w:tcW w:w="960" w:type="dxa"/>
            <w:shd w:val="clear" w:color="auto" w:fill="auto"/>
          </w:tcPr>
          <w:p w:rsidR="00D63918" w:rsidRPr="00D63918" w:rsidRDefault="00D63918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Police</w:t>
            </w:r>
          </w:p>
        </w:tc>
        <w:tc>
          <w:tcPr>
            <w:tcW w:w="1025" w:type="dxa"/>
            <w:shd w:val="clear" w:color="auto" w:fill="auto"/>
          </w:tcPr>
          <w:p w:rsidR="00D63918" w:rsidRPr="00D63918" w:rsidRDefault="00D63918" w:rsidP="00D639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3918">
              <w:rPr>
                <w:rFonts w:ascii="Calibri" w:eastAsia="Calibri" w:hAnsi="Calibri" w:cs="Times New Roman"/>
                <w:sz w:val="20"/>
                <w:szCs w:val="20"/>
              </w:rPr>
              <w:t>Probation</w:t>
            </w:r>
          </w:p>
        </w:tc>
        <w:tc>
          <w:tcPr>
            <w:tcW w:w="851" w:type="dxa"/>
            <w:shd w:val="clear" w:color="auto" w:fill="auto"/>
          </w:tcPr>
          <w:p w:rsidR="00D63918" w:rsidRPr="00D63918" w:rsidRDefault="00D63918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VCS</w:t>
            </w:r>
          </w:p>
        </w:tc>
        <w:tc>
          <w:tcPr>
            <w:tcW w:w="1559" w:type="dxa"/>
            <w:shd w:val="clear" w:color="auto" w:fill="auto"/>
          </w:tcPr>
          <w:p w:rsidR="00D63918" w:rsidRDefault="00B70B64" w:rsidP="00B70B6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Commissioned</w:t>
            </w:r>
          </w:p>
          <w:p w:rsidR="00B70B64" w:rsidRPr="00D63918" w:rsidRDefault="00B70B64" w:rsidP="00B70B6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0B64">
              <w:rPr>
                <w:rFonts w:ascii="Calibri" w:eastAsia="Calibri" w:hAnsi="Calibri" w:cs="Times New Roman"/>
                <w:sz w:val="20"/>
                <w:szCs w:val="20"/>
              </w:rPr>
              <w:t>(funded by NCC)</w:t>
            </w:r>
          </w:p>
        </w:tc>
      </w:tr>
      <w:tr w:rsidR="00B70B64" w:rsidRPr="00D63918" w:rsidTr="00330AAB">
        <w:tc>
          <w:tcPr>
            <w:tcW w:w="1046" w:type="dxa"/>
            <w:shd w:val="clear" w:color="auto" w:fill="auto"/>
          </w:tcPr>
          <w:p w:rsidR="00D63918" w:rsidRPr="00D63918" w:rsidRDefault="00D63918" w:rsidP="00D63918">
            <w:pPr>
              <w:rPr>
                <w:rFonts w:ascii="Calibri" w:eastAsia="Calibri" w:hAnsi="Calibri" w:cs="Times New Roman"/>
                <w:b/>
              </w:rPr>
            </w:pPr>
            <w:r w:rsidRPr="00B70B64">
              <w:rPr>
                <w:rFonts w:ascii="Calibri" w:eastAsia="Calibri" w:hAnsi="Calibri" w:cs="Times New Roman"/>
                <w:b/>
              </w:rPr>
              <w:t>2014-15</w:t>
            </w:r>
          </w:p>
        </w:tc>
        <w:tc>
          <w:tcPr>
            <w:tcW w:w="731" w:type="dxa"/>
          </w:tcPr>
          <w:p w:rsidR="00B70B64" w:rsidRPr="00B70B64" w:rsidRDefault="00B70B64" w:rsidP="00B70B6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B70B64">
              <w:rPr>
                <w:rFonts w:ascii="Calibri" w:eastAsia="Calibri" w:hAnsi="Calibri" w:cs="Times New Roman"/>
                <w:b/>
              </w:rPr>
              <w:t>62.5</w:t>
            </w:r>
            <w:r w:rsidR="00330AAB">
              <w:rPr>
                <w:rFonts w:ascii="Calibri" w:eastAsia="Calibri" w:hAnsi="Calibri" w:cs="Times New Roman"/>
                <w:b/>
              </w:rPr>
              <w:t xml:space="preserve"> (10)</w:t>
            </w:r>
          </w:p>
        </w:tc>
        <w:tc>
          <w:tcPr>
            <w:tcW w:w="721" w:type="dxa"/>
            <w:shd w:val="clear" w:color="auto" w:fill="auto"/>
          </w:tcPr>
          <w:p w:rsidR="00D63918" w:rsidRPr="00D63918" w:rsidRDefault="00B70B64" w:rsidP="00D63918">
            <w:pPr>
              <w:rPr>
                <w:rFonts w:ascii="Calibri" w:eastAsia="Calibri" w:hAnsi="Calibri" w:cs="Times New Roman"/>
                <w:b/>
              </w:rPr>
            </w:pPr>
            <w:r w:rsidRPr="00B70B64">
              <w:rPr>
                <w:rFonts w:ascii="Calibri" w:eastAsia="Calibri" w:hAnsi="Calibri" w:cs="Times New Roman"/>
                <w:b/>
              </w:rPr>
              <w:t>19.25</w:t>
            </w:r>
            <w:r w:rsidR="00330AAB">
              <w:rPr>
                <w:rFonts w:ascii="Calibri" w:eastAsia="Calibri" w:hAnsi="Calibri" w:cs="Times New Roman"/>
                <w:b/>
              </w:rPr>
              <w:t xml:space="preserve"> (6)</w:t>
            </w:r>
          </w:p>
        </w:tc>
        <w:tc>
          <w:tcPr>
            <w:tcW w:w="729" w:type="dxa"/>
            <w:shd w:val="clear" w:color="auto" w:fill="auto"/>
          </w:tcPr>
          <w:p w:rsidR="00D63918" w:rsidRPr="00D63918" w:rsidRDefault="00B70B64" w:rsidP="00D63918">
            <w:pPr>
              <w:rPr>
                <w:rFonts w:ascii="Calibri" w:eastAsia="Calibri" w:hAnsi="Calibri" w:cs="Times New Roman"/>
                <w:b/>
              </w:rPr>
            </w:pPr>
            <w:r w:rsidRPr="00B70B64">
              <w:rPr>
                <w:rFonts w:ascii="Calibri" w:eastAsia="Calibri" w:hAnsi="Calibri" w:cs="Times New Roman"/>
                <w:b/>
              </w:rPr>
              <w:t>13</w:t>
            </w:r>
            <w:r w:rsidR="00330AAB">
              <w:rPr>
                <w:rFonts w:ascii="Calibri" w:eastAsia="Calibri" w:hAnsi="Calibri" w:cs="Times New Roman"/>
                <w:b/>
              </w:rPr>
              <w:t xml:space="preserve"> (6)</w:t>
            </w:r>
          </w:p>
        </w:tc>
        <w:tc>
          <w:tcPr>
            <w:tcW w:w="960" w:type="dxa"/>
            <w:shd w:val="clear" w:color="auto" w:fill="auto"/>
          </w:tcPr>
          <w:p w:rsidR="00D63918" w:rsidRPr="00D63918" w:rsidRDefault="00B70B64" w:rsidP="00D63918">
            <w:pPr>
              <w:rPr>
                <w:rFonts w:ascii="Calibri" w:eastAsia="Calibri" w:hAnsi="Calibri" w:cs="Times New Roman"/>
                <w:b/>
              </w:rPr>
            </w:pPr>
            <w:r w:rsidRPr="00B70B64">
              <w:rPr>
                <w:rFonts w:ascii="Calibri" w:eastAsia="Calibri" w:hAnsi="Calibri" w:cs="Times New Roman"/>
                <w:b/>
              </w:rPr>
              <w:t>2.25</w:t>
            </w:r>
            <w:r w:rsidR="00330AAB">
              <w:rPr>
                <w:rFonts w:ascii="Calibri" w:eastAsia="Calibri" w:hAnsi="Calibri" w:cs="Times New Roman"/>
                <w:b/>
              </w:rPr>
              <w:t xml:space="preserve"> </w:t>
            </w:r>
            <w:r w:rsidR="00DD5C55">
              <w:rPr>
                <w:rFonts w:ascii="Calibri" w:eastAsia="Calibri" w:hAnsi="Calibri" w:cs="Times New Roman"/>
                <w:b/>
              </w:rPr>
              <w:t xml:space="preserve">  </w:t>
            </w:r>
            <w:r w:rsidR="00330AAB">
              <w:rPr>
                <w:rFonts w:ascii="Calibri" w:eastAsia="Calibri" w:hAnsi="Calibri" w:cs="Times New Roman"/>
                <w:b/>
              </w:rPr>
              <w:t>(2)</w:t>
            </w:r>
          </w:p>
        </w:tc>
        <w:tc>
          <w:tcPr>
            <w:tcW w:w="1025" w:type="dxa"/>
            <w:shd w:val="clear" w:color="auto" w:fill="auto"/>
          </w:tcPr>
          <w:p w:rsidR="00D63918" w:rsidRPr="00D63918" w:rsidRDefault="00B70B64" w:rsidP="00D63918">
            <w:pPr>
              <w:rPr>
                <w:rFonts w:ascii="Calibri" w:eastAsia="Calibri" w:hAnsi="Calibri" w:cs="Times New Roman"/>
                <w:b/>
              </w:rPr>
            </w:pPr>
            <w:r w:rsidRPr="00B70B64">
              <w:rPr>
                <w:rFonts w:ascii="Calibri" w:eastAsia="Calibri" w:hAnsi="Calibri" w:cs="Times New Roman"/>
                <w:b/>
              </w:rPr>
              <w:t>0.5</w:t>
            </w:r>
            <w:r w:rsidR="00DD5C55">
              <w:rPr>
                <w:rFonts w:ascii="Calibri" w:eastAsia="Calibri" w:hAnsi="Calibri" w:cs="Times New Roman"/>
                <w:b/>
              </w:rPr>
              <w:t xml:space="preserve">      (1)</w:t>
            </w:r>
          </w:p>
        </w:tc>
        <w:tc>
          <w:tcPr>
            <w:tcW w:w="851" w:type="dxa"/>
            <w:shd w:val="clear" w:color="auto" w:fill="auto"/>
          </w:tcPr>
          <w:p w:rsidR="00D63918" w:rsidRPr="00D63918" w:rsidRDefault="00B70B64" w:rsidP="00D63918">
            <w:pPr>
              <w:rPr>
                <w:rFonts w:ascii="Calibri" w:eastAsia="Calibri" w:hAnsi="Calibri" w:cs="Times New Roman"/>
                <w:b/>
              </w:rPr>
            </w:pPr>
            <w:r w:rsidRPr="00B70B64">
              <w:rPr>
                <w:rFonts w:ascii="Calibri" w:eastAsia="Calibri" w:hAnsi="Calibri" w:cs="Times New Roman"/>
                <w:b/>
              </w:rPr>
              <w:t>5</w:t>
            </w:r>
            <w:r w:rsidR="00DD5C55">
              <w:rPr>
                <w:rFonts w:ascii="Calibri" w:eastAsia="Calibri" w:hAnsi="Calibri" w:cs="Times New Roman"/>
                <w:b/>
              </w:rPr>
              <w:t xml:space="preserve">      (2)</w:t>
            </w:r>
          </w:p>
        </w:tc>
        <w:tc>
          <w:tcPr>
            <w:tcW w:w="1559" w:type="dxa"/>
            <w:shd w:val="clear" w:color="auto" w:fill="auto"/>
          </w:tcPr>
          <w:p w:rsidR="00D63918" w:rsidRPr="00D63918" w:rsidRDefault="00B70B64" w:rsidP="00D63918">
            <w:pPr>
              <w:rPr>
                <w:rFonts w:ascii="Calibri" w:eastAsia="Calibri" w:hAnsi="Calibri" w:cs="Times New Roman"/>
                <w:b/>
              </w:rPr>
            </w:pPr>
            <w:r w:rsidRPr="00B70B64">
              <w:rPr>
                <w:rFonts w:ascii="Calibri" w:eastAsia="Calibri" w:hAnsi="Calibri" w:cs="Times New Roman"/>
                <w:b/>
              </w:rPr>
              <w:t>14</w:t>
            </w:r>
            <w:r w:rsidR="00DD5C55">
              <w:rPr>
                <w:rFonts w:ascii="Calibri" w:eastAsia="Calibri" w:hAnsi="Calibri" w:cs="Times New Roman"/>
                <w:b/>
              </w:rPr>
              <w:t xml:space="preserve">                  (6)</w:t>
            </w:r>
          </w:p>
        </w:tc>
      </w:tr>
      <w:tr w:rsidR="00B70B64" w:rsidRPr="00D63918" w:rsidTr="00330AAB">
        <w:tc>
          <w:tcPr>
            <w:tcW w:w="7622" w:type="dxa"/>
            <w:gridSpan w:val="8"/>
            <w:shd w:val="clear" w:color="auto" w:fill="auto"/>
          </w:tcPr>
          <w:p w:rsidR="00B70B64" w:rsidRPr="00D63918" w:rsidRDefault="00B70B64" w:rsidP="00B70B6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Comparison with Previous Years</w:t>
            </w:r>
          </w:p>
        </w:tc>
      </w:tr>
      <w:tr w:rsidR="00B70B64" w:rsidRPr="00D63918" w:rsidTr="00330AAB">
        <w:tc>
          <w:tcPr>
            <w:tcW w:w="1046" w:type="dxa"/>
            <w:shd w:val="clear" w:color="auto" w:fill="auto"/>
          </w:tcPr>
          <w:p w:rsidR="00B70B64" w:rsidRDefault="00B70B64" w:rsidP="00D639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2013-14</w:t>
            </w:r>
          </w:p>
        </w:tc>
        <w:tc>
          <w:tcPr>
            <w:tcW w:w="731" w:type="dxa"/>
          </w:tcPr>
          <w:p w:rsidR="00B70B64" w:rsidRDefault="00B70B64" w:rsidP="00D639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64.5</w:t>
            </w:r>
          </w:p>
        </w:tc>
        <w:tc>
          <w:tcPr>
            <w:tcW w:w="721" w:type="dxa"/>
            <w:shd w:val="clear" w:color="auto" w:fill="auto"/>
          </w:tcPr>
          <w:p w:rsidR="00B70B64" w:rsidRPr="00D63918" w:rsidRDefault="00B70B64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729" w:type="dxa"/>
            <w:shd w:val="clear" w:color="auto" w:fill="auto"/>
          </w:tcPr>
          <w:p w:rsidR="00B70B64" w:rsidRPr="00D63918" w:rsidRDefault="00B70B64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B70B64" w:rsidRPr="00D63918" w:rsidRDefault="00B70B64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B70B64" w:rsidRPr="00D63918" w:rsidRDefault="00B70B64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B70B64" w:rsidRPr="00D63918" w:rsidRDefault="00B70B64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70B64" w:rsidRPr="00D63918" w:rsidRDefault="00B70B64" w:rsidP="00D63918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10</w:t>
            </w:r>
          </w:p>
        </w:tc>
      </w:tr>
      <w:tr w:rsidR="00B70B64" w:rsidRPr="00D63918" w:rsidTr="00330AAB">
        <w:tc>
          <w:tcPr>
            <w:tcW w:w="1046" w:type="dxa"/>
            <w:shd w:val="clear" w:color="auto" w:fill="auto"/>
          </w:tcPr>
          <w:p w:rsidR="00B70B64" w:rsidRDefault="00B70B64" w:rsidP="00D639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2012-13</w:t>
            </w:r>
          </w:p>
        </w:tc>
        <w:tc>
          <w:tcPr>
            <w:tcW w:w="731" w:type="dxa"/>
          </w:tcPr>
          <w:p w:rsidR="00B70B64" w:rsidRPr="00B70B64" w:rsidRDefault="00B70B64" w:rsidP="00E66736">
            <w:pPr>
              <w:pStyle w:val="NoSpacing"/>
            </w:pPr>
            <w:r w:rsidRPr="00B70B64">
              <w:t>42.75</w:t>
            </w:r>
          </w:p>
        </w:tc>
        <w:tc>
          <w:tcPr>
            <w:tcW w:w="721" w:type="dxa"/>
            <w:shd w:val="clear" w:color="auto" w:fill="auto"/>
          </w:tcPr>
          <w:p w:rsidR="00B70B64" w:rsidRPr="00B70B64" w:rsidRDefault="00B70B64" w:rsidP="00E66736">
            <w:pPr>
              <w:pStyle w:val="NoSpacing"/>
            </w:pPr>
            <w:r w:rsidRPr="00B70B64">
              <w:t>21.5</w:t>
            </w:r>
          </w:p>
        </w:tc>
        <w:tc>
          <w:tcPr>
            <w:tcW w:w="729" w:type="dxa"/>
            <w:shd w:val="clear" w:color="auto" w:fill="auto"/>
          </w:tcPr>
          <w:p w:rsidR="00B70B64" w:rsidRPr="00B70B64" w:rsidRDefault="00B70B64" w:rsidP="00E66736">
            <w:pPr>
              <w:pStyle w:val="NoSpacing"/>
            </w:pPr>
            <w:r w:rsidRPr="00B70B64">
              <w:t>14</w:t>
            </w:r>
          </w:p>
        </w:tc>
        <w:tc>
          <w:tcPr>
            <w:tcW w:w="960" w:type="dxa"/>
            <w:shd w:val="clear" w:color="auto" w:fill="auto"/>
          </w:tcPr>
          <w:p w:rsidR="00B70B64" w:rsidRPr="00B70B64" w:rsidRDefault="00B70B64" w:rsidP="00E66736">
            <w:pPr>
              <w:pStyle w:val="NoSpacing"/>
            </w:pPr>
            <w:r>
              <w:t>1</w:t>
            </w:r>
          </w:p>
        </w:tc>
        <w:tc>
          <w:tcPr>
            <w:tcW w:w="1025" w:type="dxa"/>
            <w:shd w:val="clear" w:color="auto" w:fill="auto"/>
          </w:tcPr>
          <w:p w:rsidR="00B70B64" w:rsidRPr="00B70B64" w:rsidRDefault="00B70B64" w:rsidP="00E66736">
            <w:pPr>
              <w:pStyle w:val="NoSpacing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B70B64" w:rsidRPr="00B70B64" w:rsidRDefault="00B70B64" w:rsidP="00E66736">
            <w:pPr>
              <w:pStyle w:val="NoSpacing"/>
            </w:pPr>
            <w:r w:rsidRPr="00B70B64">
              <w:t>4</w:t>
            </w:r>
          </w:p>
        </w:tc>
        <w:tc>
          <w:tcPr>
            <w:tcW w:w="1559" w:type="dxa"/>
            <w:shd w:val="clear" w:color="auto" w:fill="auto"/>
          </w:tcPr>
          <w:p w:rsidR="00B70B64" w:rsidRPr="00B70B64" w:rsidRDefault="00B70B64" w:rsidP="00E66736">
            <w:pPr>
              <w:pStyle w:val="NoSpacing"/>
            </w:pPr>
            <w:r w:rsidRPr="00B70B64">
              <w:t>33.5</w:t>
            </w:r>
          </w:p>
        </w:tc>
      </w:tr>
    </w:tbl>
    <w:p w:rsidR="00504E68" w:rsidRDefault="00504E68" w:rsidP="008E3F74">
      <w:pPr>
        <w:spacing w:after="0"/>
      </w:pPr>
    </w:p>
    <w:p w:rsidR="00E975D0" w:rsidRDefault="00504E68" w:rsidP="008E3F74">
      <w:pPr>
        <w:spacing w:after="0"/>
        <w:rPr>
          <w:b/>
        </w:rPr>
      </w:pPr>
      <w:r w:rsidRPr="00FF583B">
        <w:rPr>
          <w:b/>
        </w:rPr>
        <w:t>Training Attendance – By Agency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709"/>
        <w:gridCol w:w="992"/>
        <w:gridCol w:w="992"/>
        <w:gridCol w:w="851"/>
        <w:gridCol w:w="850"/>
        <w:gridCol w:w="709"/>
        <w:gridCol w:w="851"/>
        <w:gridCol w:w="850"/>
      </w:tblGrid>
      <w:tr w:rsidR="00DD5C55" w:rsidRPr="00E975D0" w:rsidTr="00453D88">
        <w:tc>
          <w:tcPr>
            <w:tcW w:w="959" w:type="dxa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YEAR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850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NHCT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NTW</w:t>
            </w:r>
          </w:p>
        </w:tc>
        <w:tc>
          <w:tcPr>
            <w:tcW w:w="992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Police</w:t>
            </w:r>
          </w:p>
        </w:tc>
        <w:tc>
          <w:tcPr>
            <w:tcW w:w="992" w:type="dxa"/>
            <w:shd w:val="clear" w:color="auto" w:fill="auto"/>
          </w:tcPr>
          <w:p w:rsidR="00DD5C55" w:rsidRPr="00453D88" w:rsidRDefault="00DD5C55" w:rsidP="00E975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3D88">
              <w:rPr>
                <w:rFonts w:ascii="Calibri" w:eastAsia="Calibri" w:hAnsi="Calibri" w:cs="Times New Roman"/>
                <w:sz w:val="18"/>
                <w:szCs w:val="18"/>
              </w:rPr>
              <w:t>Probation</w:t>
            </w:r>
          </w:p>
        </w:tc>
        <w:tc>
          <w:tcPr>
            <w:tcW w:w="851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VCS</w:t>
            </w:r>
          </w:p>
        </w:tc>
        <w:tc>
          <w:tcPr>
            <w:tcW w:w="850" w:type="dxa"/>
            <w:shd w:val="clear" w:color="auto" w:fill="auto"/>
          </w:tcPr>
          <w:p w:rsidR="00DD5C55" w:rsidRPr="00E975D0" w:rsidRDefault="00DD5C55" w:rsidP="00E6673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75D0">
              <w:rPr>
                <w:rFonts w:ascii="Calibri" w:eastAsia="Calibri" w:hAnsi="Calibri" w:cs="Times New Roman"/>
                <w:sz w:val="20"/>
                <w:szCs w:val="20"/>
              </w:rPr>
              <w:t>Schools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66736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GP</w:t>
            </w:r>
          </w:p>
        </w:tc>
        <w:tc>
          <w:tcPr>
            <w:tcW w:w="851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850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E975D0">
              <w:rPr>
                <w:rFonts w:ascii="Calibri" w:eastAsia="Calibri" w:hAnsi="Calibri" w:cs="Times New Roman"/>
                <w:b/>
              </w:rPr>
              <w:t>TOTAL</w:t>
            </w:r>
          </w:p>
        </w:tc>
      </w:tr>
      <w:tr w:rsidR="00DD5C55" w:rsidRPr="00E975D0" w:rsidTr="00453D88">
        <w:tc>
          <w:tcPr>
            <w:tcW w:w="959" w:type="dxa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2014-15</w:t>
            </w:r>
          </w:p>
        </w:tc>
        <w:tc>
          <w:tcPr>
            <w:tcW w:w="709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785</w:t>
            </w:r>
          </w:p>
        </w:tc>
        <w:tc>
          <w:tcPr>
            <w:tcW w:w="850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213</w:t>
            </w:r>
          </w:p>
        </w:tc>
        <w:tc>
          <w:tcPr>
            <w:tcW w:w="709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153</w:t>
            </w:r>
          </w:p>
        </w:tc>
        <w:tc>
          <w:tcPr>
            <w:tcW w:w="850" w:type="dxa"/>
            <w:shd w:val="clear" w:color="auto" w:fill="auto"/>
          </w:tcPr>
          <w:p w:rsidR="00DD5C55" w:rsidRPr="00D63918" w:rsidRDefault="00DD5C55" w:rsidP="00E66736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179</w:t>
            </w:r>
          </w:p>
        </w:tc>
        <w:tc>
          <w:tcPr>
            <w:tcW w:w="709" w:type="dxa"/>
            <w:shd w:val="clear" w:color="auto" w:fill="auto"/>
          </w:tcPr>
          <w:p w:rsidR="00DD5C55" w:rsidRPr="00D63918" w:rsidRDefault="00DD5C55" w:rsidP="00E66736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  <w:b/>
              </w:rPr>
            </w:pPr>
            <w:r w:rsidRPr="00D63918">
              <w:rPr>
                <w:rFonts w:ascii="Calibri" w:eastAsia="Calibri" w:hAnsi="Calibri" w:cs="Times New Roman"/>
                <w:b/>
              </w:rPr>
              <w:t>1,547</w:t>
            </w:r>
          </w:p>
        </w:tc>
      </w:tr>
      <w:tr w:rsidR="00DD5C55" w:rsidRPr="00E975D0" w:rsidTr="00E66736">
        <w:tc>
          <w:tcPr>
            <w:tcW w:w="9322" w:type="dxa"/>
            <w:gridSpan w:val="11"/>
          </w:tcPr>
          <w:p w:rsidR="00DD5C55" w:rsidRPr="00D63918" w:rsidRDefault="00DD5C55" w:rsidP="00D6391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Comparison with Previous Years</w:t>
            </w:r>
          </w:p>
        </w:tc>
      </w:tr>
      <w:tr w:rsidR="00DD5C55" w:rsidRPr="00E975D0" w:rsidTr="00453D88">
        <w:tc>
          <w:tcPr>
            <w:tcW w:w="959" w:type="dxa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2013-14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616</w:t>
            </w:r>
          </w:p>
        </w:tc>
        <w:tc>
          <w:tcPr>
            <w:tcW w:w="850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 w:rsidRPr="00E975D0">
              <w:rPr>
                <w:rFonts w:ascii="Calibri" w:eastAsia="Calibri" w:hAnsi="Calibri" w:cs="Times New Roman"/>
              </w:rPr>
              <w:t>1</w:t>
            </w:r>
            <w:r w:rsidRPr="00D63918">
              <w:rPr>
                <w:rFonts w:ascii="Calibri" w:eastAsia="Calibri" w:hAnsi="Calibri" w:cs="Times New Roman"/>
              </w:rPr>
              <w:t>,</w:t>
            </w:r>
            <w:r w:rsidRPr="00E975D0">
              <w:rPr>
                <w:rFonts w:ascii="Calibri" w:eastAsia="Calibri" w:hAnsi="Calibri" w:cs="Times New Roman"/>
              </w:rPr>
              <w:t>424</w:t>
            </w:r>
          </w:p>
        </w:tc>
      </w:tr>
      <w:tr w:rsidR="00DD5C55" w:rsidRPr="00E975D0" w:rsidTr="00453D88">
        <w:tc>
          <w:tcPr>
            <w:tcW w:w="959" w:type="dxa"/>
          </w:tcPr>
          <w:p w:rsidR="00DD5C55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2012-13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732</w:t>
            </w:r>
          </w:p>
        </w:tc>
        <w:tc>
          <w:tcPr>
            <w:tcW w:w="850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317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850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DD5C55" w:rsidRPr="00E975D0" w:rsidRDefault="00DD5C55" w:rsidP="00E97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DD5C55" w:rsidRPr="00D63918" w:rsidRDefault="00DD5C55" w:rsidP="00E975D0">
            <w:pPr>
              <w:rPr>
                <w:rFonts w:ascii="Calibri" w:eastAsia="Calibri" w:hAnsi="Calibri" w:cs="Times New Roman"/>
              </w:rPr>
            </w:pPr>
            <w:r w:rsidRPr="00D63918">
              <w:rPr>
                <w:rFonts w:ascii="Calibri" w:eastAsia="Calibri" w:hAnsi="Calibri" w:cs="Times New Roman"/>
              </w:rPr>
              <w:t>1,547</w:t>
            </w:r>
          </w:p>
        </w:tc>
      </w:tr>
    </w:tbl>
    <w:p w:rsidR="00ED0599" w:rsidRDefault="00ED0599" w:rsidP="008E3F74">
      <w:pPr>
        <w:spacing w:after="0"/>
      </w:pPr>
    </w:p>
    <w:p w:rsidR="00374988" w:rsidRDefault="00374988" w:rsidP="008E3F74">
      <w:pPr>
        <w:spacing w:after="0"/>
        <w:rPr>
          <w:i/>
        </w:rPr>
      </w:pPr>
      <w:r>
        <w:rPr>
          <w:i/>
        </w:rPr>
        <w:t xml:space="preserve">NB </w:t>
      </w:r>
    </w:p>
    <w:p w:rsidR="00405A34" w:rsidRDefault="00374988" w:rsidP="008E3F74">
      <w:pPr>
        <w:spacing w:after="0"/>
        <w:rPr>
          <w:i/>
        </w:rPr>
      </w:pPr>
      <w:r>
        <w:rPr>
          <w:i/>
        </w:rPr>
        <w:t xml:space="preserve">The NSCB training strategy is based on a contribution of 1 full day of trainer time per 10 free delegate places. Schools, GPs, private providers and national VCS organisations pay pro-rata for all places on the scheduled training programme – charged at £100 per day per delegate. </w:t>
      </w:r>
      <w:r w:rsidR="00405A34">
        <w:rPr>
          <w:i/>
        </w:rPr>
        <w:t>‘Additional events’ (</w:t>
      </w:r>
      <w:proofErr w:type="spellStart"/>
      <w:r w:rsidR="00405A34">
        <w:rPr>
          <w:i/>
        </w:rPr>
        <w:t>eg</w:t>
      </w:r>
      <w:proofErr w:type="spellEnd"/>
      <w:r w:rsidR="00405A34">
        <w:rPr>
          <w:i/>
        </w:rPr>
        <w:t xml:space="preserve"> annual conference, DBS Briefings, CDOP events) and the Trainers’ Quality Assurance Forum were exempt from</w:t>
      </w:r>
      <w:r>
        <w:rPr>
          <w:i/>
        </w:rPr>
        <w:t xml:space="preserve"> </w:t>
      </w:r>
      <w:r w:rsidR="00405A34">
        <w:rPr>
          <w:i/>
        </w:rPr>
        <w:t xml:space="preserve">the </w:t>
      </w:r>
      <w:r>
        <w:rPr>
          <w:i/>
        </w:rPr>
        <w:t>chargi</w:t>
      </w:r>
      <w:r w:rsidR="00405A34">
        <w:rPr>
          <w:i/>
        </w:rPr>
        <w:t>ng policy.</w:t>
      </w:r>
    </w:p>
    <w:p w:rsidR="00405A34" w:rsidRPr="00374988" w:rsidRDefault="00405A34" w:rsidP="008E3F74">
      <w:pPr>
        <w:spacing w:after="0"/>
        <w:rPr>
          <w:i/>
        </w:rPr>
      </w:pPr>
    </w:p>
    <w:p w:rsidR="007E038F" w:rsidRPr="003430B6" w:rsidRDefault="0064791E" w:rsidP="008E3F74">
      <w:pPr>
        <w:spacing w:after="0"/>
        <w:rPr>
          <w:b/>
        </w:rPr>
      </w:pPr>
      <w:r>
        <w:rPr>
          <w:b/>
        </w:rPr>
        <w:t>Training Information</w:t>
      </w:r>
      <w:r w:rsidR="003430B6" w:rsidRPr="003430B6">
        <w:rPr>
          <w:b/>
        </w:rPr>
        <w:t xml:space="preserve"> – By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843"/>
        <w:gridCol w:w="1054"/>
      </w:tblGrid>
      <w:tr w:rsidR="00F718C0" w:rsidRPr="003430B6" w:rsidTr="007F2143">
        <w:tc>
          <w:tcPr>
            <w:tcW w:w="4077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430B6">
              <w:rPr>
                <w:rFonts w:ascii="Calibri" w:eastAsia="Calibri" w:hAnsi="Calibri" w:cs="Times New Roman"/>
                <w:b/>
              </w:rPr>
              <w:t>Title/Topic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7F2143" w:rsidP="003430B6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:rsidR="003430B6" w:rsidRPr="001B54A0" w:rsidRDefault="003430B6" w:rsidP="003430B6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B54A0">
              <w:rPr>
                <w:rFonts w:ascii="Calibri" w:eastAsia="Calibri" w:hAnsi="Calibri" w:cs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1843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430B6">
              <w:rPr>
                <w:rFonts w:ascii="Calibri" w:eastAsia="Calibri" w:hAnsi="Calibri" w:cs="Times New Roman"/>
                <w:b/>
              </w:rPr>
              <w:t>Trainers’ Agency</w:t>
            </w:r>
          </w:p>
        </w:tc>
        <w:tc>
          <w:tcPr>
            <w:tcW w:w="1054" w:type="dxa"/>
            <w:shd w:val="clear" w:color="auto" w:fill="auto"/>
          </w:tcPr>
          <w:p w:rsidR="003430B6" w:rsidRPr="001B54A0" w:rsidRDefault="003430B6" w:rsidP="003430B6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B54A0">
              <w:rPr>
                <w:rFonts w:ascii="Calibri" w:eastAsia="Calibri" w:hAnsi="Calibri" w:cs="Times New Roman"/>
                <w:b/>
                <w:sz w:val="20"/>
                <w:szCs w:val="20"/>
              </w:rPr>
              <w:t>Delegates</w:t>
            </w:r>
          </w:p>
        </w:tc>
      </w:tr>
      <w:tr w:rsidR="007E038F" w:rsidRPr="003430B6" w:rsidTr="00E66736">
        <w:tc>
          <w:tcPr>
            <w:tcW w:w="9242" w:type="dxa"/>
            <w:gridSpan w:val="5"/>
            <w:shd w:val="clear" w:color="auto" w:fill="auto"/>
          </w:tcPr>
          <w:p w:rsidR="007E038F" w:rsidRPr="007E038F" w:rsidRDefault="00191FAA" w:rsidP="007F2143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MAIN TRAINING PROGRAMME</w:t>
            </w:r>
          </w:p>
        </w:tc>
      </w:tr>
      <w:tr w:rsidR="00F718C0" w:rsidRPr="003430B6" w:rsidTr="007F2143">
        <w:tc>
          <w:tcPr>
            <w:tcW w:w="4077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Neglect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0D223D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NCC/NHCT</w:t>
            </w:r>
          </w:p>
        </w:tc>
        <w:tc>
          <w:tcPr>
            <w:tcW w:w="1054" w:type="dxa"/>
            <w:shd w:val="clear" w:color="auto" w:fill="auto"/>
          </w:tcPr>
          <w:p w:rsidR="003430B6" w:rsidRPr="00142623" w:rsidRDefault="00B440AE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68</w:t>
            </w:r>
          </w:p>
        </w:tc>
      </w:tr>
      <w:tr w:rsidR="00F718C0" w:rsidRPr="003430B6" w:rsidTr="007F2143">
        <w:tc>
          <w:tcPr>
            <w:tcW w:w="4077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E-Safety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7F2143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0D223D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3430B6" w:rsidRPr="00142623" w:rsidRDefault="00142623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E04330">
              <w:rPr>
                <w:rFonts w:ascii="Calibri" w:eastAsia="Calibri" w:hAnsi="Calibri" w:cs="Times New Roman"/>
              </w:rPr>
              <w:t>103</w:t>
            </w:r>
            <w:r w:rsidR="00E04A89" w:rsidRPr="00E0433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718C0" w:rsidRPr="003430B6" w:rsidTr="007F2143">
        <w:tc>
          <w:tcPr>
            <w:tcW w:w="4077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Emotional Abuse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7F2143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0D223D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NCC/NTW</w:t>
            </w:r>
          </w:p>
        </w:tc>
        <w:tc>
          <w:tcPr>
            <w:tcW w:w="1054" w:type="dxa"/>
            <w:shd w:val="clear" w:color="auto" w:fill="auto"/>
          </w:tcPr>
          <w:p w:rsidR="003430B6" w:rsidRPr="00142623" w:rsidRDefault="007F4912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E04330">
              <w:rPr>
                <w:rFonts w:ascii="Calibri" w:eastAsia="Calibri" w:hAnsi="Calibri" w:cs="Times New Roman"/>
              </w:rPr>
              <w:t>44</w:t>
            </w:r>
          </w:p>
        </w:tc>
      </w:tr>
      <w:tr w:rsidR="00F718C0" w:rsidRPr="003430B6" w:rsidTr="007F2143">
        <w:tc>
          <w:tcPr>
            <w:tcW w:w="4077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Section 47 Enquiries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0D223D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NCC/NHCT/Police</w:t>
            </w:r>
          </w:p>
        </w:tc>
        <w:tc>
          <w:tcPr>
            <w:tcW w:w="1054" w:type="dxa"/>
            <w:shd w:val="clear" w:color="auto" w:fill="auto"/>
          </w:tcPr>
          <w:p w:rsidR="003430B6" w:rsidRPr="00142623" w:rsidRDefault="007F4912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3</w:t>
            </w:r>
            <w:r w:rsidR="003430B6" w:rsidRPr="00304247">
              <w:rPr>
                <w:rFonts w:ascii="Calibri" w:eastAsia="Calibri" w:hAnsi="Calibri" w:cs="Times New Roman"/>
              </w:rPr>
              <w:t xml:space="preserve">4 </w:t>
            </w:r>
          </w:p>
        </w:tc>
      </w:tr>
      <w:tr w:rsidR="00F718C0" w:rsidRPr="003430B6" w:rsidTr="007F2143">
        <w:tc>
          <w:tcPr>
            <w:tcW w:w="4077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Multi Agency Child Protection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3430B6" w:rsidRPr="003430B6" w:rsidRDefault="000D223D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430B6" w:rsidRPr="003430B6" w:rsidRDefault="003430B6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NCC/NHCT</w:t>
            </w:r>
          </w:p>
        </w:tc>
        <w:tc>
          <w:tcPr>
            <w:tcW w:w="1054" w:type="dxa"/>
            <w:shd w:val="clear" w:color="auto" w:fill="auto"/>
          </w:tcPr>
          <w:p w:rsidR="003430B6" w:rsidRPr="00142623" w:rsidRDefault="007F4912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157</w:t>
            </w:r>
          </w:p>
        </w:tc>
      </w:tr>
      <w:tr w:rsidR="00405A34" w:rsidRPr="001B54A0" w:rsidTr="00E66736">
        <w:tc>
          <w:tcPr>
            <w:tcW w:w="4077" w:type="dxa"/>
            <w:shd w:val="clear" w:color="auto" w:fill="auto"/>
          </w:tcPr>
          <w:p w:rsidR="00405A34" w:rsidRPr="003430B6" w:rsidRDefault="00405A34" w:rsidP="00E66736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430B6">
              <w:rPr>
                <w:rFonts w:ascii="Calibri" w:eastAsia="Calibri" w:hAnsi="Calibri" w:cs="Times New Roman"/>
                <w:b/>
              </w:rPr>
              <w:lastRenderedPageBreak/>
              <w:t>Title/Topic</w:t>
            </w:r>
          </w:p>
        </w:tc>
        <w:tc>
          <w:tcPr>
            <w:tcW w:w="1134" w:type="dxa"/>
            <w:shd w:val="clear" w:color="auto" w:fill="auto"/>
          </w:tcPr>
          <w:p w:rsidR="00405A34" w:rsidRPr="003430B6" w:rsidRDefault="00405A34" w:rsidP="00E66736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:rsidR="00405A34" w:rsidRPr="001B54A0" w:rsidRDefault="00405A34" w:rsidP="00E66736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B54A0">
              <w:rPr>
                <w:rFonts w:ascii="Calibri" w:eastAsia="Calibri" w:hAnsi="Calibri" w:cs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1843" w:type="dxa"/>
            <w:shd w:val="clear" w:color="auto" w:fill="auto"/>
          </w:tcPr>
          <w:p w:rsidR="00405A34" w:rsidRPr="003430B6" w:rsidRDefault="00405A34" w:rsidP="00E66736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430B6">
              <w:rPr>
                <w:rFonts w:ascii="Calibri" w:eastAsia="Calibri" w:hAnsi="Calibri" w:cs="Times New Roman"/>
                <w:b/>
              </w:rPr>
              <w:t>Trainers’ Agency</w:t>
            </w:r>
          </w:p>
        </w:tc>
        <w:tc>
          <w:tcPr>
            <w:tcW w:w="1054" w:type="dxa"/>
            <w:shd w:val="clear" w:color="auto" w:fill="auto"/>
          </w:tcPr>
          <w:p w:rsidR="00405A34" w:rsidRPr="001B54A0" w:rsidRDefault="00405A34" w:rsidP="00E66736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Delegates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Child </w:t>
            </w:r>
            <w:r w:rsidRPr="003430B6">
              <w:rPr>
                <w:rFonts w:ascii="Calibri" w:eastAsia="Calibri" w:hAnsi="Calibri" w:cs="Times New Roman"/>
              </w:rPr>
              <w:t>Sexual Exploitation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7F2143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NCC/NHCT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E6673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82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Self Harm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7F2143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54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Impact of Domestic  Abuse</w:t>
            </w:r>
            <w:r>
              <w:rPr>
                <w:rFonts w:ascii="Calibri" w:eastAsia="Calibri" w:hAnsi="Calibri" w:cs="Times New Roman"/>
              </w:rPr>
              <w:t xml:space="preserve"> on Children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7F2143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50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Introduction to Attachment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7F2143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70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Signs of Safety Briefing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34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1B54A0" w:rsidRDefault="007E038F" w:rsidP="003430B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4A0">
              <w:rPr>
                <w:rFonts w:ascii="Calibri" w:eastAsia="Calibri" w:hAnsi="Calibri" w:cs="Times New Roman"/>
                <w:sz w:val="20"/>
                <w:szCs w:val="20"/>
              </w:rPr>
              <w:t>Awareness of Safeguarding Children &amp; Adults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VCS/NHCT</w:t>
            </w:r>
          </w:p>
        </w:tc>
        <w:tc>
          <w:tcPr>
            <w:tcW w:w="1054" w:type="dxa"/>
            <w:shd w:val="clear" w:color="auto" w:fill="auto"/>
          </w:tcPr>
          <w:p w:rsidR="007E038F" w:rsidRPr="00304247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Introduction to Safeguarding in VCS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VCS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55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Role of DP in VCS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VCS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33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630061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630061">
              <w:rPr>
                <w:rFonts w:ascii="Calibri" w:eastAsia="Calibri" w:hAnsi="Calibri" w:cs="Times New Roman"/>
              </w:rPr>
              <w:t>Domestic Abuse Awareness</w:t>
            </w:r>
          </w:p>
        </w:tc>
        <w:tc>
          <w:tcPr>
            <w:tcW w:w="1134" w:type="dxa"/>
            <w:shd w:val="clear" w:color="auto" w:fill="auto"/>
          </w:tcPr>
          <w:p w:rsidR="007E038F" w:rsidRPr="00630061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630061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Pr="00630061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63006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630061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630061">
              <w:rPr>
                <w:rFonts w:ascii="Calibri" w:eastAsia="Calibri" w:hAnsi="Calibri" w:cs="Times New Roman"/>
              </w:rPr>
              <w:t>NCC/NHCT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  <w:highlight w:val="yellow"/>
              </w:rPr>
            </w:pPr>
            <w:r w:rsidRPr="00304247">
              <w:rPr>
                <w:rFonts w:ascii="Calibri" w:eastAsia="Calibri" w:hAnsi="Calibri" w:cs="Times New Roman"/>
              </w:rPr>
              <w:t>6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MARAC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NCC/NHCT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27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Working with Uncooperative and Resistant Parents (Practitioners)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89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Working with Uncooperative and Resistant Parents (Managers)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E04330">
              <w:rPr>
                <w:rFonts w:ascii="Calibri" w:eastAsia="Calibri" w:hAnsi="Calibri" w:cs="Times New Roman"/>
              </w:rPr>
              <w:t>11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1B54A0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1B54A0">
              <w:rPr>
                <w:rFonts w:ascii="Calibri" w:eastAsia="Calibri" w:hAnsi="Calibri" w:cs="Times New Roman"/>
              </w:rPr>
              <w:t>Working with Resistant Parents: Embedding Session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12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Impact of Parental Mental Health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NTW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46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Adult Perpetrators of Sexual Abuse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F2143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Probation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36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Sexual Abuse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NCC/NHCT/NTW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31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Children who Display Sexually Harmful Behaviour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22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Safeguarding Children from Extremism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F2143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Police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38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Fabricated and Induced Illness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F2143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NCC/NHCT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304247">
              <w:rPr>
                <w:rFonts w:ascii="Calibri" w:eastAsia="Calibri" w:hAnsi="Calibri" w:cs="Times New Roman"/>
              </w:rPr>
              <w:t>18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Learning Lessons from SCRs</w:t>
            </w:r>
          </w:p>
        </w:tc>
        <w:tc>
          <w:tcPr>
            <w:tcW w:w="1134" w:type="dxa"/>
            <w:shd w:val="clear" w:color="auto" w:fill="auto"/>
          </w:tcPr>
          <w:p w:rsidR="007E038F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E6673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F55F25">
              <w:rPr>
                <w:rFonts w:ascii="Calibri" w:eastAsia="Calibri" w:hAnsi="Calibri" w:cs="Times New Roman"/>
              </w:rPr>
              <w:t>21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Decision Making in CP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F2143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F55F25">
              <w:rPr>
                <w:rFonts w:ascii="Calibri" w:eastAsia="Calibri" w:hAnsi="Calibri" w:cs="Times New Roman"/>
              </w:rPr>
              <w:t>42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Signs of Safety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2 days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1B54A0">
              <w:rPr>
                <w:rFonts w:ascii="Calibri" w:eastAsia="Calibri" w:hAnsi="Calibri" w:cs="Times New Roman"/>
              </w:rPr>
              <w:t>32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Safeguarding Disabled Children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E6673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F55F25">
              <w:rPr>
                <w:rFonts w:ascii="Calibri" w:eastAsia="Calibri" w:hAnsi="Calibri" w:cs="Times New Roman"/>
              </w:rPr>
              <w:t>19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Communicating with Disabled Children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E6673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F55F25">
              <w:rPr>
                <w:rFonts w:ascii="Calibri" w:eastAsia="Calibri" w:hAnsi="Calibri" w:cs="Times New Roman"/>
              </w:rPr>
              <w:t>10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Observing Parent/Infant Interaction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2 days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NTW/NCC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F55F25">
              <w:rPr>
                <w:rFonts w:ascii="Calibri" w:eastAsia="Calibri" w:hAnsi="Calibri" w:cs="Times New Roman"/>
              </w:rPr>
              <w:t>35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Working with Impact of Early Adversity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days</w:t>
            </w:r>
          </w:p>
        </w:tc>
        <w:tc>
          <w:tcPr>
            <w:tcW w:w="1134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NCC/NTW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F55F25">
              <w:rPr>
                <w:rFonts w:ascii="Calibri" w:eastAsia="Calibri" w:hAnsi="Calibri" w:cs="Times New Roman"/>
              </w:rPr>
              <w:t>12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Training for Trainers in Safeguarding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QA Trainer Development Forum</w:t>
            </w:r>
          </w:p>
        </w:tc>
        <w:tc>
          <w:tcPr>
            <w:tcW w:w="1134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NCC</w:t>
            </w:r>
          </w:p>
        </w:tc>
        <w:tc>
          <w:tcPr>
            <w:tcW w:w="1054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</w:tr>
      <w:tr w:rsidR="007E038F" w:rsidRPr="003430B6" w:rsidTr="00E66736">
        <w:tc>
          <w:tcPr>
            <w:tcW w:w="9242" w:type="dxa"/>
            <w:gridSpan w:val="5"/>
            <w:shd w:val="clear" w:color="auto" w:fill="auto"/>
          </w:tcPr>
          <w:p w:rsidR="007E038F" w:rsidRPr="007E038F" w:rsidRDefault="007E038F" w:rsidP="007F2143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ADDITIONAL</w:t>
            </w:r>
            <w:r w:rsidRPr="007E038F">
              <w:rPr>
                <w:rFonts w:ascii="Calibri" w:eastAsia="Calibri" w:hAnsi="Calibri" w:cs="Times New Roman"/>
                <w:b/>
              </w:rPr>
              <w:t xml:space="preserve"> EVENTS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 xml:space="preserve">Domestic Abuse Awareness </w:t>
            </w:r>
            <w:r>
              <w:rPr>
                <w:rFonts w:ascii="Calibri" w:eastAsia="Calibri" w:hAnsi="Calibri" w:cs="Times New Roman"/>
              </w:rPr>
              <w:t>-</w:t>
            </w:r>
          </w:p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Training for Trainers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NCC/NHCT/VCS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142623">
              <w:rPr>
                <w:rFonts w:ascii="Calibri" w:eastAsia="Calibri" w:hAnsi="Calibri" w:cs="Times New Roman"/>
              </w:rPr>
              <w:t>8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DBS Briefing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F2143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E04330">
              <w:rPr>
                <w:rFonts w:ascii="Calibri" w:eastAsia="Calibri" w:hAnsi="Calibri" w:cs="Times New Roman"/>
              </w:rPr>
              <w:t>49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Child Death Overview Process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F2143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NHCT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F55F25">
              <w:rPr>
                <w:rFonts w:ascii="Calibri" w:eastAsia="Calibri" w:hAnsi="Calibri" w:cs="Times New Roman"/>
              </w:rPr>
              <w:t>30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 xml:space="preserve">FII </w:t>
            </w:r>
            <w:r w:rsidR="00DC77E0">
              <w:rPr>
                <w:rFonts w:ascii="Calibri" w:eastAsia="Calibri" w:hAnsi="Calibri" w:cs="Times New Roman"/>
              </w:rPr>
              <w:t xml:space="preserve">Training </w:t>
            </w:r>
            <w:r w:rsidRPr="003430B6">
              <w:rPr>
                <w:rFonts w:ascii="Calibri" w:eastAsia="Calibri" w:hAnsi="Calibri" w:cs="Times New Roman"/>
              </w:rPr>
              <w:t>for Managers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F2143" w:rsidP="00E6673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0.5 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Pr="003430B6" w:rsidRDefault="007E038F" w:rsidP="00E66736">
            <w:pPr>
              <w:spacing w:after="0"/>
              <w:rPr>
                <w:rFonts w:ascii="Calibri" w:eastAsia="Calibri" w:hAnsi="Calibri" w:cs="Times New Roman"/>
              </w:rPr>
            </w:pPr>
            <w:r w:rsidRPr="003430B6">
              <w:rPr>
                <w:rFonts w:ascii="Calibri" w:eastAsia="Calibri" w:hAnsi="Calibri" w:cs="Times New Roman"/>
              </w:rPr>
              <w:t>NHCT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E6673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F55F25">
              <w:rPr>
                <w:rFonts w:ascii="Calibri" w:eastAsia="Calibri" w:hAnsi="Calibri" w:cs="Times New Roman"/>
              </w:rPr>
              <w:t>13</w:t>
            </w:r>
          </w:p>
        </w:tc>
      </w:tr>
      <w:tr w:rsidR="007E038F" w:rsidRPr="003430B6" w:rsidTr="007F2143">
        <w:tc>
          <w:tcPr>
            <w:tcW w:w="4077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NSCB Conference: Drug and Alcohol Misuse: Impact on Families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day</w:t>
            </w:r>
          </w:p>
        </w:tc>
        <w:tc>
          <w:tcPr>
            <w:tcW w:w="1134" w:type="dxa"/>
            <w:shd w:val="clear" w:color="auto" w:fill="auto"/>
          </w:tcPr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038F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NCC/NHCT/NTW</w:t>
            </w:r>
          </w:p>
          <w:p w:rsidR="007E038F" w:rsidRPr="003430B6" w:rsidRDefault="007E038F" w:rsidP="003430B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&amp; Commissioned</w:t>
            </w:r>
          </w:p>
        </w:tc>
        <w:tc>
          <w:tcPr>
            <w:tcW w:w="1054" w:type="dxa"/>
            <w:shd w:val="clear" w:color="auto" w:fill="auto"/>
          </w:tcPr>
          <w:p w:rsidR="007E038F" w:rsidRPr="00142623" w:rsidRDefault="007E038F" w:rsidP="003430B6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1B54A0">
              <w:rPr>
                <w:rFonts w:ascii="Calibri" w:eastAsia="Calibri" w:hAnsi="Calibri" w:cs="Times New Roman"/>
              </w:rPr>
              <w:t>118</w:t>
            </w:r>
          </w:p>
        </w:tc>
      </w:tr>
    </w:tbl>
    <w:p w:rsidR="003430B6" w:rsidRDefault="003430B6" w:rsidP="008E3F74">
      <w:pPr>
        <w:spacing w:after="0"/>
      </w:pPr>
    </w:p>
    <w:p w:rsidR="007E038F" w:rsidRDefault="007F2143" w:rsidP="008E3F74">
      <w:pPr>
        <w:spacing w:after="0"/>
        <w:rPr>
          <w:b/>
        </w:rPr>
      </w:pPr>
      <w:r>
        <w:rPr>
          <w:b/>
        </w:rPr>
        <w:t>Income and Expenditure</w:t>
      </w:r>
    </w:p>
    <w:p w:rsidR="007F2143" w:rsidRPr="00504E68" w:rsidRDefault="007F2143" w:rsidP="007F2143">
      <w:pPr>
        <w:spacing w:after="0"/>
      </w:pPr>
      <w:r w:rsidRPr="00504E68">
        <w:t xml:space="preserve">Total cost of training </w:t>
      </w:r>
      <w:r w:rsidR="00E66736">
        <w:t xml:space="preserve">multi-agency </w:t>
      </w:r>
      <w:r w:rsidRPr="00504E68">
        <w:t>programme</w:t>
      </w:r>
      <w:r>
        <w:t xml:space="preserve"> (venues and commissioned trainers)</w:t>
      </w:r>
      <w:r w:rsidR="00326435">
        <w:t>: £22,177</w:t>
      </w:r>
    </w:p>
    <w:p w:rsidR="007F2143" w:rsidRDefault="007F2143" w:rsidP="007F2143">
      <w:pPr>
        <w:spacing w:after="0"/>
      </w:pPr>
      <w:r w:rsidRPr="00504E68">
        <w:t>Total income generated</w:t>
      </w:r>
      <w:r>
        <w:t xml:space="preserve"> (implementation of charging policy)</w:t>
      </w:r>
      <w:r w:rsidRPr="00504E68">
        <w:t>: £18,000</w:t>
      </w:r>
    </w:p>
    <w:p w:rsidR="007E038F" w:rsidRDefault="007E038F" w:rsidP="008E3F74">
      <w:pPr>
        <w:spacing w:after="0"/>
        <w:rPr>
          <w:b/>
        </w:rPr>
      </w:pPr>
    </w:p>
    <w:p w:rsidR="00877727" w:rsidRPr="00326435" w:rsidRDefault="009B76CC" w:rsidP="008E3F74">
      <w:pPr>
        <w:spacing w:after="0"/>
        <w:rPr>
          <w:b/>
        </w:rPr>
      </w:pPr>
      <w:r w:rsidRPr="009B76CC">
        <w:rPr>
          <w:b/>
        </w:rPr>
        <w:lastRenderedPageBreak/>
        <w:t xml:space="preserve">Additional Multi-Agency Learning Events to Support </w:t>
      </w:r>
      <w:proofErr w:type="gramStart"/>
      <w:r w:rsidRPr="009B76CC">
        <w:rPr>
          <w:b/>
        </w:rPr>
        <w:t>NSCB</w:t>
      </w:r>
      <w:r w:rsidR="00DC77E0">
        <w:rPr>
          <w:b/>
        </w:rPr>
        <w:t xml:space="preserve"> </w:t>
      </w:r>
      <w:r w:rsidR="00326435">
        <w:rPr>
          <w:b/>
        </w:rPr>
        <w:t xml:space="preserve"> </w:t>
      </w:r>
      <w:r w:rsidR="00DC77E0" w:rsidRPr="00DC77E0">
        <w:rPr>
          <w:b/>
          <w:i/>
        </w:rPr>
        <w:t>(</w:t>
      </w:r>
      <w:proofErr w:type="gramEnd"/>
      <w:r w:rsidR="00DC77E0" w:rsidRPr="00DC77E0">
        <w:rPr>
          <w:b/>
          <w:i/>
        </w:rPr>
        <w:t>Not included in statistics above)</w:t>
      </w:r>
    </w:p>
    <w:p w:rsidR="009B76CC" w:rsidRDefault="00877727" w:rsidP="008E3F74">
      <w:pPr>
        <w:spacing w:after="0"/>
        <w:rPr>
          <w:b/>
        </w:rPr>
      </w:pPr>
      <w:r>
        <w:t>Early Help Implementation</w:t>
      </w:r>
      <w:r w:rsidR="009B76CC" w:rsidRPr="009B76CC">
        <w:rPr>
          <w:b/>
        </w:rPr>
        <w:t xml:space="preserve"> </w:t>
      </w:r>
    </w:p>
    <w:p w:rsidR="009B76CC" w:rsidRDefault="009B76CC" w:rsidP="009B76CC">
      <w:pPr>
        <w:pStyle w:val="ListParagraph"/>
        <w:numPr>
          <w:ilvl w:val="0"/>
          <w:numId w:val="2"/>
        </w:numPr>
        <w:spacing w:after="0"/>
      </w:pPr>
      <w:r>
        <w:t>1 Supporting Families Managers Event</w:t>
      </w:r>
      <w:r w:rsidR="00877727">
        <w:t xml:space="preserve"> (40 delegates)</w:t>
      </w:r>
    </w:p>
    <w:p w:rsidR="009B76CC" w:rsidRDefault="009B76CC" w:rsidP="009B76CC">
      <w:pPr>
        <w:pStyle w:val="ListParagraph"/>
        <w:numPr>
          <w:ilvl w:val="0"/>
          <w:numId w:val="2"/>
        </w:numPr>
        <w:spacing w:after="0"/>
      </w:pPr>
      <w:r>
        <w:t>4 Supporting Families Practitioners Events</w:t>
      </w:r>
      <w:r w:rsidR="00877727">
        <w:t xml:space="preserve"> (130 delegates)</w:t>
      </w:r>
    </w:p>
    <w:p w:rsidR="009B76CC" w:rsidRDefault="00877727" w:rsidP="009B76CC">
      <w:pPr>
        <w:pStyle w:val="ListParagraph"/>
        <w:numPr>
          <w:ilvl w:val="0"/>
          <w:numId w:val="2"/>
        </w:numPr>
        <w:spacing w:after="0"/>
      </w:pPr>
      <w:r>
        <w:t>5</w:t>
      </w:r>
      <w:r w:rsidR="009B76CC">
        <w:t xml:space="preserve"> Outcome Star training sessions</w:t>
      </w:r>
      <w:r>
        <w:t xml:space="preserve"> (102 delegates)</w:t>
      </w:r>
    </w:p>
    <w:p w:rsidR="00877727" w:rsidRDefault="00877727" w:rsidP="00877727">
      <w:pPr>
        <w:spacing w:after="0"/>
      </w:pPr>
      <w:r>
        <w:t>PREVENT Strategy Implementation</w:t>
      </w:r>
    </w:p>
    <w:p w:rsidR="00534837" w:rsidRDefault="00877727" w:rsidP="00534837">
      <w:pPr>
        <w:pStyle w:val="ListParagraph"/>
        <w:numPr>
          <w:ilvl w:val="0"/>
          <w:numId w:val="2"/>
        </w:numPr>
        <w:spacing w:after="0"/>
      </w:pPr>
      <w:r>
        <w:t>2 Response and Recovery Events for Senior Managers (24 delegates)</w:t>
      </w:r>
    </w:p>
    <w:p w:rsidR="00534837" w:rsidRPr="00534837" w:rsidRDefault="00534837" w:rsidP="00534837">
      <w:pPr>
        <w:pStyle w:val="ListParagraph"/>
        <w:spacing w:after="0"/>
      </w:pPr>
    </w:p>
    <w:p w:rsidR="00534837" w:rsidRDefault="00534837" w:rsidP="00534837">
      <w:pPr>
        <w:spacing w:after="0"/>
        <w:rPr>
          <w:rFonts w:cs="Arial"/>
          <w:b/>
          <w:sz w:val="24"/>
          <w:szCs w:val="24"/>
        </w:rPr>
      </w:pPr>
      <w:r w:rsidRPr="00534837">
        <w:rPr>
          <w:rFonts w:cs="Arial"/>
          <w:b/>
          <w:sz w:val="24"/>
          <w:szCs w:val="24"/>
        </w:rPr>
        <w:t>Reporting against quantitative measures for NSCB Work Plan</w:t>
      </w:r>
      <w:r>
        <w:rPr>
          <w:rFonts w:cs="Arial"/>
          <w:b/>
          <w:sz w:val="24"/>
          <w:szCs w:val="24"/>
        </w:rPr>
        <w:t xml:space="preserve"> 2014-15</w:t>
      </w:r>
      <w:r w:rsidRPr="00534837">
        <w:rPr>
          <w:rFonts w:cs="Arial"/>
          <w:b/>
          <w:sz w:val="24"/>
          <w:szCs w:val="24"/>
        </w:rPr>
        <w:t xml:space="preserve">  </w:t>
      </w:r>
    </w:p>
    <w:p w:rsidR="00534837" w:rsidRPr="00534837" w:rsidRDefault="00534837" w:rsidP="00534837">
      <w:pPr>
        <w:rPr>
          <w:rFonts w:cs="Arial"/>
          <w:b/>
          <w:sz w:val="24"/>
          <w:szCs w:val="24"/>
        </w:rPr>
      </w:pPr>
      <w:r>
        <w:rPr>
          <w:rFonts w:eastAsia="Calibri" w:cs="Arial"/>
          <w:i/>
        </w:rPr>
        <w:t>Objective:</w:t>
      </w:r>
      <w:r>
        <w:rPr>
          <w:rFonts w:cs="Arial"/>
          <w:b/>
          <w:sz w:val="24"/>
          <w:szCs w:val="24"/>
        </w:rPr>
        <w:t xml:space="preserve">  </w:t>
      </w:r>
      <w:r w:rsidRPr="00534837">
        <w:rPr>
          <w:rFonts w:eastAsia="Calibri" w:cs="Arial"/>
          <w:i/>
        </w:rPr>
        <w:t>Ensure an efficient and effective annual programme of multi-agency safeguarding training and learning is developed and published by April 2014</w:t>
      </w:r>
    </w:p>
    <w:p w:rsidR="00534837" w:rsidRPr="00534837" w:rsidRDefault="00534837" w:rsidP="00534837">
      <w:pPr>
        <w:rPr>
          <w:rFonts w:eastAsia="Calibri" w:cs="Arial"/>
          <w:i/>
        </w:rPr>
      </w:pPr>
      <w:r w:rsidRPr="00534837">
        <w:rPr>
          <w:rFonts w:eastAsia="Calibri" w:cs="Arial"/>
          <w:i/>
        </w:rPr>
        <w:t>Programme reviewed and revised October 2014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4837" w:rsidRPr="00534837" w:rsidTr="002C67BE">
        <w:tc>
          <w:tcPr>
            <w:tcW w:w="4621" w:type="dxa"/>
          </w:tcPr>
          <w:p w:rsidR="00534837" w:rsidRPr="00534837" w:rsidRDefault="00534837" w:rsidP="00534837">
            <w:pPr>
              <w:rPr>
                <w:rFonts w:eastAsia="Calibri" w:cs="Arial"/>
              </w:rPr>
            </w:pPr>
            <w:r w:rsidRPr="00534837">
              <w:rPr>
                <w:rFonts w:eastAsia="Calibri" w:cs="Arial"/>
              </w:rPr>
              <w:t>Measure</w:t>
            </w:r>
          </w:p>
        </w:tc>
        <w:tc>
          <w:tcPr>
            <w:tcW w:w="4621" w:type="dxa"/>
          </w:tcPr>
          <w:p w:rsidR="00534837" w:rsidRPr="00534837" w:rsidRDefault="00534837" w:rsidP="00534837">
            <w:pPr>
              <w:rPr>
                <w:rFonts w:cs="Arial"/>
              </w:rPr>
            </w:pPr>
            <w:r w:rsidRPr="00534837">
              <w:rPr>
                <w:rFonts w:cs="Arial"/>
              </w:rPr>
              <w:t>Achieved?</w:t>
            </w:r>
          </w:p>
        </w:tc>
      </w:tr>
      <w:tr w:rsidR="00534837" w:rsidRPr="00534837" w:rsidTr="002C67BE">
        <w:tc>
          <w:tcPr>
            <w:tcW w:w="4621" w:type="dxa"/>
          </w:tcPr>
          <w:p w:rsidR="00534837" w:rsidRPr="00534837" w:rsidRDefault="00534837" w:rsidP="00534837">
            <w:pPr>
              <w:rPr>
                <w:rFonts w:eastAsia="Calibri" w:cs="Arial"/>
              </w:rPr>
            </w:pPr>
            <w:r w:rsidRPr="00534837">
              <w:rPr>
                <w:rFonts w:eastAsia="Calibri" w:cs="Arial"/>
              </w:rPr>
              <w:t>85% of all programmes scheduled take place.</w:t>
            </w:r>
          </w:p>
          <w:p w:rsidR="00534837" w:rsidRPr="00534837" w:rsidRDefault="00534837" w:rsidP="00534837"/>
        </w:tc>
        <w:tc>
          <w:tcPr>
            <w:tcW w:w="4621" w:type="dxa"/>
          </w:tcPr>
          <w:p w:rsidR="00534837" w:rsidRPr="00534837" w:rsidRDefault="00534837" w:rsidP="00534837">
            <w:pPr>
              <w:rPr>
                <w:rFonts w:cs="Arial"/>
              </w:rPr>
            </w:pPr>
            <w:r>
              <w:rPr>
                <w:rFonts w:cs="Arial"/>
              </w:rPr>
              <w:t>95</w:t>
            </w:r>
            <w:r w:rsidRPr="00534837">
              <w:rPr>
                <w:rFonts w:cs="Arial"/>
              </w:rPr>
              <w:t>% of scheduled courses took place</w:t>
            </w:r>
            <w:r>
              <w:rPr>
                <w:rFonts w:cs="Arial"/>
              </w:rPr>
              <w:t xml:space="preserve"> and an extra 5</w:t>
            </w:r>
            <w:r w:rsidRPr="00534837">
              <w:rPr>
                <w:rFonts w:cs="Arial"/>
              </w:rPr>
              <w:t>% of learning events were provided in addition to the scheduled programme</w:t>
            </w:r>
          </w:p>
        </w:tc>
      </w:tr>
      <w:tr w:rsidR="00534837" w:rsidRPr="00534837" w:rsidTr="002C67BE">
        <w:tc>
          <w:tcPr>
            <w:tcW w:w="4621" w:type="dxa"/>
          </w:tcPr>
          <w:p w:rsidR="00534837" w:rsidRPr="00534837" w:rsidRDefault="00534837" w:rsidP="00534837">
            <w:pPr>
              <w:rPr>
                <w:rFonts w:eastAsia="Calibri" w:cs="Arial"/>
              </w:rPr>
            </w:pPr>
            <w:r w:rsidRPr="00534837">
              <w:rPr>
                <w:rFonts w:eastAsia="Calibri" w:cs="Arial"/>
              </w:rPr>
              <w:t>95% of delegates reporting session met need</w:t>
            </w:r>
          </w:p>
          <w:p w:rsidR="00534837" w:rsidRPr="00534837" w:rsidRDefault="00534837" w:rsidP="00534837"/>
        </w:tc>
        <w:tc>
          <w:tcPr>
            <w:tcW w:w="4621" w:type="dxa"/>
          </w:tcPr>
          <w:p w:rsidR="00534837" w:rsidRPr="00534837" w:rsidRDefault="00534837" w:rsidP="00534837">
            <w:pPr>
              <w:rPr>
                <w:rFonts w:cs="Arial"/>
              </w:rPr>
            </w:pPr>
            <w:r w:rsidRPr="00534837">
              <w:rPr>
                <w:rFonts w:cs="Arial"/>
              </w:rPr>
              <w:t xml:space="preserve">99.5% of delegates recorded that session met need </w:t>
            </w:r>
          </w:p>
          <w:p w:rsidR="00534837" w:rsidRPr="00534837" w:rsidRDefault="00534837" w:rsidP="00534837">
            <w:pPr>
              <w:rPr>
                <w:rFonts w:cs="Arial"/>
              </w:rPr>
            </w:pPr>
            <w:r w:rsidRPr="00534837">
              <w:rPr>
                <w:rFonts w:cs="Arial"/>
              </w:rPr>
              <w:t>95% recorded good or excellent against this criterion</w:t>
            </w:r>
          </w:p>
        </w:tc>
      </w:tr>
      <w:tr w:rsidR="00534837" w:rsidRPr="00534837" w:rsidTr="002C67BE">
        <w:tc>
          <w:tcPr>
            <w:tcW w:w="4621" w:type="dxa"/>
          </w:tcPr>
          <w:p w:rsidR="00534837" w:rsidRPr="00534837" w:rsidRDefault="00534837" w:rsidP="00534837">
            <w:pPr>
              <w:rPr>
                <w:rFonts w:eastAsia="Calibri" w:cs="Arial"/>
              </w:rPr>
            </w:pPr>
            <w:r w:rsidRPr="00534837">
              <w:rPr>
                <w:rFonts w:eastAsia="Calibri" w:cs="Arial"/>
              </w:rPr>
              <w:t>95% of delegates reporting session quality as good or excellent</w:t>
            </w:r>
          </w:p>
          <w:p w:rsidR="00534837" w:rsidRPr="00534837" w:rsidRDefault="00534837" w:rsidP="00534837"/>
        </w:tc>
        <w:tc>
          <w:tcPr>
            <w:tcW w:w="4621" w:type="dxa"/>
          </w:tcPr>
          <w:p w:rsidR="00534837" w:rsidRPr="00534837" w:rsidRDefault="00534837" w:rsidP="00534837">
            <w:pPr>
              <w:rPr>
                <w:rFonts w:cs="Arial"/>
              </w:rPr>
            </w:pPr>
            <w:r w:rsidRPr="00534837">
              <w:rPr>
                <w:rFonts w:cs="Arial"/>
              </w:rPr>
              <w:t xml:space="preserve">98% of evaluations rated quality as good or excellent over 2 criteria </w:t>
            </w:r>
          </w:p>
          <w:p w:rsidR="00534837" w:rsidRPr="00534837" w:rsidRDefault="00534837" w:rsidP="00534837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534837">
              <w:rPr>
                <w:rFonts w:cs="Arial"/>
              </w:rPr>
              <w:t>quality of delivery</w:t>
            </w:r>
          </w:p>
          <w:p w:rsidR="00534837" w:rsidRPr="00534837" w:rsidRDefault="00534837" w:rsidP="00534837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534837">
              <w:rPr>
                <w:rFonts w:cs="Arial"/>
              </w:rPr>
              <w:t>quality of information &amp; materials</w:t>
            </w:r>
          </w:p>
        </w:tc>
      </w:tr>
      <w:tr w:rsidR="00534837" w:rsidRPr="00534837" w:rsidTr="002C67BE">
        <w:tc>
          <w:tcPr>
            <w:tcW w:w="4621" w:type="dxa"/>
          </w:tcPr>
          <w:p w:rsidR="00534837" w:rsidRPr="00534837" w:rsidRDefault="00534837" w:rsidP="00534837">
            <w:pPr>
              <w:rPr>
                <w:rFonts w:eastAsia="Calibri" w:cs="Arial"/>
              </w:rPr>
            </w:pPr>
            <w:r w:rsidRPr="00534837">
              <w:rPr>
                <w:rFonts w:eastAsia="Calibri" w:cs="Arial"/>
              </w:rPr>
              <w:t>&gt;90% Occupancy recorded for all events</w:t>
            </w:r>
          </w:p>
          <w:p w:rsidR="00534837" w:rsidRPr="00534837" w:rsidRDefault="00534837" w:rsidP="00534837"/>
        </w:tc>
        <w:tc>
          <w:tcPr>
            <w:tcW w:w="4621" w:type="dxa"/>
          </w:tcPr>
          <w:p w:rsidR="00534837" w:rsidRPr="00534837" w:rsidRDefault="00534837" w:rsidP="00534837">
            <w:pPr>
              <w:rPr>
                <w:rFonts w:cs="Arial"/>
              </w:rPr>
            </w:pPr>
            <w:r>
              <w:rPr>
                <w:rFonts w:cs="Arial"/>
              </w:rPr>
              <w:t>85</w:t>
            </w:r>
            <w:r w:rsidRPr="00534837">
              <w:rPr>
                <w:rFonts w:cs="Arial"/>
              </w:rPr>
              <w:t>% occupancy rate across all events</w:t>
            </w:r>
          </w:p>
        </w:tc>
      </w:tr>
      <w:tr w:rsidR="00534837" w:rsidRPr="00534837" w:rsidTr="002C67BE">
        <w:tc>
          <w:tcPr>
            <w:tcW w:w="4621" w:type="dxa"/>
          </w:tcPr>
          <w:p w:rsidR="00534837" w:rsidRPr="00534837" w:rsidRDefault="00534837" w:rsidP="00534837">
            <w:pPr>
              <w:rPr>
                <w:rFonts w:eastAsia="Calibri" w:cs="Arial"/>
              </w:rPr>
            </w:pPr>
            <w:r w:rsidRPr="00534837">
              <w:rPr>
                <w:rFonts w:eastAsia="Calibri" w:cs="Arial"/>
              </w:rPr>
              <w:t xml:space="preserve">&lt;10% Cancellation rate </w:t>
            </w:r>
          </w:p>
          <w:p w:rsidR="00534837" w:rsidRPr="00534837" w:rsidRDefault="00534837" w:rsidP="00534837"/>
        </w:tc>
        <w:tc>
          <w:tcPr>
            <w:tcW w:w="4621" w:type="dxa"/>
          </w:tcPr>
          <w:p w:rsidR="00534837" w:rsidRPr="00534837" w:rsidRDefault="00534837" w:rsidP="00534837">
            <w:pPr>
              <w:rPr>
                <w:rFonts w:cs="Arial"/>
              </w:rPr>
            </w:pPr>
            <w:r w:rsidRPr="00534837">
              <w:rPr>
                <w:rFonts w:cs="Arial"/>
              </w:rPr>
              <w:t>Cancellation rate of 3.7%</w:t>
            </w:r>
          </w:p>
        </w:tc>
      </w:tr>
      <w:tr w:rsidR="00534837" w:rsidRPr="00534837" w:rsidTr="002C67BE">
        <w:tc>
          <w:tcPr>
            <w:tcW w:w="4621" w:type="dxa"/>
          </w:tcPr>
          <w:p w:rsidR="00534837" w:rsidRPr="00534837" w:rsidRDefault="00534837" w:rsidP="00534837">
            <w:pPr>
              <w:rPr>
                <w:rFonts w:eastAsia="Calibri" w:cs="Arial"/>
              </w:rPr>
            </w:pPr>
            <w:r w:rsidRPr="00534837">
              <w:rPr>
                <w:rFonts w:eastAsia="Calibri" w:cs="Arial"/>
              </w:rPr>
              <w:t>&lt;5% No show rate</w:t>
            </w:r>
          </w:p>
          <w:p w:rsidR="00534837" w:rsidRPr="00534837" w:rsidRDefault="00534837" w:rsidP="00534837">
            <w:pPr>
              <w:rPr>
                <w:rFonts w:eastAsia="Calibri" w:cs="Arial"/>
              </w:rPr>
            </w:pPr>
          </w:p>
        </w:tc>
        <w:tc>
          <w:tcPr>
            <w:tcW w:w="4621" w:type="dxa"/>
          </w:tcPr>
          <w:p w:rsidR="00534837" w:rsidRPr="00534837" w:rsidRDefault="00534837" w:rsidP="00534837">
            <w:pPr>
              <w:rPr>
                <w:rFonts w:cs="Arial"/>
              </w:rPr>
            </w:pPr>
            <w:r w:rsidRPr="00534837">
              <w:rPr>
                <w:rFonts w:cs="Arial"/>
              </w:rPr>
              <w:t>No show rate of 3.7%</w:t>
            </w:r>
          </w:p>
        </w:tc>
      </w:tr>
      <w:tr w:rsidR="00534837" w:rsidRPr="00534837" w:rsidTr="002C67BE">
        <w:tc>
          <w:tcPr>
            <w:tcW w:w="4621" w:type="dxa"/>
          </w:tcPr>
          <w:p w:rsidR="00534837" w:rsidRPr="00534837" w:rsidRDefault="00534837" w:rsidP="00534837">
            <w:pPr>
              <w:rPr>
                <w:rFonts w:eastAsia="Calibri" w:cs="Arial"/>
              </w:rPr>
            </w:pPr>
            <w:r w:rsidRPr="00534837">
              <w:rPr>
                <w:rFonts w:eastAsia="Calibri" w:cs="Arial"/>
              </w:rPr>
              <w:t>&gt;5% sampling carried out  of on all learning to assess quality and learning</w:t>
            </w:r>
          </w:p>
        </w:tc>
        <w:tc>
          <w:tcPr>
            <w:tcW w:w="4621" w:type="dxa"/>
          </w:tcPr>
          <w:p w:rsidR="00534837" w:rsidRPr="00534837" w:rsidRDefault="00534837" w:rsidP="00534837">
            <w:pPr>
              <w:rPr>
                <w:rFonts w:cs="Arial"/>
              </w:rPr>
            </w:pPr>
            <w:r w:rsidRPr="00534837">
              <w:rPr>
                <w:rFonts w:cs="Arial"/>
              </w:rPr>
              <w:t>100% of course evaluations analysed</w:t>
            </w:r>
          </w:p>
          <w:p w:rsidR="00534837" w:rsidRPr="00534837" w:rsidRDefault="00534837" w:rsidP="00534837">
            <w:pPr>
              <w:rPr>
                <w:rFonts w:cs="Arial"/>
              </w:rPr>
            </w:pPr>
            <w:r w:rsidRPr="00534837">
              <w:rPr>
                <w:rFonts w:cs="Arial"/>
              </w:rPr>
              <w:t xml:space="preserve">Telephone survey of </w:t>
            </w:r>
            <w:r>
              <w:rPr>
                <w:rFonts w:cs="Arial"/>
              </w:rPr>
              <w:t xml:space="preserve">social care </w:t>
            </w:r>
            <w:r w:rsidRPr="00534837">
              <w:rPr>
                <w:rFonts w:cs="Arial"/>
              </w:rPr>
              <w:t xml:space="preserve">managers </w:t>
            </w:r>
            <w:r>
              <w:rPr>
                <w:rFonts w:cs="Arial"/>
              </w:rPr>
              <w:t xml:space="preserve">and safeguarding nurses </w:t>
            </w:r>
            <w:r w:rsidRPr="00534837">
              <w:rPr>
                <w:rFonts w:cs="Arial"/>
              </w:rPr>
              <w:t>conducted to evaluate impact on practice</w:t>
            </w:r>
            <w:r>
              <w:rPr>
                <w:rFonts w:cs="Arial"/>
              </w:rPr>
              <w:t xml:space="preserve">. </w:t>
            </w:r>
          </w:p>
        </w:tc>
      </w:tr>
    </w:tbl>
    <w:p w:rsidR="00405A34" w:rsidRDefault="00405A34" w:rsidP="008E3F74">
      <w:pPr>
        <w:spacing w:after="0"/>
        <w:rPr>
          <w:b/>
        </w:rPr>
      </w:pPr>
    </w:p>
    <w:p w:rsidR="002D042D" w:rsidRDefault="002D042D" w:rsidP="008E3F74">
      <w:pPr>
        <w:spacing w:after="0"/>
        <w:rPr>
          <w:b/>
        </w:rPr>
      </w:pPr>
      <w:r>
        <w:rPr>
          <w:b/>
        </w:rPr>
        <w:t xml:space="preserve">E-Learning </w:t>
      </w:r>
    </w:p>
    <w:p w:rsidR="002D042D" w:rsidRDefault="00E34994" w:rsidP="009E0EFB">
      <w:pPr>
        <w:spacing w:after="0"/>
      </w:pPr>
      <w:r>
        <w:t xml:space="preserve">There were 1,936 e-learning course completions </w:t>
      </w:r>
      <w:r w:rsidR="009E0EFB">
        <w:t xml:space="preserve">via </w:t>
      </w:r>
      <w:r>
        <w:t xml:space="preserve">the NSCB </w:t>
      </w:r>
      <w:r w:rsidR="009E0EFB">
        <w:t>Virtual College contract this year:</w:t>
      </w:r>
    </w:p>
    <w:p w:rsidR="001546DA" w:rsidRDefault="001546DA" w:rsidP="009E0EFB">
      <w:pPr>
        <w:pStyle w:val="ListParagraph"/>
        <w:numPr>
          <w:ilvl w:val="0"/>
          <w:numId w:val="2"/>
        </w:numPr>
        <w:spacing w:after="0"/>
      </w:pPr>
      <w:r>
        <w:t>689</w:t>
      </w:r>
      <w:r w:rsidR="00890B60">
        <w:t xml:space="preserve"> x </w:t>
      </w:r>
      <w:r>
        <w:t>Introduction to Safeguarding Children</w:t>
      </w:r>
    </w:p>
    <w:p w:rsidR="009E0EFB" w:rsidRDefault="001546DA" w:rsidP="009E0EFB">
      <w:pPr>
        <w:pStyle w:val="ListParagraph"/>
        <w:numPr>
          <w:ilvl w:val="0"/>
          <w:numId w:val="2"/>
        </w:numPr>
        <w:spacing w:after="0"/>
      </w:pPr>
      <w:r>
        <w:t xml:space="preserve">889 x </w:t>
      </w:r>
      <w:r w:rsidR="009E0EFB">
        <w:t>Awareness of Child Abuse and Neglect</w:t>
      </w:r>
      <w:r>
        <w:t xml:space="preserve"> – Core Version</w:t>
      </w:r>
    </w:p>
    <w:p w:rsidR="001546DA" w:rsidRDefault="001546DA" w:rsidP="009E0EFB">
      <w:pPr>
        <w:pStyle w:val="ListParagraph"/>
        <w:numPr>
          <w:ilvl w:val="0"/>
          <w:numId w:val="2"/>
        </w:numPr>
        <w:spacing w:after="0"/>
      </w:pPr>
      <w:r>
        <w:t>27   x Awareness of Child Abuse and Neglect – Foundation Version</w:t>
      </w:r>
    </w:p>
    <w:p w:rsidR="001546DA" w:rsidRDefault="001546DA" w:rsidP="009E0EFB">
      <w:pPr>
        <w:pStyle w:val="ListParagraph"/>
        <w:numPr>
          <w:ilvl w:val="0"/>
          <w:numId w:val="2"/>
        </w:numPr>
        <w:spacing w:after="0"/>
      </w:pPr>
      <w:r>
        <w:t>17   x Awareness of Child Abuse and Neglect – Young People Version</w:t>
      </w:r>
    </w:p>
    <w:p w:rsidR="001546DA" w:rsidRDefault="001546DA" w:rsidP="009E0EFB">
      <w:pPr>
        <w:pStyle w:val="ListParagraph"/>
        <w:numPr>
          <w:ilvl w:val="0"/>
          <w:numId w:val="2"/>
        </w:numPr>
        <w:spacing w:after="0"/>
      </w:pPr>
      <w:r>
        <w:t>1     x Awareness of Child Abuse and Neglect – Core Police Version</w:t>
      </w:r>
    </w:p>
    <w:p w:rsidR="009E0EFB" w:rsidRDefault="001546DA" w:rsidP="009E0EFB">
      <w:pPr>
        <w:pStyle w:val="ListParagraph"/>
        <w:numPr>
          <w:ilvl w:val="0"/>
          <w:numId w:val="2"/>
        </w:numPr>
        <w:spacing w:after="0"/>
      </w:pPr>
      <w:r>
        <w:t>7</w:t>
      </w:r>
      <w:r w:rsidR="00890B60">
        <w:t xml:space="preserve">4 </w:t>
      </w:r>
      <w:r>
        <w:t xml:space="preserve">  </w:t>
      </w:r>
      <w:r w:rsidR="00890B60">
        <w:t xml:space="preserve">x </w:t>
      </w:r>
      <w:r w:rsidR="009E0EFB">
        <w:t>Child Sexual Exploitation</w:t>
      </w:r>
    </w:p>
    <w:p w:rsidR="009E0EFB" w:rsidRDefault="001546DA" w:rsidP="009E0EFB">
      <w:pPr>
        <w:pStyle w:val="ListParagraph"/>
        <w:numPr>
          <w:ilvl w:val="0"/>
          <w:numId w:val="2"/>
        </w:numPr>
        <w:spacing w:after="0"/>
      </w:pPr>
      <w:r>
        <w:t>54</w:t>
      </w:r>
      <w:r w:rsidR="00890B60">
        <w:t xml:space="preserve"> </w:t>
      </w:r>
      <w:r>
        <w:t xml:space="preserve">  </w:t>
      </w:r>
      <w:r w:rsidR="00890B60">
        <w:t xml:space="preserve">x </w:t>
      </w:r>
      <w:r w:rsidR="009E0EFB">
        <w:t>Awareness of Domestic Abuse</w:t>
      </w:r>
    </w:p>
    <w:p w:rsidR="009E0EFB" w:rsidRDefault="001546DA" w:rsidP="009E0EFB">
      <w:pPr>
        <w:pStyle w:val="ListParagraph"/>
        <w:numPr>
          <w:ilvl w:val="0"/>
          <w:numId w:val="2"/>
        </w:numPr>
        <w:spacing w:after="0"/>
      </w:pPr>
      <w:r>
        <w:t>21</w:t>
      </w:r>
      <w:r w:rsidR="00890B60">
        <w:t xml:space="preserve"> </w:t>
      </w:r>
      <w:r>
        <w:t xml:space="preserve">  </w:t>
      </w:r>
      <w:r w:rsidR="00890B60">
        <w:t xml:space="preserve">x </w:t>
      </w:r>
      <w:r w:rsidR="009E0EFB">
        <w:t>Parental Mental Health</w:t>
      </w:r>
    </w:p>
    <w:p w:rsidR="009E0EFB" w:rsidRDefault="001546DA" w:rsidP="009E0EFB">
      <w:pPr>
        <w:pStyle w:val="ListParagraph"/>
        <w:numPr>
          <w:ilvl w:val="0"/>
          <w:numId w:val="2"/>
        </w:numPr>
        <w:spacing w:after="0"/>
      </w:pPr>
      <w:r>
        <w:t>33</w:t>
      </w:r>
      <w:r w:rsidR="00890B60">
        <w:t xml:space="preserve"> </w:t>
      </w:r>
      <w:r>
        <w:t xml:space="preserve">  </w:t>
      </w:r>
      <w:r w:rsidR="00890B60">
        <w:t xml:space="preserve">x </w:t>
      </w:r>
      <w:r>
        <w:t xml:space="preserve"> Hidden Harm (</w:t>
      </w:r>
      <w:r w:rsidR="009E0EFB">
        <w:t>Parental Substance Use</w:t>
      </w:r>
      <w:r>
        <w:t>)</w:t>
      </w:r>
    </w:p>
    <w:p w:rsidR="009E0EFB" w:rsidRDefault="001546DA" w:rsidP="009E0EFB">
      <w:pPr>
        <w:pStyle w:val="ListParagraph"/>
        <w:numPr>
          <w:ilvl w:val="0"/>
          <w:numId w:val="2"/>
        </w:numPr>
        <w:spacing w:after="0"/>
      </w:pPr>
      <w:r>
        <w:t>19</w:t>
      </w:r>
      <w:r w:rsidR="00890B60">
        <w:t xml:space="preserve"> </w:t>
      </w:r>
      <w:r>
        <w:t xml:space="preserve">  </w:t>
      </w:r>
      <w:r w:rsidR="00890B60">
        <w:t xml:space="preserve">x </w:t>
      </w:r>
      <w:r w:rsidR="009E0EFB">
        <w:t>Safeguarding Disabled Children</w:t>
      </w:r>
    </w:p>
    <w:p w:rsidR="009E0EFB" w:rsidRDefault="001546DA" w:rsidP="009E0EFB">
      <w:pPr>
        <w:pStyle w:val="ListParagraph"/>
        <w:numPr>
          <w:ilvl w:val="0"/>
          <w:numId w:val="2"/>
        </w:numPr>
        <w:spacing w:after="0"/>
      </w:pPr>
      <w:r>
        <w:t>24</w:t>
      </w:r>
      <w:r w:rsidR="00890B60">
        <w:t xml:space="preserve"> </w:t>
      </w:r>
      <w:r>
        <w:t xml:space="preserve">  </w:t>
      </w:r>
      <w:r w:rsidR="00890B60">
        <w:t xml:space="preserve">x </w:t>
      </w:r>
      <w:r w:rsidR="009E0EFB">
        <w:t>Child Development</w:t>
      </w:r>
    </w:p>
    <w:p w:rsidR="009E0EFB" w:rsidRDefault="001546DA" w:rsidP="00890B60">
      <w:pPr>
        <w:pStyle w:val="ListParagraph"/>
        <w:numPr>
          <w:ilvl w:val="0"/>
          <w:numId w:val="2"/>
        </w:numPr>
        <w:spacing w:after="0"/>
      </w:pPr>
      <w:r>
        <w:t>13</w:t>
      </w:r>
      <w:r w:rsidR="00890B60">
        <w:t xml:space="preserve"> x </w:t>
      </w:r>
      <w:r w:rsidR="009E0EFB">
        <w:t>Short Breaks for Disabled Children</w:t>
      </w:r>
    </w:p>
    <w:p w:rsidR="00890B60" w:rsidRDefault="001546DA" w:rsidP="00890B60">
      <w:pPr>
        <w:pStyle w:val="ListParagraph"/>
        <w:numPr>
          <w:ilvl w:val="0"/>
          <w:numId w:val="2"/>
        </w:numPr>
        <w:spacing w:after="0"/>
      </w:pPr>
      <w:r>
        <w:t>6</w:t>
      </w:r>
      <w:r w:rsidR="00890B60">
        <w:t xml:space="preserve"> x Think Safe, Be Safe</w:t>
      </w:r>
    </w:p>
    <w:p w:rsidR="001546DA" w:rsidRDefault="001546DA" w:rsidP="00E34994">
      <w:pPr>
        <w:pStyle w:val="ListParagraph"/>
        <w:spacing w:after="0"/>
      </w:pPr>
    </w:p>
    <w:p w:rsidR="009E0EFB" w:rsidRPr="001546DA" w:rsidRDefault="009E0EFB" w:rsidP="009E0EFB">
      <w:pPr>
        <w:spacing w:after="0"/>
      </w:pPr>
      <w:r>
        <w:t xml:space="preserve"> The cost of this contract (which includes child minder option and self-registration) was £8,000 for 2014-15. This was funded by NCC but is available to all partner agencies and anyone working or volunteering with children/families in Northumberland.</w:t>
      </w:r>
      <w:r w:rsidR="00534837">
        <w:t xml:space="preserve"> With</w:t>
      </w:r>
      <w:r w:rsidR="00534837" w:rsidRPr="00534837">
        <w:rPr>
          <w:color w:val="FF0000"/>
        </w:rPr>
        <w:t xml:space="preserve"> </w:t>
      </w:r>
      <w:r w:rsidR="001546DA">
        <w:t xml:space="preserve">1936 </w:t>
      </w:r>
      <w:r w:rsidR="00534837">
        <w:t xml:space="preserve">learners completing courses, the unit cost per user is currently </w:t>
      </w:r>
      <w:r w:rsidR="001546DA">
        <w:t>£4</w:t>
      </w:r>
      <w:r w:rsidR="00E34994">
        <w:t xml:space="preserve">. The NSCB has retained membership of Virtual College for 2015-16 and this qualified it for a £2,000 reduction in the cost of purchasing their Section 11 Online Audit Tool. </w:t>
      </w:r>
    </w:p>
    <w:p w:rsidR="009E0EFB" w:rsidRDefault="009E0EFB" w:rsidP="009E0EFB">
      <w:pPr>
        <w:spacing w:after="0"/>
      </w:pPr>
    </w:p>
    <w:p w:rsidR="009E0EFB" w:rsidRDefault="009E0EFB" w:rsidP="009E0EFB">
      <w:pPr>
        <w:spacing w:after="0"/>
      </w:pPr>
      <w:r>
        <w:t>Approximately 60% of the users are schools staff completing Awareness of Abuse and Neglect to meet their mandatory 3-year basic training.</w:t>
      </w:r>
    </w:p>
    <w:p w:rsidR="009E0EFB" w:rsidRPr="002D042D" w:rsidRDefault="009E0EFB" w:rsidP="009E0EFB">
      <w:pPr>
        <w:spacing w:after="0"/>
      </w:pPr>
    </w:p>
    <w:p w:rsidR="002D042D" w:rsidRDefault="001546DA" w:rsidP="008E3F74">
      <w:pPr>
        <w:spacing w:after="0"/>
      </w:pPr>
      <w:r>
        <w:t xml:space="preserve">There is also an e-learning course and a </w:t>
      </w:r>
      <w:r w:rsidR="009E0EFB">
        <w:t xml:space="preserve">webinar on Private Fostering available via NCC Learning Together learning platform. </w:t>
      </w:r>
    </w:p>
    <w:p w:rsidR="009E0EFB" w:rsidRPr="009E0EFB" w:rsidRDefault="009E0EFB" w:rsidP="008E3F74">
      <w:pPr>
        <w:spacing w:after="0"/>
      </w:pPr>
    </w:p>
    <w:p w:rsidR="00877727" w:rsidRDefault="00877727" w:rsidP="008E3F74">
      <w:pPr>
        <w:spacing w:after="0"/>
        <w:rPr>
          <w:b/>
        </w:rPr>
      </w:pPr>
      <w:r w:rsidRPr="00877727">
        <w:rPr>
          <w:b/>
        </w:rPr>
        <w:t>QUALITATIVE DATA</w:t>
      </w:r>
    </w:p>
    <w:p w:rsidR="00DC77E0" w:rsidRPr="00877727" w:rsidRDefault="00DC77E0" w:rsidP="008E3F74">
      <w:pPr>
        <w:spacing w:after="0"/>
        <w:rPr>
          <w:b/>
        </w:rPr>
      </w:pPr>
      <w:r>
        <w:rPr>
          <w:b/>
        </w:rPr>
        <w:t>Course Review</w:t>
      </w:r>
    </w:p>
    <w:p w:rsidR="00877727" w:rsidRDefault="00877727" w:rsidP="008E3F74">
      <w:pPr>
        <w:spacing w:after="0"/>
      </w:pPr>
      <w:r>
        <w:t>In addition to the routine process of updating all training each time it is delivered, the following courses were subject to ‘w</w:t>
      </w:r>
      <w:r w:rsidR="00DC77E0">
        <w:t>hole course review</w:t>
      </w:r>
      <w:r>
        <w:t>’ by the training teams:</w:t>
      </w:r>
    </w:p>
    <w:p w:rsidR="00877727" w:rsidRDefault="00877727" w:rsidP="00877727">
      <w:pPr>
        <w:pStyle w:val="ListParagraph"/>
        <w:numPr>
          <w:ilvl w:val="0"/>
          <w:numId w:val="2"/>
        </w:numPr>
        <w:spacing w:after="0"/>
      </w:pPr>
      <w:r>
        <w:t>Child Sexual Exploitation</w:t>
      </w:r>
    </w:p>
    <w:p w:rsidR="00877727" w:rsidRDefault="00877727" w:rsidP="00877727">
      <w:pPr>
        <w:pStyle w:val="ListParagraph"/>
        <w:numPr>
          <w:ilvl w:val="0"/>
          <w:numId w:val="2"/>
        </w:numPr>
        <w:spacing w:after="0"/>
      </w:pPr>
      <w:r>
        <w:t>Self Harm</w:t>
      </w:r>
    </w:p>
    <w:p w:rsidR="00877727" w:rsidRDefault="00877727" w:rsidP="00877727">
      <w:pPr>
        <w:pStyle w:val="ListParagraph"/>
        <w:numPr>
          <w:ilvl w:val="0"/>
          <w:numId w:val="2"/>
        </w:numPr>
        <w:spacing w:after="0"/>
      </w:pPr>
      <w:r>
        <w:t>Impact of Early Adversity</w:t>
      </w:r>
    </w:p>
    <w:p w:rsidR="00732C39" w:rsidRDefault="00732C39" w:rsidP="008E3F74">
      <w:pPr>
        <w:spacing w:after="0"/>
        <w:rPr>
          <w:b/>
        </w:rPr>
      </w:pPr>
    </w:p>
    <w:p w:rsidR="00877727" w:rsidRPr="00DC77E0" w:rsidRDefault="00DC77E0" w:rsidP="008E3F74">
      <w:pPr>
        <w:spacing w:after="0"/>
        <w:rPr>
          <w:b/>
        </w:rPr>
      </w:pPr>
      <w:r w:rsidRPr="00DC77E0">
        <w:rPr>
          <w:b/>
        </w:rPr>
        <w:t>New Training Offer</w:t>
      </w:r>
    </w:p>
    <w:p w:rsidR="00877727" w:rsidRDefault="00877727" w:rsidP="008E3F74">
      <w:pPr>
        <w:spacing w:after="0"/>
      </w:pPr>
      <w:r>
        <w:t xml:space="preserve">The following </w:t>
      </w:r>
      <w:r w:rsidR="00F73A81">
        <w:t xml:space="preserve">scheduled </w:t>
      </w:r>
      <w:r>
        <w:t>courses were new</w:t>
      </w:r>
      <w:r w:rsidR="008F042A">
        <w:t>ly introduced</w:t>
      </w:r>
      <w:r>
        <w:t xml:space="preserve"> in t</w:t>
      </w:r>
      <w:r w:rsidR="00F73A81">
        <w:t xml:space="preserve">he 2014-15 </w:t>
      </w:r>
      <w:r w:rsidR="00DC77E0">
        <w:t xml:space="preserve">training </w:t>
      </w:r>
      <w:r w:rsidR="00F73A81">
        <w:t>programme:</w:t>
      </w:r>
    </w:p>
    <w:p w:rsidR="00F73A81" w:rsidRDefault="00F73A81" w:rsidP="00F73A81">
      <w:pPr>
        <w:pStyle w:val="ListParagraph"/>
        <w:numPr>
          <w:ilvl w:val="0"/>
          <w:numId w:val="3"/>
        </w:numPr>
        <w:spacing w:after="0"/>
      </w:pPr>
      <w:r>
        <w:t>Safeguarding Children from Extremism</w:t>
      </w:r>
    </w:p>
    <w:p w:rsidR="00F73A81" w:rsidRDefault="00F73A81" w:rsidP="00F73A81">
      <w:pPr>
        <w:pStyle w:val="ListParagraph"/>
        <w:numPr>
          <w:ilvl w:val="0"/>
          <w:numId w:val="3"/>
        </w:numPr>
        <w:spacing w:after="0"/>
      </w:pPr>
      <w:r>
        <w:t>Learning Lessons from Serious Case Reviews</w:t>
      </w:r>
    </w:p>
    <w:p w:rsidR="00F73A81" w:rsidRDefault="00F73A81" w:rsidP="00F73A81">
      <w:pPr>
        <w:pStyle w:val="ListParagraph"/>
        <w:numPr>
          <w:ilvl w:val="0"/>
          <w:numId w:val="3"/>
        </w:numPr>
        <w:spacing w:after="0"/>
      </w:pPr>
      <w:r>
        <w:t>Working with Uncooperative and Resistant Parents – Embedding Session</w:t>
      </w:r>
    </w:p>
    <w:p w:rsidR="00F73A81" w:rsidRDefault="00F73A81" w:rsidP="00F73A81">
      <w:pPr>
        <w:pStyle w:val="ListParagraph"/>
        <w:numPr>
          <w:ilvl w:val="0"/>
          <w:numId w:val="3"/>
        </w:numPr>
        <w:spacing w:after="0"/>
      </w:pPr>
      <w:r>
        <w:t>Domestic Abuse Awareness</w:t>
      </w:r>
      <w:r w:rsidR="00DC77E0">
        <w:t xml:space="preserve"> </w:t>
      </w:r>
      <w:r w:rsidR="00DC77E0" w:rsidRPr="00DC77E0">
        <w:rPr>
          <w:i/>
        </w:rPr>
        <w:t>(joint training with Safeguarding Adults Board)</w:t>
      </w:r>
    </w:p>
    <w:p w:rsidR="00732C39" w:rsidRDefault="00732C39" w:rsidP="008E3F74">
      <w:pPr>
        <w:spacing w:after="0"/>
        <w:rPr>
          <w:b/>
        </w:rPr>
      </w:pPr>
    </w:p>
    <w:p w:rsidR="00732C39" w:rsidRDefault="00732C39" w:rsidP="00732C39">
      <w:pPr>
        <w:spacing w:after="0"/>
        <w:rPr>
          <w:b/>
        </w:rPr>
      </w:pPr>
      <w:r>
        <w:rPr>
          <w:b/>
        </w:rPr>
        <w:t>Evaluating Impact of Training on Professional Practice</w:t>
      </w:r>
    </w:p>
    <w:p w:rsidR="00732C39" w:rsidRDefault="00732C39" w:rsidP="00732C39">
      <w:pPr>
        <w:spacing w:after="0"/>
      </w:pPr>
      <w:r>
        <w:t>See separate report (Appendix 1) on local research and findings</w:t>
      </w:r>
    </w:p>
    <w:p w:rsidR="00732C39" w:rsidRDefault="00732C39" w:rsidP="00732C39">
      <w:pPr>
        <w:spacing w:after="0"/>
      </w:pPr>
    </w:p>
    <w:p w:rsidR="00732C39" w:rsidRPr="005218AF" w:rsidRDefault="00732C39" w:rsidP="00732C39">
      <w:pPr>
        <w:spacing w:after="0"/>
        <w:rPr>
          <w:b/>
        </w:rPr>
      </w:pPr>
      <w:r w:rsidRPr="005218AF">
        <w:rPr>
          <w:b/>
        </w:rPr>
        <w:t>ANALYSIS OF INFORMATION</w:t>
      </w:r>
      <w:r w:rsidR="00405A34">
        <w:rPr>
          <w:b/>
        </w:rPr>
        <w:t xml:space="preserve"> </w:t>
      </w:r>
    </w:p>
    <w:p w:rsidR="00732C39" w:rsidRDefault="008F042A" w:rsidP="008F042A">
      <w:pPr>
        <w:pStyle w:val="ListParagraph"/>
        <w:numPr>
          <w:ilvl w:val="0"/>
          <w:numId w:val="5"/>
        </w:numPr>
        <w:spacing w:after="0"/>
      </w:pPr>
      <w:r>
        <w:t>There has been a significant increase in schools’ attendance at NSCB training because the Designated Safeguarding Lead training has been restructured, making Multi Agency Child Protection a mandatory element of their induction to the role.</w:t>
      </w:r>
      <w:r w:rsidR="00453D88">
        <w:t xml:space="preserve"> </w:t>
      </w:r>
    </w:p>
    <w:p w:rsidR="008F042A" w:rsidRDefault="005D74C6" w:rsidP="008F042A">
      <w:pPr>
        <w:pStyle w:val="ListParagraph"/>
        <w:numPr>
          <w:ilvl w:val="0"/>
          <w:numId w:val="5"/>
        </w:numPr>
        <w:spacing w:after="0"/>
      </w:pPr>
      <w:r>
        <w:t xml:space="preserve">Although the NTW figures shows 76 attendances, a large number of </w:t>
      </w:r>
      <w:r w:rsidR="00123B92">
        <w:t xml:space="preserve">these </w:t>
      </w:r>
      <w:r>
        <w:t>reflect the attendance of a small group of delegates – particularly three newly appointed staff in CYPS and one addictions specialist.</w:t>
      </w:r>
    </w:p>
    <w:p w:rsidR="00123B92" w:rsidRDefault="00123B92" w:rsidP="008F042A">
      <w:pPr>
        <w:pStyle w:val="ListParagraph"/>
        <w:numPr>
          <w:ilvl w:val="0"/>
          <w:numId w:val="5"/>
        </w:numPr>
        <w:spacing w:after="0"/>
      </w:pPr>
      <w:r>
        <w:t>The drop in attendance by Probation may reflect the restructuring of their service over the past year. From April 2015 we will be reporting Probation and CRC as separate agencies</w:t>
      </w:r>
    </w:p>
    <w:p w:rsidR="00E169A7" w:rsidRDefault="00123B92" w:rsidP="00F426CA">
      <w:pPr>
        <w:pStyle w:val="ListParagraph"/>
        <w:numPr>
          <w:ilvl w:val="0"/>
          <w:numId w:val="5"/>
        </w:numPr>
        <w:spacing w:after="0"/>
      </w:pPr>
      <w:r>
        <w:t>We are continuing to explore areas to join up training with Northumberland Safeguarding Adults Board, Community S</w:t>
      </w:r>
      <w:r w:rsidR="00E169A7">
        <w:t>afety Partnership. The annual c</w:t>
      </w:r>
      <w:r w:rsidR="00534837">
        <w:t xml:space="preserve">onference on ‘Drug and Alcohol </w:t>
      </w:r>
      <w:r w:rsidR="00E169A7">
        <w:t>Misuse: Impact on Families’ was a good example of this partnership working. Input by Public Health was also very beneficial when planning and delivering the conference</w:t>
      </w:r>
    </w:p>
    <w:p w:rsidR="00732C39" w:rsidRDefault="00F426CA" w:rsidP="008E3F74">
      <w:pPr>
        <w:pStyle w:val="ListParagraph"/>
        <w:numPr>
          <w:ilvl w:val="0"/>
          <w:numId w:val="5"/>
        </w:numPr>
        <w:spacing w:after="0"/>
      </w:pPr>
      <w:r>
        <w:t>GPs</w:t>
      </w:r>
      <w:r w:rsidR="00374988">
        <w:t xml:space="preserve"> </w:t>
      </w:r>
      <w:r>
        <w:t>are on a 3-year rolling programme of safeguarding training which requires them to attend multi-agency training every 3 years. This suggests that the pattern of attendance over the past 3 years should give us a good indicator of how many places they will need each year</w:t>
      </w:r>
      <w:r w:rsidR="00374988">
        <w:t xml:space="preserve"> in the future. There are similar mandatory requirements for some NHCT and NTW staff and monitoring attendance over a 3 year period may also support future planning, although there is evidence that individual workers in these agencies often attend training more frequently than their minimum standards demand.</w:t>
      </w:r>
    </w:p>
    <w:p w:rsidR="002D042D" w:rsidRDefault="002D042D" w:rsidP="008E3F74">
      <w:pPr>
        <w:pStyle w:val="ListParagraph"/>
        <w:numPr>
          <w:ilvl w:val="0"/>
          <w:numId w:val="5"/>
        </w:numPr>
        <w:spacing w:after="0"/>
      </w:pPr>
      <w:r>
        <w:t xml:space="preserve">The CDOP learning events were delivered jointly to North Tyneside and Northumberland staff but only the Northumberland attendances are recorded above. </w:t>
      </w:r>
    </w:p>
    <w:p w:rsidR="002D042D" w:rsidRDefault="002D042D" w:rsidP="008E3F74">
      <w:pPr>
        <w:pStyle w:val="ListParagraph"/>
        <w:numPr>
          <w:ilvl w:val="0"/>
          <w:numId w:val="5"/>
        </w:numPr>
        <w:spacing w:after="0"/>
      </w:pPr>
      <w:r>
        <w:t>The DBS Briefings were jointly commissioned by the Northumberland Safeguarding Adults Board and NSCB but only the children’s workforce attendances are recorded above</w:t>
      </w:r>
    </w:p>
    <w:p w:rsidR="002D042D" w:rsidRPr="00405A34" w:rsidRDefault="002D042D" w:rsidP="002D042D">
      <w:pPr>
        <w:pStyle w:val="ListParagraph"/>
        <w:spacing w:after="0"/>
      </w:pPr>
    </w:p>
    <w:p w:rsidR="00DC77E0" w:rsidRDefault="00732C39" w:rsidP="008E3F74">
      <w:pPr>
        <w:spacing w:after="0"/>
        <w:rPr>
          <w:b/>
        </w:rPr>
      </w:pPr>
      <w:r>
        <w:rPr>
          <w:b/>
        </w:rPr>
        <w:t>Training Team</w:t>
      </w:r>
      <w:r w:rsidR="009B7617">
        <w:rPr>
          <w:b/>
        </w:rPr>
        <w:t xml:space="preserve"> – Changes</w:t>
      </w:r>
      <w:r w:rsidR="00654135">
        <w:rPr>
          <w:b/>
        </w:rPr>
        <w:t xml:space="preserve"> and Gaps</w:t>
      </w:r>
    </w:p>
    <w:p w:rsidR="009B7617" w:rsidRDefault="009B7617" w:rsidP="00654135">
      <w:pPr>
        <w:pStyle w:val="ListParagraph"/>
        <w:numPr>
          <w:ilvl w:val="0"/>
          <w:numId w:val="4"/>
        </w:numPr>
        <w:spacing w:after="0"/>
      </w:pPr>
      <w:r>
        <w:t>The Self Harm training team has been reduced significantly by peo</w:t>
      </w:r>
      <w:r w:rsidR="008F042A">
        <w:t>ple leaving or changing job</w:t>
      </w:r>
      <w:r>
        <w:t xml:space="preserve">. </w:t>
      </w:r>
      <w:r w:rsidR="00E849BF">
        <w:t>New members are being sought from NTW’</w:t>
      </w:r>
      <w:r w:rsidR="00654135">
        <w:t>s CYPS</w:t>
      </w:r>
      <w:r w:rsidR="00E849BF">
        <w:t xml:space="preserve"> and NCC’s Educational Psychologists</w:t>
      </w:r>
    </w:p>
    <w:p w:rsidR="004446F8" w:rsidRDefault="004446F8" w:rsidP="00654135">
      <w:pPr>
        <w:pStyle w:val="ListParagraph"/>
        <w:numPr>
          <w:ilvl w:val="0"/>
          <w:numId w:val="4"/>
        </w:numPr>
        <w:spacing w:after="0"/>
      </w:pPr>
      <w:r>
        <w:t>No M</w:t>
      </w:r>
      <w:r w:rsidR="008F042A">
        <w:t>APPA training has been provided</w:t>
      </w:r>
      <w:r w:rsidR="00732C39">
        <w:t xml:space="preserve"> </w:t>
      </w:r>
      <w:r>
        <w:t>because trainers have not been identi</w:t>
      </w:r>
      <w:r w:rsidR="008F042A">
        <w:t>fied</w:t>
      </w:r>
    </w:p>
    <w:p w:rsidR="00F426CA" w:rsidRDefault="008F042A" w:rsidP="00F426CA">
      <w:pPr>
        <w:pStyle w:val="ListParagraph"/>
        <w:numPr>
          <w:ilvl w:val="0"/>
          <w:numId w:val="4"/>
        </w:numPr>
        <w:spacing w:after="0"/>
      </w:pPr>
      <w:r>
        <w:t>Adult Perpetrators of Sexual Abuse course no longer delivered by Probation Service as part of their ‘contribution in kind’ to the NSCB. Their trainer</w:t>
      </w:r>
      <w:r w:rsidR="00317390">
        <w:t>, Roger Kennington,</w:t>
      </w:r>
      <w:r>
        <w:t xml:space="preserve"> is now self-employed and will need to be commissioned as </w:t>
      </w:r>
      <w:r w:rsidR="00317390">
        <w:t xml:space="preserve">an external provider. Roger </w:t>
      </w:r>
      <w:r>
        <w:t>provided the last cou</w:t>
      </w:r>
      <w:r w:rsidR="00317390">
        <w:t>rse free of charge to honour the commitment to the programme even though his employment circumstances had changed</w:t>
      </w:r>
    </w:p>
    <w:p w:rsidR="00E169A7" w:rsidRDefault="00E169A7" w:rsidP="00654135">
      <w:pPr>
        <w:pStyle w:val="ListParagraph"/>
        <w:numPr>
          <w:ilvl w:val="0"/>
          <w:numId w:val="4"/>
        </w:numPr>
        <w:spacing w:after="0"/>
      </w:pPr>
      <w:r>
        <w:t xml:space="preserve">The closure of Cease24 </w:t>
      </w:r>
      <w:r w:rsidR="00317390">
        <w:t>means that we have lost two highly valued co-facilitators</w:t>
      </w:r>
      <w:r>
        <w:t xml:space="preserve"> for Domestic Abuse and MARAC training</w:t>
      </w:r>
      <w:r w:rsidR="00317390">
        <w:t xml:space="preserve"> this year</w:t>
      </w:r>
    </w:p>
    <w:p w:rsidR="00F426CA" w:rsidRDefault="00F426CA" w:rsidP="00654135">
      <w:pPr>
        <w:pStyle w:val="ListParagraph"/>
        <w:numPr>
          <w:ilvl w:val="0"/>
          <w:numId w:val="4"/>
        </w:numPr>
        <w:spacing w:after="0"/>
      </w:pPr>
      <w:r>
        <w:t>VoiCeS withdrawal from delivering Introduction to Safeguarding for VCS and Designated Person in VCS training will result in a reduction in the NSCB offer in 2015-16</w:t>
      </w:r>
    </w:p>
    <w:p w:rsidR="00654135" w:rsidRDefault="004446F8" w:rsidP="004446F8">
      <w:pPr>
        <w:spacing w:after="0"/>
      </w:pPr>
      <w:r>
        <w:t xml:space="preserve"> </w:t>
      </w:r>
    </w:p>
    <w:p w:rsidR="0075510E" w:rsidRDefault="0075510E" w:rsidP="004446F8">
      <w:pPr>
        <w:spacing w:after="0"/>
        <w:rPr>
          <w:b/>
        </w:rPr>
      </w:pPr>
      <w:r w:rsidRPr="0075510E">
        <w:rPr>
          <w:b/>
        </w:rPr>
        <w:t xml:space="preserve">Single Agency Training - Schools </w:t>
      </w:r>
    </w:p>
    <w:p w:rsidR="0075510E" w:rsidRPr="0075510E" w:rsidRDefault="0075510E" w:rsidP="004446F8">
      <w:pPr>
        <w:spacing w:after="0"/>
      </w:pPr>
      <w:r>
        <w:t>The following training was delivered to schools on behalf of the NSCB:</w:t>
      </w:r>
    </w:p>
    <w:p w:rsidR="00DC77E0" w:rsidRDefault="0075510E" w:rsidP="0075510E">
      <w:pPr>
        <w:pStyle w:val="ListParagraph"/>
        <w:numPr>
          <w:ilvl w:val="0"/>
          <w:numId w:val="7"/>
        </w:numPr>
        <w:spacing w:after="0"/>
      </w:pPr>
      <w:r w:rsidRPr="0075510E">
        <w:t>14 ‘whole school</w:t>
      </w:r>
      <w:r>
        <w:t>’ or partnership learning events</w:t>
      </w:r>
      <w:r w:rsidRPr="0075510E">
        <w:t xml:space="preserve"> </w:t>
      </w:r>
      <w:r>
        <w:t xml:space="preserve">- mandatory 3-yearly staff training </w:t>
      </w:r>
    </w:p>
    <w:p w:rsidR="0075510E" w:rsidRDefault="0075510E" w:rsidP="0075510E">
      <w:pPr>
        <w:pStyle w:val="ListParagraph"/>
        <w:numPr>
          <w:ilvl w:val="0"/>
          <w:numId w:val="7"/>
        </w:numPr>
        <w:spacing w:after="0"/>
      </w:pPr>
      <w:r>
        <w:t xml:space="preserve">2 Newly Qualified Teacher training sessions </w:t>
      </w:r>
    </w:p>
    <w:p w:rsidR="0075510E" w:rsidRDefault="0075510E" w:rsidP="0075510E">
      <w:pPr>
        <w:pStyle w:val="ListParagraph"/>
        <w:numPr>
          <w:ilvl w:val="0"/>
          <w:numId w:val="7"/>
        </w:numPr>
        <w:spacing w:after="0"/>
      </w:pPr>
      <w:r>
        <w:t>10 Designated Safeguarding Lead (DSL) Refresher courses – mandatory 2-yearly training</w:t>
      </w:r>
    </w:p>
    <w:p w:rsidR="0075510E" w:rsidRDefault="0075510E" w:rsidP="0075510E">
      <w:pPr>
        <w:pStyle w:val="ListParagraph"/>
        <w:numPr>
          <w:ilvl w:val="0"/>
          <w:numId w:val="7"/>
        </w:numPr>
        <w:spacing w:after="0"/>
      </w:pPr>
      <w:r>
        <w:t>2 DSL Roles and Responsibilities courses – new half-day element of initial DSL training which is also open to school safeguarding governors</w:t>
      </w:r>
    </w:p>
    <w:p w:rsidR="0075510E" w:rsidRPr="0075510E" w:rsidRDefault="0075510E" w:rsidP="0075510E">
      <w:pPr>
        <w:pStyle w:val="ListParagraph"/>
        <w:spacing w:after="0"/>
      </w:pPr>
    </w:p>
    <w:p w:rsidR="003430B6" w:rsidRDefault="00534837" w:rsidP="008E3F74">
      <w:pPr>
        <w:spacing w:after="0"/>
        <w:rPr>
          <w:b/>
        </w:rPr>
      </w:pPr>
      <w:r w:rsidRPr="00534837">
        <w:rPr>
          <w:b/>
        </w:rPr>
        <w:t>Quality Assurance Process</w:t>
      </w:r>
    </w:p>
    <w:p w:rsidR="00E6024E" w:rsidRDefault="00534837" w:rsidP="008E3F74">
      <w:pPr>
        <w:spacing w:after="0"/>
      </w:pPr>
      <w:r>
        <w:t xml:space="preserve">The North </w:t>
      </w:r>
      <w:proofErr w:type="gramStart"/>
      <w:r>
        <w:t>East</w:t>
      </w:r>
      <w:r w:rsidR="004A660E">
        <w:t xml:space="preserve"> </w:t>
      </w:r>
      <w:r>
        <w:t xml:space="preserve"> Safeguarding</w:t>
      </w:r>
      <w:proofErr w:type="gramEnd"/>
      <w:r>
        <w:t xml:space="preserve">  Children Training (NESCT) Quality Assurance Framework </w:t>
      </w:r>
      <w:r w:rsidR="00E6024E">
        <w:t xml:space="preserve">template </w:t>
      </w:r>
      <w:r>
        <w:t>is being used as the basis for development of an NSCB framework</w:t>
      </w:r>
      <w:r w:rsidR="00E6024E">
        <w:t>.</w:t>
      </w:r>
    </w:p>
    <w:p w:rsidR="00E6024E" w:rsidRDefault="00E6024E" w:rsidP="008E3F74">
      <w:pPr>
        <w:spacing w:after="0"/>
      </w:pPr>
    </w:p>
    <w:p w:rsidR="00E6024E" w:rsidRDefault="00E6024E" w:rsidP="008E3F74">
      <w:pPr>
        <w:spacing w:after="0"/>
      </w:pPr>
      <w:r>
        <w:t xml:space="preserve">Anne Lambert </w:t>
      </w:r>
    </w:p>
    <w:p w:rsidR="00E6024E" w:rsidRDefault="00E6024E" w:rsidP="008E3F74">
      <w:pPr>
        <w:spacing w:after="0"/>
      </w:pPr>
      <w:r>
        <w:t>NCC Learning and Development Officer</w:t>
      </w:r>
    </w:p>
    <w:p w:rsidR="00E6024E" w:rsidRDefault="00E6024E" w:rsidP="008E3F74">
      <w:pPr>
        <w:spacing w:after="0"/>
      </w:pPr>
      <w:r>
        <w:t>(</w:t>
      </w:r>
      <w:proofErr w:type="gramStart"/>
      <w:r>
        <w:t>on</w:t>
      </w:r>
      <w:proofErr w:type="gramEnd"/>
      <w:r>
        <w:t xml:space="preserve"> behalf of the NSCB Learning and Development Sub Committee)</w:t>
      </w:r>
    </w:p>
    <w:p w:rsidR="00E6024E" w:rsidRPr="00534837" w:rsidRDefault="00E6024E" w:rsidP="008E3F74">
      <w:pPr>
        <w:spacing w:after="0"/>
      </w:pPr>
      <w:r>
        <w:t>May 2015</w:t>
      </w:r>
    </w:p>
    <w:sectPr w:rsidR="00E6024E" w:rsidRPr="00534837" w:rsidSect="00BC40E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A7"/>
    <w:multiLevelType w:val="hybridMultilevel"/>
    <w:tmpl w:val="794A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445"/>
    <w:multiLevelType w:val="hybridMultilevel"/>
    <w:tmpl w:val="474C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909"/>
    <w:multiLevelType w:val="hybridMultilevel"/>
    <w:tmpl w:val="0EF06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2126"/>
    <w:multiLevelType w:val="hybridMultilevel"/>
    <w:tmpl w:val="AA26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10D6"/>
    <w:multiLevelType w:val="hybridMultilevel"/>
    <w:tmpl w:val="4ECC7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6979"/>
    <w:multiLevelType w:val="hybridMultilevel"/>
    <w:tmpl w:val="0FA8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53564"/>
    <w:multiLevelType w:val="hybridMultilevel"/>
    <w:tmpl w:val="943C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57309"/>
    <w:multiLevelType w:val="hybridMultilevel"/>
    <w:tmpl w:val="E20A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7"/>
    <w:rsid w:val="0005794F"/>
    <w:rsid w:val="000D223D"/>
    <w:rsid w:val="00123B92"/>
    <w:rsid w:val="00142623"/>
    <w:rsid w:val="001546DA"/>
    <w:rsid w:val="00191FAA"/>
    <w:rsid w:val="00196F97"/>
    <w:rsid w:val="001B54A0"/>
    <w:rsid w:val="002D042D"/>
    <w:rsid w:val="00304247"/>
    <w:rsid w:val="00317390"/>
    <w:rsid w:val="00326435"/>
    <w:rsid w:val="00330AAB"/>
    <w:rsid w:val="003430B6"/>
    <w:rsid w:val="00374988"/>
    <w:rsid w:val="00405A34"/>
    <w:rsid w:val="004446F8"/>
    <w:rsid w:val="00453D88"/>
    <w:rsid w:val="004A660E"/>
    <w:rsid w:val="00504E68"/>
    <w:rsid w:val="005218AF"/>
    <w:rsid w:val="00534837"/>
    <w:rsid w:val="005D74C6"/>
    <w:rsid w:val="00630061"/>
    <w:rsid w:val="0064791E"/>
    <w:rsid w:val="00654135"/>
    <w:rsid w:val="006D2581"/>
    <w:rsid w:val="007113C5"/>
    <w:rsid w:val="00732C39"/>
    <w:rsid w:val="0075510E"/>
    <w:rsid w:val="007E038F"/>
    <w:rsid w:val="007F2143"/>
    <w:rsid w:val="007F4912"/>
    <w:rsid w:val="008233F4"/>
    <w:rsid w:val="00877727"/>
    <w:rsid w:val="00890B60"/>
    <w:rsid w:val="008E3F74"/>
    <w:rsid w:val="008E5616"/>
    <w:rsid w:val="008F042A"/>
    <w:rsid w:val="00996CEB"/>
    <w:rsid w:val="009B7617"/>
    <w:rsid w:val="009B76CC"/>
    <w:rsid w:val="009E0EFB"/>
    <w:rsid w:val="00AA0232"/>
    <w:rsid w:val="00B166E1"/>
    <w:rsid w:val="00B440AE"/>
    <w:rsid w:val="00B706ED"/>
    <w:rsid w:val="00B70B64"/>
    <w:rsid w:val="00BC40E0"/>
    <w:rsid w:val="00C62837"/>
    <w:rsid w:val="00C7422D"/>
    <w:rsid w:val="00CB7295"/>
    <w:rsid w:val="00D57F74"/>
    <w:rsid w:val="00D63918"/>
    <w:rsid w:val="00DC77E0"/>
    <w:rsid w:val="00DD0D6A"/>
    <w:rsid w:val="00DD5C55"/>
    <w:rsid w:val="00E04330"/>
    <w:rsid w:val="00E04A89"/>
    <w:rsid w:val="00E169A7"/>
    <w:rsid w:val="00E2123B"/>
    <w:rsid w:val="00E248C6"/>
    <w:rsid w:val="00E34994"/>
    <w:rsid w:val="00E6024E"/>
    <w:rsid w:val="00E66736"/>
    <w:rsid w:val="00E81832"/>
    <w:rsid w:val="00E849BF"/>
    <w:rsid w:val="00E853A2"/>
    <w:rsid w:val="00E975D0"/>
    <w:rsid w:val="00ED0599"/>
    <w:rsid w:val="00F426CA"/>
    <w:rsid w:val="00F55F25"/>
    <w:rsid w:val="00F718C0"/>
    <w:rsid w:val="00F73A81"/>
    <w:rsid w:val="00F843AF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97"/>
    <w:pPr>
      <w:ind w:left="720"/>
      <w:contextualSpacing/>
    </w:pPr>
  </w:style>
  <w:style w:type="table" w:styleId="TableGrid">
    <w:name w:val="Table Grid"/>
    <w:basedOn w:val="TableNormal"/>
    <w:uiPriority w:val="59"/>
    <w:rsid w:val="008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0B6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3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97"/>
    <w:pPr>
      <w:ind w:left="720"/>
      <w:contextualSpacing/>
    </w:pPr>
  </w:style>
  <w:style w:type="table" w:styleId="TableGrid">
    <w:name w:val="Table Grid"/>
    <w:basedOn w:val="TableNormal"/>
    <w:uiPriority w:val="59"/>
    <w:rsid w:val="008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0B6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3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Anne</dc:creator>
  <cp:lastModifiedBy>Davison, Karen</cp:lastModifiedBy>
  <cp:revision>2</cp:revision>
  <cp:lastPrinted>2015-05-19T12:52:00Z</cp:lastPrinted>
  <dcterms:created xsi:type="dcterms:W3CDTF">2015-10-01T08:51:00Z</dcterms:created>
  <dcterms:modified xsi:type="dcterms:W3CDTF">2015-10-01T08:51:00Z</dcterms:modified>
</cp:coreProperties>
</file>