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7" w:rsidRPr="003B0DB6" w:rsidRDefault="003B0DB6" w:rsidP="003B0DB6">
      <w:pPr>
        <w:jc w:val="center"/>
        <w:rPr>
          <w:b/>
        </w:rPr>
      </w:pPr>
      <w:bookmarkStart w:id="0" w:name="_GoBack"/>
      <w:bookmarkEnd w:id="0"/>
      <w:r w:rsidRPr="003B0DB6">
        <w:rPr>
          <w:b/>
        </w:rPr>
        <w:t xml:space="preserve">Child Protection </w:t>
      </w:r>
      <w:r w:rsidR="000303DD" w:rsidRPr="003B0DB6">
        <w:rPr>
          <w:b/>
        </w:rPr>
        <w:t>Policy Checklist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8548"/>
        <w:gridCol w:w="1077"/>
      </w:tblGrid>
      <w:tr w:rsidR="003B0DB6" w:rsidRPr="003A7C83" w:rsidTr="003B0DB6">
        <w:trPr>
          <w:jc w:val="center"/>
        </w:trPr>
        <w:tc>
          <w:tcPr>
            <w:tcW w:w="8548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Areas to be Included</w:t>
            </w:r>
          </w:p>
        </w:tc>
        <w:tc>
          <w:tcPr>
            <w:tcW w:w="1077" w:type="dxa"/>
            <w:shd w:val="clear" w:color="auto" w:fill="E6E6E6"/>
          </w:tcPr>
          <w:p w:rsidR="003B0DB6" w:rsidRDefault="003B0DB6" w:rsidP="00436043">
            <w:pPr>
              <w:spacing w:before="108" w:after="108"/>
              <w:ind w:left="108" w:right="108"/>
              <w:jc w:val="center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Done</w:t>
            </w: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state the school’s commitment to safeguarding and that it aims to create a culture of vigilance.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be clear that pupils are taught about safeguarding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Some policies may include the legislation that covers safeguarding in schools, in which case the list must be up to date.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outline the definitions, signs and symptoms of the four kinds of abuse and neglect.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include the signs and symptoms of child sexual exploitation.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include the signs and symptoms of female genital mutilation (FGM).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refer to the mandatory duty on teachers to report disclosures on FGM about a female under 18</w:t>
            </w:r>
            <w:r>
              <w:rPr>
                <w:rFonts w:cs="Arial"/>
                <w:sz w:val="22"/>
              </w:rPr>
              <w:t xml:space="preserve"> personally to the police.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refer to so-called ‘Honour-based’ Violence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4179E3" w:rsidRDefault="003B0DB6" w:rsidP="000303DD">
            <w:pPr>
              <w:spacing w:before="108" w:after="108"/>
              <w:ind w:left="108" w:right="108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The policy should refer to Children Missing Education (CME) and the school’s approach to tackling this issue.</w:t>
            </w:r>
            <w:r w:rsidRPr="004179E3">
              <w:rPr>
                <w:rFonts w:cs="Arial"/>
                <w:i/>
                <w:sz w:val="22"/>
              </w:rPr>
              <w:t xml:space="preserve"> </w:t>
            </w:r>
          </w:p>
        </w:tc>
        <w:tc>
          <w:tcPr>
            <w:tcW w:w="1077" w:type="dxa"/>
            <w:shd w:val="clear" w:color="auto" w:fill="FFFFFF"/>
          </w:tcPr>
          <w:p w:rsidR="003B0DB6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include the school’s duties under the Counter Terrorism and Security Act 2015 (The ‘Prevent Duty’)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reflect the fact that children with special educational needs and disabilities can face additional safeguarding challenges.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be clear about the school’s response to peer-on-peer abuse</w:t>
            </w:r>
            <w:r>
              <w:rPr>
                <w:rFonts w:cs="Arial"/>
                <w:sz w:val="22"/>
              </w:rPr>
              <w:t>, including incidents of ‘sexting’</w:t>
            </w:r>
            <w:r w:rsidRPr="003A7C8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define 'Private Fostering' and note that there is a mandatory duty to inform the local authority of children in such arrangements.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set out the role of the Designated Safeguarding Lead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school has at least two Designated Safeguarding Leads and these are named in the policy, along with contact details.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school has a named governor for safeguarding who is identified in the policy, along with appropriate contact details. The policy should also name the person to whom concerns about the </w:t>
            </w:r>
            <w:proofErr w:type="spellStart"/>
            <w:r w:rsidRPr="003A7C83">
              <w:rPr>
                <w:rFonts w:cs="Arial"/>
                <w:sz w:val="22"/>
              </w:rPr>
              <w:t>headteacher</w:t>
            </w:r>
            <w:proofErr w:type="spellEnd"/>
            <w:r w:rsidRPr="003A7C83">
              <w:rPr>
                <w:rFonts w:cs="Arial"/>
                <w:sz w:val="22"/>
              </w:rPr>
              <w:t xml:space="preserve"> can be taken.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lastRenderedPageBreak/>
              <w:t>The policy is clear that staff should promptly share their concerns in writing with the DSL and sets out the procedure for doing so.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be clear that all verbal conversations should be promptly recorded in writing.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There should be an identified single location for the delivery of concern forms and a clear method for alerting the DSL that a concern form has been raised.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be clear that any concerns about the conduct of other adults in the school should be taken to the </w:t>
            </w:r>
            <w:proofErr w:type="spellStart"/>
            <w:r w:rsidRPr="003A7C83">
              <w:rPr>
                <w:rFonts w:cs="Arial"/>
                <w:sz w:val="22"/>
              </w:rPr>
              <w:t>headteacher</w:t>
            </w:r>
            <w:proofErr w:type="spellEnd"/>
            <w:r w:rsidRPr="003A7C83">
              <w:rPr>
                <w:rFonts w:cs="Arial"/>
                <w:sz w:val="22"/>
              </w:rPr>
              <w:t xml:space="preserve"> (or the Designated Safeguarding Lead); and concerns about the </w:t>
            </w:r>
            <w:proofErr w:type="spellStart"/>
            <w:r w:rsidRPr="003A7C83">
              <w:rPr>
                <w:rFonts w:cs="Arial"/>
                <w:sz w:val="22"/>
              </w:rPr>
              <w:t>headteacher</w:t>
            </w:r>
            <w:proofErr w:type="spellEnd"/>
            <w:r w:rsidRPr="003A7C83">
              <w:rPr>
                <w:rFonts w:cs="Arial"/>
                <w:sz w:val="22"/>
              </w:rPr>
              <w:t xml:space="preserve"> shoul</w:t>
            </w:r>
            <w:r>
              <w:rPr>
                <w:rFonts w:cs="Arial"/>
                <w:sz w:val="22"/>
              </w:rPr>
              <w:t>d go to the Chair of Governors.</w:t>
            </w:r>
          </w:p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 proprietor-led independent schools, concerns about the proprietor(s) to be taken directly to the local authority Designated Officer (LADO).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be clear about the steps the DSL should take in order to refer a concern outside the school, </w:t>
            </w:r>
            <w:proofErr w:type="spellStart"/>
            <w:r w:rsidRPr="003A7C83">
              <w:rPr>
                <w:rFonts w:cs="Arial"/>
                <w:sz w:val="22"/>
              </w:rPr>
              <w:t>eg</w:t>
            </w:r>
            <w:proofErr w:type="spellEnd"/>
            <w:r w:rsidRPr="003A7C83">
              <w:rPr>
                <w:rFonts w:cs="Arial"/>
                <w:sz w:val="22"/>
              </w:rPr>
              <w:t xml:space="preserve">. a social services enquiry or to the local authority Designated Officer (LADO).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0303DD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240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 xml:space="preserve">The policy should set out the training opportunities for staff in different roles; and the type and frequency of training. 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240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policy should refer to Whistleblowing </w:t>
            </w:r>
          </w:p>
        </w:tc>
        <w:tc>
          <w:tcPr>
            <w:tcW w:w="1077" w:type="dxa"/>
            <w:shd w:val="clear" w:color="auto" w:fill="FFFFFF"/>
          </w:tcPr>
          <w:p w:rsidR="003B0DB6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be self-contained and not rely on other documents to understand it.</w:t>
            </w:r>
            <w:r w:rsidRPr="003A7C83">
              <w:t xml:space="preserve"> </w:t>
            </w:r>
            <w:r w:rsidRPr="003A7C83">
              <w:rPr>
                <w:rFonts w:cs="Arial"/>
                <w:sz w:val="22"/>
              </w:rPr>
              <w:t>(Any appendices should be kept as part of the whole document.)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have a publication date and a review date (not later than one year from publication). Typically, these dates are put on the front cover.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policy should set out the other relevant documents all staff must have read:</w:t>
            </w:r>
          </w:p>
          <w:p w:rsidR="003B0DB6" w:rsidRPr="003A7C83" w:rsidRDefault="003B0DB6" w:rsidP="00436043">
            <w:pPr>
              <w:pStyle w:val="ListParagraph"/>
              <w:numPr>
                <w:ilvl w:val="0"/>
                <w:numId w:val="1"/>
              </w:numPr>
              <w:spacing w:before="108" w:after="108"/>
              <w:ind w:left="413" w:right="108" w:hanging="284"/>
              <w:rPr>
                <w:rFonts w:ascii="Arial" w:hAnsi="Arial" w:cs="Arial"/>
                <w:sz w:val="22"/>
                <w:szCs w:val="22"/>
              </w:rPr>
            </w:pPr>
            <w:r w:rsidRPr="003A7C83">
              <w:rPr>
                <w:rFonts w:ascii="Arial" w:hAnsi="Arial" w:cs="Arial"/>
                <w:sz w:val="22"/>
                <w:szCs w:val="22"/>
              </w:rPr>
              <w:t>Keeping Children Safe in Education (2016) [Part One]; and school leaders and staff that work directly with children should also read Annex A</w:t>
            </w:r>
          </w:p>
          <w:p w:rsidR="003B0DB6" w:rsidRPr="003A7C83" w:rsidRDefault="003B0DB6" w:rsidP="00436043">
            <w:pPr>
              <w:pStyle w:val="ListParagraph"/>
              <w:numPr>
                <w:ilvl w:val="0"/>
                <w:numId w:val="1"/>
              </w:numPr>
              <w:spacing w:before="108" w:after="108"/>
              <w:ind w:left="413" w:right="108" w:hanging="284"/>
              <w:rPr>
                <w:rFonts w:ascii="Arial" w:hAnsi="Arial" w:cs="Arial"/>
                <w:sz w:val="22"/>
                <w:szCs w:val="22"/>
              </w:rPr>
            </w:pPr>
            <w:r w:rsidRPr="003A7C83">
              <w:rPr>
                <w:rFonts w:ascii="Arial" w:hAnsi="Arial" w:cs="Arial"/>
                <w:sz w:val="22"/>
                <w:szCs w:val="22"/>
              </w:rPr>
              <w:t>School's Code of Conduct</w:t>
            </w:r>
          </w:p>
          <w:p w:rsidR="003B0DB6" w:rsidRPr="000D08B2" w:rsidRDefault="003B0DB6" w:rsidP="000303DD">
            <w:pPr>
              <w:pStyle w:val="ListParagraph"/>
              <w:numPr>
                <w:ilvl w:val="0"/>
                <w:numId w:val="1"/>
              </w:numPr>
              <w:spacing w:before="108" w:after="108"/>
              <w:ind w:left="413" w:right="108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3A7C83">
              <w:rPr>
                <w:rFonts w:ascii="Arial" w:hAnsi="Arial" w:cs="Arial"/>
                <w:sz w:val="22"/>
                <w:szCs w:val="22"/>
              </w:rPr>
              <w:t>School's Safeguarding Policy</w:t>
            </w:r>
            <w:r w:rsidRPr="003A7C83">
              <w:rPr>
                <w:rFonts w:ascii="Arial" w:hAnsi="Arial" w:cs="Arial"/>
                <w:sz w:val="22"/>
                <w:szCs w:val="22"/>
              </w:rPr>
              <w:br/>
            </w:r>
            <w:r w:rsidRPr="000D08B2">
              <w:rPr>
                <w:rFonts w:ascii="Arial" w:hAnsi="Arial" w:cs="Arial"/>
                <w:i/>
                <w:sz w:val="22"/>
                <w:szCs w:val="22"/>
              </w:rPr>
              <w:t>[Although not statutory, it is useful to ask staff to be familiar with 'What to do if you're worried a child is being abused', as it contains excellent examples of the different types of safeguarding issues.]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436043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  <w:tr w:rsidR="003B0DB6" w:rsidRPr="003A7C83" w:rsidTr="003B0DB6">
        <w:trPr>
          <w:jc w:val="center"/>
        </w:trPr>
        <w:tc>
          <w:tcPr>
            <w:tcW w:w="85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B6" w:rsidRPr="003A7C83" w:rsidRDefault="003B0DB6" w:rsidP="00137555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  <w:r w:rsidRPr="003A7C83">
              <w:rPr>
                <w:rFonts w:cs="Arial"/>
                <w:sz w:val="22"/>
              </w:rPr>
              <w:t>The current safeguarding and child protection policy should be available on the school's website</w:t>
            </w:r>
            <w:r>
              <w:rPr>
                <w:rFonts w:cs="Arial"/>
                <w:sz w:val="22"/>
              </w:rPr>
              <w:t xml:space="preserve">. Although this is not one of the </w:t>
            </w:r>
            <w:proofErr w:type="spellStart"/>
            <w:r>
              <w:rPr>
                <w:rFonts w:cs="Arial"/>
                <w:sz w:val="22"/>
              </w:rPr>
              <w:t>DfEs</w:t>
            </w:r>
            <w:proofErr w:type="spellEnd"/>
            <w:r>
              <w:rPr>
                <w:rFonts w:cs="Arial"/>
                <w:sz w:val="22"/>
              </w:rPr>
              <w:t xml:space="preserve"> statutory requirements Northumberland Safeguarding Board recommends that the policy is on the school website</w:t>
            </w:r>
          </w:p>
        </w:tc>
        <w:tc>
          <w:tcPr>
            <w:tcW w:w="1077" w:type="dxa"/>
            <w:shd w:val="clear" w:color="auto" w:fill="FFFFFF"/>
          </w:tcPr>
          <w:p w:rsidR="003B0DB6" w:rsidRPr="003A7C83" w:rsidRDefault="003B0DB6" w:rsidP="00137555">
            <w:pPr>
              <w:spacing w:before="108" w:after="108"/>
              <w:ind w:left="108" w:right="108"/>
              <w:rPr>
                <w:rFonts w:cs="Arial"/>
                <w:sz w:val="22"/>
              </w:rPr>
            </w:pPr>
          </w:p>
        </w:tc>
      </w:tr>
    </w:tbl>
    <w:p w:rsidR="000303DD" w:rsidRDefault="000303DD"/>
    <w:sectPr w:rsidR="000303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1A" w:rsidRDefault="00EA6C1A" w:rsidP="006B0238">
      <w:pPr>
        <w:spacing w:after="0" w:line="240" w:lineRule="auto"/>
      </w:pPr>
      <w:r>
        <w:separator/>
      </w:r>
    </w:p>
  </w:endnote>
  <w:endnote w:type="continuationSeparator" w:id="0">
    <w:p w:rsidR="00EA6C1A" w:rsidRDefault="00EA6C1A" w:rsidP="006B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1A" w:rsidRDefault="00EA6C1A" w:rsidP="006B0238">
      <w:pPr>
        <w:spacing w:after="0" w:line="240" w:lineRule="auto"/>
      </w:pPr>
      <w:r>
        <w:separator/>
      </w:r>
    </w:p>
  </w:footnote>
  <w:footnote w:type="continuationSeparator" w:id="0">
    <w:p w:rsidR="00EA6C1A" w:rsidRDefault="00EA6C1A" w:rsidP="006B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38" w:rsidRDefault="006B0238">
    <w:pPr>
      <w:pStyle w:val="Header"/>
    </w:pPr>
    <w:r w:rsidRPr="006B0238">
      <w:rPr>
        <w:noProof/>
        <w:lang w:eastAsia="en-GB"/>
      </w:rPr>
      <w:drawing>
        <wp:inline distT="0" distB="0" distL="0" distR="0" wp14:anchorId="7BFCF470" wp14:editId="323A69BE">
          <wp:extent cx="758021" cy="641350"/>
          <wp:effectExtent l="0" t="0" r="4445" b="6350"/>
          <wp:docPr id="348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2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1" cy="642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32"/>
        <w:szCs w:val="32"/>
        <w:lang w:eastAsia="en-GB"/>
      </w:rPr>
      <w:drawing>
        <wp:inline distT="0" distB="0" distL="0" distR="0" wp14:anchorId="05F77E03" wp14:editId="02A9E05B">
          <wp:extent cx="2500086" cy="495300"/>
          <wp:effectExtent l="0" t="0" r="0" b="0"/>
          <wp:docPr id="1" name="Picture 1" descr="NCC logo Fe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 logo Feb 20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086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238" w:rsidRDefault="006B0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DD1"/>
    <w:multiLevelType w:val="hybridMultilevel"/>
    <w:tmpl w:val="E1CAC34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D"/>
    <w:rsid w:val="000303DD"/>
    <w:rsid w:val="00137555"/>
    <w:rsid w:val="002569FF"/>
    <w:rsid w:val="003B0DB6"/>
    <w:rsid w:val="00572A80"/>
    <w:rsid w:val="006B0238"/>
    <w:rsid w:val="006C4128"/>
    <w:rsid w:val="007A5AA7"/>
    <w:rsid w:val="007B1821"/>
    <w:rsid w:val="00936559"/>
    <w:rsid w:val="00C92F17"/>
    <w:rsid w:val="00E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DD"/>
    <w:pPr>
      <w:spacing w:after="0" w:line="240" w:lineRule="auto"/>
      <w:ind w:left="720"/>
      <w:contextualSpacing/>
    </w:pPr>
    <w:rPr>
      <w:rFonts w:asciiTheme="majorHAnsi" w:eastAsiaTheme="minorEastAsia" w:hAnsiTheme="maj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38"/>
  </w:style>
  <w:style w:type="paragraph" w:styleId="Footer">
    <w:name w:val="footer"/>
    <w:basedOn w:val="Normal"/>
    <w:link w:val="FooterChar"/>
    <w:uiPriority w:val="99"/>
    <w:unhideWhenUsed/>
    <w:rsid w:val="006B0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38"/>
  </w:style>
  <w:style w:type="paragraph" w:styleId="BalloonText">
    <w:name w:val="Balloon Text"/>
    <w:basedOn w:val="Normal"/>
    <w:link w:val="BalloonTextChar"/>
    <w:uiPriority w:val="99"/>
    <w:semiHidden/>
    <w:unhideWhenUsed/>
    <w:rsid w:val="006B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DD"/>
    <w:pPr>
      <w:spacing w:after="0" w:line="240" w:lineRule="auto"/>
      <w:ind w:left="720"/>
      <w:contextualSpacing/>
    </w:pPr>
    <w:rPr>
      <w:rFonts w:asciiTheme="majorHAnsi" w:eastAsiaTheme="minorEastAsia" w:hAnsiTheme="maj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38"/>
  </w:style>
  <w:style w:type="paragraph" w:styleId="Footer">
    <w:name w:val="footer"/>
    <w:basedOn w:val="Normal"/>
    <w:link w:val="FooterChar"/>
    <w:uiPriority w:val="99"/>
    <w:unhideWhenUsed/>
    <w:rsid w:val="006B0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38"/>
  </w:style>
  <w:style w:type="paragraph" w:styleId="BalloonText">
    <w:name w:val="Balloon Text"/>
    <w:basedOn w:val="Normal"/>
    <w:link w:val="BalloonTextChar"/>
    <w:uiPriority w:val="99"/>
    <w:semiHidden/>
    <w:unhideWhenUsed/>
    <w:rsid w:val="006B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Leckie, Carol</dc:creator>
  <cp:lastModifiedBy>Walker, Jane</cp:lastModifiedBy>
  <cp:revision>2</cp:revision>
  <dcterms:created xsi:type="dcterms:W3CDTF">2016-10-17T07:52:00Z</dcterms:created>
  <dcterms:modified xsi:type="dcterms:W3CDTF">2016-10-17T07:52:00Z</dcterms:modified>
</cp:coreProperties>
</file>