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7E1" w:rsidRPr="00110289" w:rsidRDefault="00C857E1" w:rsidP="00EC5C3A">
      <w:pPr>
        <w:pStyle w:val="Heading6"/>
        <w:rPr>
          <w:color w:val="FF0000"/>
        </w:rPr>
      </w:pPr>
      <w:r w:rsidRPr="007429F2">
        <w:t>Introduction</w:t>
      </w:r>
      <w:r w:rsidR="00E40CA8" w:rsidRPr="00110289">
        <w:rPr>
          <w:color w:val="FF0000"/>
        </w:rPr>
        <w:t xml:space="preserve"> </w:t>
      </w:r>
    </w:p>
    <w:p w:rsidR="00E40CA8" w:rsidRPr="00110289" w:rsidRDefault="00E40CA8" w:rsidP="00300FEB">
      <w:pPr>
        <w:spacing w:before="120"/>
        <w:jc w:val="both"/>
        <w:rPr>
          <w:rFonts w:cs="Calibri"/>
          <w:lang w:eastAsia="en-GB"/>
        </w:rPr>
      </w:pPr>
      <w:r w:rsidRPr="00110289">
        <w:t xml:space="preserve">Health and Well-being Assessment profiles pull together statistics about groups of people with health and care needs in the County and form the evidence base in the Joint Strategic Needs Assessment for Northumberland. This profile provides statistics about </w:t>
      </w:r>
      <w:r w:rsidR="00110289" w:rsidRPr="00110289">
        <w:t>juvenile offenders</w:t>
      </w:r>
      <w:r w:rsidRPr="00110289">
        <w:t xml:space="preserve"> in Northumberland. These are </w:t>
      </w:r>
      <w:r w:rsidR="00110289" w:rsidRPr="00110289">
        <w:t>offenders aged 10 – 17 who have entered the Youth Justice system.</w:t>
      </w:r>
    </w:p>
    <w:p w:rsidR="004F2234" w:rsidRPr="00F46FBA" w:rsidRDefault="00E40CA8" w:rsidP="00300FEB">
      <w:pPr>
        <w:spacing w:before="120"/>
        <w:jc w:val="both"/>
      </w:pPr>
      <w:r w:rsidRPr="007429F2">
        <w:t>Detailed statistical tables containing additional information to that provided in this profile</w:t>
      </w:r>
      <w:r w:rsidR="00953A0E" w:rsidRPr="007429F2">
        <w:t>,</w:t>
      </w:r>
      <w:r w:rsidRPr="007429F2">
        <w:t xml:space="preserve"> for </w:t>
      </w:r>
      <w:r w:rsidR="0035318A" w:rsidRPr="007429F2">
        <w:t xml:space="preserve">juvenile offenders </w:t>
      </w:r>
      <w:r w:rsidRPr="007429F2">
        <w:t xml:space="preserve">can be found </w:t>
      </w:r>
      <w:hyperlink r:id="rId9" w:history="1">
        <w:r w:rsidRPr="00F46FBA">
          <w:rPr>
            <w:u w:val="single"/>
          </w:rPr>
          <w:t>online</w:t>
        </w:r>
      </w:hyperlink>
      <w:r w:rsidRPr="00F46FBA">
        <w:t>. Statistics relate to 31 January in the reference year.</w:t>
      </w:r>
    </w:p>
    <w:p w:rsidR="007429F2" w:rsidRPr="00F46FBA" w:rsidRDefault="00E40CA8" w:rsidP="007429F2">
      <w:pPr>
        <w:spacing w:before="120"/>
        <w:rPr>
          <w:b/>
          <w:sz w:val="24"/>
          <w:szCs w:val="24"/>
        </w:rPr>
      </w:pPr>
      <w:r w:rsidRPr="00F46FBA">
        <w:rPr>
          <w:b/>
          <w:sz w:val="24"/>
          <w:szCs w:val="24"/>
        </w:rPr>
        <w:t>Key points</w:t>
      </w:r>
      <w:bookmarkStart w:id="0" w:name="_GoBack"/>
      <w:bookmarkEnd w:id="0"/>
    </w:p>
    <w:p w:rsidR="007429F2" w:rsidRPr="00F46FBA" w:rsidRDefault="007429F2" w:rsidP="007429F2">
      <w:pPr>
        <w:pStyle w:val="ListParagraph"/>
        <w:numPr>
          <w:ilvl w:val="0"/>
          <w:numId w:val="9"/>
        </w:numPr>
        <w:ind w:left="714" w:hanging="357"/>
        <w:contextualSpacing w:val="0"/>
      </w:pPr>
      <w:r w:rsidRPr="00F46FBA">
        <w:t>In Northumberland in 2012/2013, 80% of juvenile offenders were male and 20% female.</w:t>
      </w:r>
    </w:p>
    <w:p w:rsidR="007429F2" w:rsidRPr="00F46FBA" w:rsidRDefault="007429F2" w:rsidP="007429F2">
      <w:pPr>
        <w:pStyle w:val="ListParagraph"/>
        <w:numPr>
          <w:ilvl w:val="0"/>
          <w:numId w:val="9"/>
        </w:numPr>
        <w:ind w:left="714" w:hanging="357"/>
        <w:contextualSpacing w:val="0"/>
      </w:pPr>
      <w:r w:rsidRPr="00F46FBA">
        <w:t>In 2011/2012 there were 415 children aged between 10 and 18 (a rate of 12.7 per 1,000 population) who had formally entered the youth justice system.</w:t>
      </w:r>
    </w:p>
    <w:p w:rsidR="007429F2" w:rsidRPr="00F46FBA" w:rsidRDefault="007429F2" w:rsidP="007429F2">
      <w:pPr>
        <w:pStyle w:val="ListParagraph"/>
        <w:numPr>
          <w:ilvl w:val="0"/>
          <w:numId w:val="9"/>
        </w:numPr>
        <w:ind w:left="714" w:hanging="357"/>
        <w:contextualSpacing w:val="0"/>
      </w:pPr>
      <w:r w:rsidRPr="00F46FBA">
        <w:t>In 2012, there were 144 youths in Northumberland who received their first reprimand, warning or conviction. This was a rate of 495 per 100,000 population.</w:t>
      </w:r>
    </w:p>
    <w:p w:rsidR="007429F2" w:rsidRPr="00F46FBA" w:rsidRDefault="007429F2" w:rsidP="007429F2">
      <w:pPr>
        <w:pStyle w:val="ListParagraph"/>
        <w:numPr>
          <w:ilvl w:val="0"/>
          <w:numId w:val="9"/>
        </w:numPr>
        <w:ind w:left="714" w:hanging="357"/>
        <w:contextualSpacing w:val="0"/>
      </w:pPr>
      <w:r w:rsidRPr="00F46FBA">
        <w:t>The proportion of young off</w:t>
      </w:r>
      <w:r w:rsidR="00F46FBA" w:rsidRPr="00F46FBA">
        <w:t>enders who re-offend has risen slightly over the past 7</w:t>
      </w:r>
      <w:r w:rsidRPr="00F46FBA">
        <w:t xml:space="preserve"> years in Northumberland.  In 2005 the</w:t>
      </w:r>
      <w:r w:rsidR="00F46FBA" w:rsidRPr="00F46FBA">
        <w:t xml:space="preserve"> percentage was 36.1 and in 2012</w:t>
      </w:r>
      <w:r w:rsidRPr="00F46FBA">
        <w:t xml:space="preserve"> the percentage</w:t>
      </w:r>
      <w:r w:rsidR="00F46FBA" w:rsidRPr="00F46FBA">
        <w:t xml:space="preserve"> was 38.3.</w:t>
      </w:r>
    </w:p>
    <w:p w:rsidR="007429F2" w:rsidRPr="007E2DB3" w:rsidRDefault="007429F2" w:rsidP="007429F2">
      <w:pPr>
        <w:pStyle w:val="ListParagraph"/>
        <w:numPr>
          <w:ilvl w:val="0"/>
          <w:numId w:val="9"/>
        </w:numPr>
        <w:ind w:left="714" w:hanging="357"/>
        <w:contextualSpacing w:val="0"/>
      </w:pPr>
      <w:r w:rsidRPr="007E2DB3">
        <w:t>Northumberland had the lowest rate (per 1</w:t>
      </w:r>
      <w:r w:rsidR="007E2DB3" w:rsidRPr="007E2DB3">
        <w:t>,</w:t>
      </w:r>
      <w:r w:rsidRPr="007E2DB3">
        <w:t>000 population aged 10 – 17), of young people who received a custodial sentence in 2013 (0.18)</w:t>
      </w:r>
      <w:r w:rsidR="00300FEB" w:rsidRPr="007E2DB3">
        <w:t xml:space="preserve"> compared to England </w:t>
      </w:r>
      <w:r w:rsidR="007E2DB3" w:rsidRPr="007E2DB3">
        <w:t>(0.64)</w:t>
      </w:r>
      <w:r w:rsidR="00C36596">
        <w:t xml:space="preserve"> </w:t>
      </w:r>
      <w:r w:rsidR="00300FEB" w:rsidRPr="007E2DB3">
        <w:t>and the North East region</w:t>
      </w:r>
      <w:r w:rsidR="007E2DB3" w:rsidRPr="007E2DB3">
        <w:t xml:space="preserve"> (0.64)</w:t>
      </w:r>
      <w:r w:rsidR="00300FEB" w:rsidRPr="007E2DB3">
        <w:t>.</w:t>
      </w:r>
    </w:p>
    <w:p w:rsidR="007429F2" w:rsidRPr="008958AC" w:rsidRDefault="007429F2" w:rsidP="007429F2">
      <w:pPr>
        <w:pStyle w:val="ListParagraph"/>
        <w:numPr>
          <w:ilvl w:val="0"/>
          <w:numId w:val="9"/>
        </w:numPr>
        <w:ind w:left="714" w:hanging="357"/>
        <w:contextualSpacing w:val="0"/>
      </w:pPr>
      <w:r w:rsidRPr="00C05FEA">
        <w:t>In the period 2010/2011, the domestic violence rate per 1,000 population was 19.9 in Northumberland, compared to 21.8 in the North East region.</w:t>
      </w:r>
    </w:p>
    <w:p w:rsidR="00E40CA8" w:rsidRPr="008958AC" w:rsidRDefault="00243332" w:rsidP="00E40CA8">
      <w:pPr>
        <w:rPr>
          <w:b/>
          <w:sz w:val="24"/>
          <w:szCs w:val="24"/>
        </w:rPr>
      </w:pPr>
      <w:r w:rsidRPr="008958AC">
        <w:rPr>
          <w:b/>
          <w:noProof/>
          <w:sz w:val="24"/>
          <w:szCs w:val="24"/>
          <w:lang w:eastAsia="en-GB"/>
        </w:rPr>
        <w:drawing>
          <wp:anchor distT="0" distB="0" distL="114300" distR="114300" simplePos="0" relativeHeight="251666432" behindDoc="0" locked="0" layoutInCell="1" allowOverlap="1" wp14:anchorId="21CE84EE" wp14:editId="0ACE50BE">
            <wp:simplePos x="0" y="0"/>
            <wp:positionH relativeFrom="column">
              <wp:posOffset>57150</wp:posOffset>
            </wp:positionH>
            <wp:positionV relativeFrom="paragraph">
              <wp:posOffset>35560</wp:posOffset>
            </wp:positionV>
            <wp:extent cx="3552825" cy="2495550"/>
            <wp:effectExtent l="0" t="0" r="9525" b="1905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8958AC">
        <w:rPr>
          <w:b/>
          <w:noProof/>
          <w:sz w:val="24"/>
          <w:szCs w:val="24"/>
          <w:lang w:eastAsia="en-GB"/>
        </w:rPr>
        <w:t>Age and gender of</w:t>
      </w:r>
      <w:r w:rsidRPr="008958AC">
        <w:rPr>
          <w:b/>
          <w:sz w:val="24"/>
          <w:szCs w:val="24"/>
        </w:rPr>
        <w:t xml:space="preserve"> juvenile offenders </w:t>
      </w:r>
    </w:p>
    <w:p w:rsidR="00243332" w:rsidRPr="008958AC" w:rsidRDefault="00243332" w:rsidP="00300FEB">
      <w:pPr>
        <w:jc w:val="both"/>
      </w:pPr>
      <w:r w:rsidRPr="008958AC">
        <w:t>In Northumberland in 2012/2013, 80% of juvenile offenders were male and 20% female.</w:t>
      </w:r>
    </w:p>
    <w:p w:rsidR="004A070D" w:rsidRPr="008958AC" w:rsidRDefault="004A070D" w:rsidP="00300FEB">
      <w:pPr>
        <w:jc w:val="both"/>
      </w:pPr>
      <w:r w:rsidRPr="008958AC">
        <w:t>In 2012/2013</w:t>
      </w:r>
      <w:r w:rsidR="0035318A" w:rsidRPr="008958AC">
        <w:t xml:space="preserve"> there were </w:t>
      </w:r>
      <w:r w:rsidRPr="008958AC">
        <w:t>293</w:t>
      </w:r>
      <w:r w:rsidR="008958AC" w:rsidRPr="008958AC">
        <w:t xml:space="preserve"> children aged between 10 and 17</w:t>
      </w:r>
      <w:r w:rsidR="0035318A" w:rsidRPr="008958AC">
        <w:t xml:space="preserve"> (a rate of </w:t>
      </w:r>
      <w:r w:rsidRPr="008958AC">
        <w:t>408</w:t>
      </w:r>
      <w:r w:rsidR="0035318A" w:rsidRPr="008958AC">
        <w:t xml:space="preserve"> per 100</w:t>
      </w:r>
      <w:r w:rsidRPr="008958AC">
        <w:t>,00</w:t>
      </w:r>
      <w:r w:rsidR="0035318A" w:rsidRPr="008958AC">
        <w:t xml:space="preserve">0 population) who had formally entered the youth justice system, which was a decrease from </w:t>
      </w:r>
      <w:r w:rsidRPr="008958AC">
        <w:t>505</w:t>
      </w:r>
      <w:r w:rsidR="00C36596">
        <w:t xml:space="preserve"> </w:t>
      </w:r>
      <w:r w:rsidRPr="008958AC">
        <w:t>in 2011/2012</w:t>
      </w:r>
      <w:r w:rsidR="0035318A" w:rsidRPr="008958AC">
        <w:t>. The com</w:t>
      </w:r>
      <w:r w:rsidRPr="008958AC">
        <w:t>parable rate for England in 2012</w:t>
      </w:r>
      <w:r w:rsidR="0035318A" w:rsidRPr="008958AC">
        <w:t>/201</w:t>
      </w:r>
      <w:r w:rsidRPr="008958AC">
        <w:t>3</w:t>
      </w:r>
      <w:r w:rsidR="0035318A" w:rsidRPr="008958AC">
        <w:t xml:space="preserve"> was </w:t>
      </w:r>
      <w:r w:rsidRPr="008958AC">
        <w:t>524</w:t>
      </w:r>
      <w:r w:rsidR="0035318A" w:rsidRPr="008958AC">
        <w:t xml:space="preserve"> for North East, and </w:t>
      </w:r>
      <w:r w:rsidRPr="008958AC">
        <w:t>440 for England</w:t>
      </w:r>
    </w:p>
    <w:p w:rsidR="008958AC" w:rsidRDefault="008958AC" w:rsidP="009001B8">
      <w:pPr>
        <w:spacing w:before="120"/>
        <w:rPr>
          <w:b/>
          <w:sz w:val="24"/>
        </w:rPr>
      </w:pPr>
    </w:p>
    <w:p w:rsidR="00FA0DBC" w:rsidRPr="001B677F" w:rsidRDefault="00FA0DBC" w:rsidP="009001B8">
      <w:pPr>
        <w:spacing w:before="120"/>
        <w:rPr>
          <w:b/>
          <w:sz w:val="24"/>
        </w:rPr>
      </w:pPr>
      <w:r w:rsidRPr="001B677F">
        <w:rPr>
          <w:b/>
          <w:sz w:val="24"/>
        </w:rPr>
        <w:t>Ethnic Group</w:t>
      </w:r>
    </w:p>
    <w:p w:rsidR="00271275" w:rsidRPr="001B677F" w:rsidRDefault="00300FEB" w:rsidP="009001B8">
      <w:pPr>
        <w:spacing w:before="120"/>
      </w:pPr>
      <w:r w:rsidRPr="001B677F">
        <w:t>No information on the ethnic group of juvenile offenders is available for Northumberland at this time.</w:t>
      </w:r>
    </w:p>
    <w:p w:rsidR="00E44D43" w:rsidRPr="001B677F" w:rsidRDefault="00243332" w:rsidP="00E44D43">
      <w:pPr>
        <w:spacing w:before="360" w:after="120"/>
        <w:rPr>
          <w:b/>
          <w:sz w:val="24"/>
        </w:rPr>
      </w:pPr>
      <w:r w:rsidRPr="001B677F">
        <w:rPr>
          <w:b/>
          <w:sz w:val="24"/>
        </w:rPr>
        <w:lastRenderedPageBreak/>
        <w:t>Children receiving their first reprimand, warning or conviction.</w:t>
      </w:r>
    </w:p>
    <w:p w:rsidR="007D04F7" w:rsidRPr="001B677F" w:rsidRDefault="008D2821" w:rsidP="00300FEB">
      <w:pPr>
        <w:tabs>
          <w:tab w:val="left" w:pos="6855"/>
        </w:tabs>
        <w:spacing w:after="0"/>
        <w:jc w:val="both"/>
      </w:pPr>
      <w:r w:rsidRPr="001B677F">
        <w:rPr>
          <w:noProof/>
          <w:lang w:eastAsia="en-GB"/>
        </w:rPr>
        <w:drawing>
          <wp:anchor distT="0" distB="0" distL="114300" distR="114300" simplePos="0" relativeHeight="251667456" behindDoc="0" locked="0" layoutInCell="1" allowOverlap="1" wp14:anchorId="601FD2C1" wp14:editId="3FE5242F">
            <wp:simplePos x="0" y="0"/>
            <wp:positionH relativeFrom="column">
              <wp:posOffset>0</wp:posOffset>
            </wp:positionH>
            <wp:positionV relativeFrom="paragraph">
              <wp:posOffset>3175</wp:posOffset>
            </wp:positionV>
            <wp:extent cx="4572000" cy="2743200"/>
            <wp:effectExtent l="0" t="0" r="19050" b="1905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1B677F">
        <w:t>In 2012</w:t>
      </w:r>
      <w:r w:rsidR="00385482" w:rsidRPr="001B677F">
        <w:t xml:space="preserve">, </w:t>
      </w:r>
      <w:r w:rsidR="0096730A" w:rsidRPr="001B677F">
        <w:t xml:space="preserve">there were 144 youths </w:t>
      </w:r>
      <w:r w:rsidR="00DA2CBB" w:rsidRPr="001B677F">
        <w:t>in Northumberland who received their first reprimand, warning or conviction. Thi</w:t>
      </w:r>
      <w:r w:rsidR="007429F2" w:rsidRPr="001B677F">
        <w:t xml:space="preserve">s was a rate of 495 per 100,000 </w:t>
      </w:r>
      <w:r w:rsidR="00DA2CBB" w:rsidRPr="001B677F">
        <w:t xml:space="preserve">population. The rate for the same period for England was 537, and 721 for the North East. The rate in Northumberland in 2012 was lower than 2011 (658) and 2010 (651).  </w:t>
      </w:r>
    </w:p>
    <w:p w:rsidR="00DA2CBB" w:rsidRDefault="00DA2CBB" w:rsidP="007D04F7">
      <w:pPr>
        <w:spacing w:before="120"/>
        <w:rPr>
          <w:b/>
          <w:color w:val="FF0000"/>
          <w:sz w:val="24"/>
        </w:rPr>
      </w:pPr>
    </w:p>
    <w:p w:rsidR="00047483" w:rsidRDefault="00047483" w:rsidP="007D04F7">
      <w:pPr>
        <w:spacing w:before="120"/>
        <w:rPr>
          <w:b/>
          <w:color w:val="FF0000"/>
          <w:sz w:val="24"/>
        </w:rPr>
      </w:pPr>
    </w:p>
    <w:p w:rsidR="00047483" w:rsidRDefault="00047483" w:rsidP="00DA2CBB">
      <w:pPr>
        <w:spacing w:before="120"/>
        <w:rPr>
          <w:b/>
          <w:sz w:val="24"/>
        </w:rPr>
      </w:pPr>
    </w:p>
    <w:p w:rsidR="007D04F7" w:rsidRPr="001B677F" w:rsidRDefault="00DA2CBB" w:rsidP="008E645A">
      <w:pPr>
        <w:spacing w:before="120"/>
        <w:rPr>
          <w:b/>
          <w:sz w:val="24"/>
        </w:rPr>
      </w:pPr>
      <w:r w:rsidRPr="001B677F">
        <w:rPr>
          <w:b/>
          <w:sz w:val="24"/>
        </w:rPr>
        <w:t>Re-offenders</w:t>
      </w:r>
      <w:r w:rsidRPr="001B677F">
        <w:rPr>
          <w:noProof/>
          <w:lang w:eastAsia="en-GB"/>
        </w:rPr>
        <w:t xml:space="preserve"> </w:t>
      </w:r>
      <w:r w:rsidR="00047483">
        <w:rPr>
          <w:noProof/>
          <w:lang w:eastAsia="en-GB"/>
        </w:rPr>
        <w:drawing>
          <wp:anchor distT="0" distB="0" distL="114300" distR="114300" simplePos="0" relativeHeight="251671552" behindDoc="0" locked="0" layoutInCell="1" allowOverlap="1">
            <wp:simplePos x="0" y="0"/>
            <wp:positionH relativeFrom="column">
              <wp:posOffset>2057400</wp:posOffset>
            </wp:positionH>
            <wp:positionV relativeFrom="paragraph">
              <wp:posOffset>1270</wp:posOffset>
            </wp:positionV>
            <wp:extent cx="4572000" cy="2743200"/>
            <wp:effectExtent l="0" t="0" r="19050" b="1905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385482" w:rsidRPr="001B677F" w:rsidRDefault="000A7908" w:rsidP="00300FEB">
      <w:pPr>
        <w:spacing w:after="0"/>
        <w:jc w:val="both"/>
      </w:pPr>
      <w:r w:rsidRPr="001B677F">
        <w:t>The proportion of young offenders who re-offend has</w:t>
      </w:r>
      <w:r w:rsidR="00047483">
        <w:t xml:space="preserve"> stayed constant over the past 8</w:t>
      </w:r>
      <w:r w:rsidRPr="001B677F">
        <w:t xml:space="preserve"> years in Northumberland. In 2005 the percentage was 36.1</w:t>
      </w:r>
      <w:r w:rsidR="001B677F" w:rsidRPr="001B677F">
        <w:t xml:space="preserve"> (483 persons)</w:t>
      </w:r>
      <w:r w:rsidRPr="001B677F">
        <w:t xml:space="preserve"> and in 201</w:t>
      </w:r>
      <w:r w:rsidR="001B677F" w:rsidRPr="001B677F">
        <w:t>2</w:t>
      </w:r>
      <w:r w:rsidRPr="001B677F">
        <w:t xml:space="preserve"> the percentage was </w:t>
      </w:r>
      <w:r w:rsidR="001B677F" w:rsidRPr="001B677F">
        <w:t>38.3</w:t>
      </w:r>
      <w:r w:rsidRPr="001B677F">
        <w:t>. The percentage figure</w:t>
      </w:r>
      <w:r w:rsidR="001B677F" w:rsidRPr="001B677F">
        <w:t xml:space="preserve"> for England for 2012</w:t>
      </w:r>
      <w:r w:rsidRPr="001B677F">
        <w:t xml:space="preserve"> was </w:t>
      </w:r>
      <w:r w:rsidR="001B677F" w:rsidRPr="001B677F">
        <w:t>lower at 35.7</w:t>
      </w:r>
      <w:r w:rsidRPr="001B677F">
        <w:t>%</w:t>
      </w:r>
      <w:r w:rsidR="00047483">
        <w:t>, and a</w:t>
      </w:r>
      <w:r w:rsidR="001B677F" w:rsidRPr="001B677F">
        <w:t>ll</w:t>
      </w:r>
      <w:r w:rsidRPr="001B677F">
        <w:t xml:space="preserve"> statistical neighbours had lower percentage figures</w:t>
      </w:r>
      <w:r w:rsidR="001B677F" w:rsidRPr="001B677F">
        <w:t xml:space="preserve"> in </w:t>
      </w:r>
      <w:r w:rsidR="00047483">
        <w:t>this year.</w:t>
      </w:r>
      <w:r w:rsidR="007F54D5" w:rsidRPr="001B677F">
        <w:t xml:space="preserve"> </w:t>
      </w:r>
    </w:p>
    <w:p w:rsidR="000A7908" w:rsidRPr="008E645A" w:rsidRDefault="000A7908" w:rsidP="00300FEB">
      <w:pPr>
        <w:spacing w:after="0"/>
        <w:jc w:val="both"/>
      </w:pPr>
      <w:r w:rsidRPr="008E645A">
        <w:t>The average number of re-offences per re-offender i</w:t>
      </w:r>
      <w:r w:rsidR="00047483" w:rsidRPr="008E645A">
        <w:t>n Northumberland in 201</w:t>
      </w:r>
      <w:r w:rsidR="008E645A" w:rsidRPr="008E645A">
        <w:t>2</w:t>
      </w:r>
      <w:r w:rsidR="00047483" w:rsidRPr="008E645A">
        <w:t xml:space="preserve"> was 3.18</w:t>
      </w:r>
      <w:r w:rsidRPr="008E645A">
        <w:t>, which was similar to the England figure of 2.9</w:t>
      </w:r>
      <w:r w:rsidR="00047483" w:rsidRPr="008E645A">
        <w:t>5</w:t>
      </w:r>
      <w:r w:rsidRPr="008E645A">
        <w:t>. This data is not available by region.</w:t>
      </w:r>
    </w:p>
    <w:p w:rsidR="000D4EC7" w:rsidRPr="008E645A" w:rsidRDefault="000D4EC7" w:rsidP="00300FEB">
      <w:pPr>
        <w:spacing w:after="0"/>
        <w:jc w:val="both"/>
      </w:pPr>
      <w:r w:rsidRPr="008E645A">
        <w:t xml:space="preserve">The average number of previous offences </w:t>
      </w:r>
      <w:r w:rsidR="00047483" w:rsidRPr="008E645A">
        <w:t xml:space="preserve">over </w:t>
      </w:r>
      <w:proofErr w:type="gramStart"/>
      <w:r w:rsidR="00047483" w:rsidRPr="008E645A">
        <w:t>a</w:t>
      </w:r>
      <w:proofErr w:type="gramEnd"/>
      <w:r w:rsidR="00047483" w:rsidRPr="008E645A">
        <w:t xml:space="preserve"> 8</w:t>
      </w:r>
      <w:r w:rsidRPr="008E645A">
        <w:t xml:space="preserve"> year period increased from 1.5 in 2005 to 3.2</w:t>
      </w:r>
      <w:r w:rsidR="00047483" w:rsidRPr="008E645A">
        <w:t>7 in 2012</w:t>
      </w:r>
      <w:r w:rsidRPr="008E645A">
        <w:t>. This pattern was the same in England with</w:t>
      </w:r>
      <w:r w:rsidR="00047483" w:rsidRPr="008E645A">
        <w:t xml:space="preserve"> a figure of 1.6 in 2005 and 2.6 in 2012</w:t>
      </w:r>
      <w:r w:rsidRPr="008E645A">
        <w:t>. Looking at Northumberland’s statistical neighbours, North Tynesid</w:t>
      </w:r>
      <w:r w:rsidR="00047483" w:rsidRPr="008E645A">
        <w:t>e had the highest figure in 2012</w:t>
      </w:r>
      <w:r w:rsidRPr="008E645A">
        <w:t xml:space="preserve"> with 4.3, </w:t>
      </w:r>
      <w:proofErr w:type="gramStart"/>
      <w:r w:rsidRPr="008E645A">
        <w:t>and  Nottinghamshire</w:t>
      </w:r>
      <w:proofErr w:type="gramEnd"/>
      <w:r w:rsidRPr="008E645A">
        <w:t xml:space="preserve"> </w:t>
      </w:r>
      <w:r w:rsidR="008E645A" w:rsidRPr="008E645A">
        <w:t>the lowest at 1.9</w:t>
      </w:r>
      <w:r w:rsidRPr="008E645A">
        <w:t>.</w:t>
      </w:r>
    </w:p>
    <w:p w:rsidR="00AC0E24" w:rsidRDefault="00AC0E24" w:rsidP="00D112BC">
      <w:pPr>
        <w:spacing w:before="120"/>
        <w:rPr>
          <w:b/>
          <w:sz w:val="24"/>
        </w:rPr>
      </w:pPr>
      <w:r w:rsidRPr="00981469">
        <w:rPr>
          <w:noProof/>
          <w:lang w:eastAsia="en-GB"/>
        </w:rPr>
        <w:lastRenderedPageBreak/>
        <w:drawing>
          <wp:anchor distT="0" distB="0" distL="114300" distR="114300" simplePos="0" relativeHeight="251670528" behindDoc="0" locked="0" layoutInCell="1" allowOverlap="1" wp14:anchorId="4525DE03" wp14:editId="58C2E045">
            <wp:simplePos x="0" y="0"/>
            <wp:positionH relativeFrom="column">
              <wp:posOffset>2057400</wp:posOffset>
            </wp:positionH>
            <wp:positionV relativeFrom="paragraph">
              <wp:posOffset>320675</wp:posOffset>
            </wp:positionV>
            <wp:extent cx="4572000" cy="3056890"/>
            <wp:effectExtent l="0" t="0" r="19050" b="1016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113227" w:rsidRPr="00981469" w:rsidRDefault="00D112BC" w:rsidP="00D112BC">
      <w:pPr>
        <w:spacing w:before="120"/>
        <w:rPr>
          <w:b/>
          <w:sz w:val="24"/>
        </w:rPr>
      </w:pPr>
      <w:r w:rsidRPr="00981469">
        <w:rPr>
          <w:b/>
          <w:sz w:val="24"/>
        </w:rPr>
        <w:t>Young people sentenced</w:t>
      </w:r>
      <w:r w:rsidR="00113227" w:rsidRPr="00981469">
        <w:rPr>
          <w:b/>
          <w:sz w:val="24"/>
        </w:rPr>
        <w:t xml:space="preserve"> to custody</w:t>
      </w:r>
      <w:r w:rsidRPr="00981469">
        <w:rPr>
          <w:noProof/>
          <w:lang w:eastAsia="en-GB"/>
        </w:rPr>
        <w:t xml:space="preserve"> </w:t>
      </w:r>
    </w:p>
    <w:p w:rsidR="00D112BC" w:rsidRPr="00981469" w:rsidRDefault="00D112BC" w:rsidP="00300FEB">
      <w:pPr>
        <w:spacing w:after="0"/>
        <w:jc w:val="both"/>
        <w:rPr>
          <w:b/>
          <w:sz w:val="24"/>
        </w:rPr>
      </w:pPr>
      <w:r w:rsidRPr="00981469">
        <w:t>Northumberland had the lowest rate (per 1000 population aged 10 – 17), of young people who received a custodial sentence in 2012 (0.1) and 2013 (0.18) compared to England, the North East region and NE local authorities. Northumberland also had the lowest rate for both years, compared to its statistical neighbours</w:t>
      </w:r>
      <w:r w:rsidRPr="00981469">
        <w:rPr>
          <w:b/>
          <w:sz w:val="24"/>
        </w:rPr>
        <w:t>.</w:t>
      </w:r>
    </w:p>
    <w:p w:rsidR="00113227" w:rsidRPr="00C05FEA" w:rsidRDefault="00113227" w:rsidP="007D04F7">
      <w:pPr>
        <w:spacing w:after="0"/>
        <w:rPr>
          <w:color w:val="FF0000"/>
        </w:rPr>
      </w:pPr>
    </w:p>
    <w:p w:rsidR="00300FEB" w:rsidRPr="00C05FEA" w:rsidRDefault="00300FEB" w:rsidP="000D4EC7">
      <w:pPr>
        <w:spacing w:before="120"/>
        <w:rPr>
          <w:b/>
          <w:color w:val="FF0000"/>
          <w:sz w:val="24"/>
        </w:rPr>
      </w:pPr>
    </w:p>
    <w:p w:rsidR="000D4EC7" w:rsidRPr="00981469" w:rsidRDefault="000D4EC7" w:rsidP="000D4EC7">
      <w:pPr>
        <w:spacing w:before="120"/>
        <w:rPr>
          <w:b/>
          <w:sz w:val="24"/>
        </w:rPr>
      </w:pPr>
      <w:r w:rsidRPr="00981469">
        <w:rPr>
          <w:b/>
          <w:sz w:val="24"/>
        </w:rPr>
        <w:t>Domestic violence</w:t>
      </w:r>
    </w:p>
    <w:p w:rsidR="00424584" w:rsidRPr="00981469" w:rsidRDefault="00300FEB" w:rsidP="00300FEB">
      <w:pPr>
        <w:spacing w:after="0"/>
        <w:jc w:val="both"/>
      </w:pPr>
      <w:r w:rsidRPr="00981469">
        <w:rPr>
          <w:noProof/>
          <w:lang w:eastAsia="en-GB"/>
        </w:rPr>
        <w:drawing>
          <wp:anchor distT="0" distB="0" distL="114300" distR="114300" simplePos="0" relativeHeight="251669504" behindDoc="0" locked="0" layoutInCell="1" allowOverlap="1" wp14:anchorId="794B9124" wp14:editId="630C1CB2">
            <wp:simplePos x="0" y="0"/>
            <wp:positionH relativeFrom="column">
              <wp:posOffset>0</wp:posOffset>
            </wp:positionH>
            <wp:positionV relativeFrom="paragraph">
              <wp:posOffset>80010</wp:posOffset>
            </wp:positionV>
            <wp:extent cx="4114800" cy="2924175"/>
            <wp:effectExtent l="0" t="0" r="19050" b="9525"/>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113227" w:rsidRPr="00981469">
        <w:t xml:space="preserve">Children who experience severe maltreatment by a parent or guardian are between 2.7 and 2.9 times more likely to also have witnessed family violence. Under 11s who had experienced physical abuse by a parent or guardian were almost 5 times more likely to have witnessed family violence. </w:t>
      </w:r>
      <w:r w:rsidR="000D4EC7" w:rsidRPr="00981469">
        <w:t xml:space="preserve">In the period 2010/2011, the domestic violence rate per 1,000 population was 19.9 in Northumberland, and 21.8 in the North East region (figures are not available for England). </w:t>
      </w:r>
      <w:r w:rsidR="00113227" w:rsidRPr="00981469">
        <w:t>Of the statistical neighbours</w:t>
      </w:r>
      <w:r w:rsidRPr="00981469">
        <w:t>, Stockton</w:t>
      </w:r>
      <w:r w:rsidR="00113227" w:rsidRPr="00981469">
        <w:t xml:space="preserve"> had the highest rate with 26.9 and Warrington the lowest, with a rate of 5.9. </w:t>
      </w:r>
    </w:p>
    <w:p w:rsidR="00AC0E24" w:rsidRDefault="00AC0E24" w:rsidP="00327AA5">
      <w:pPr>
        <w:spacing w:before="120"/>
        <w:rPr>
          <w:color w:val="FF0000"/>
        </w:rPr>
      </w:pPr>
    </w:p>
    <w:p w:rsidR="00AC0E24" w:rsidRPr="00C05FEA" w:rsidRDefault="00AC0E24" w:rsidP="00327AA5">
      <w:pPr>
        <w:spacing w:before="120"/>
        <w:rPr>
          <w:color w:val="FF0000"/>
        </w:rPr>
      </w:pPr>
    </w:p>
    <w:p w:rsidR="00F35505" w:rsidRPr="00110289" w:rsidRDefault="00F35505" w:rsidP="00327AA5">
      <w:pPr>
        <w:spacing w:before="120"/>
        <w:rPr>
          <w:color w:val="FF0000"/>
        </w:rPr>
      </w:pPr>
    </w:p>
    <w:p w:rsidR="00540F2E" w:rsidRPr="00215135" w:rsidRDefault="008217AA" w:rsidP="00A24C9B">
      <w:pPr>
        <w:pBdr>
          <w:top w:val="single" w:sz="4" w:space="1" w:color="0070C0"/>
        </w:pBdr>
        <w:spacing w:before="120" w:after="240"/>
        <w:jc w:val="center"/>
        <w:rPr>
          <w:i/>
          <w:sz w:val="20"/>
          <w:szCs w:val="20"/>
        </w:rPr>
      </w:pPr>
      <w:r w:rsidRPr="00215135">
        <w:rPr>
          <w:i/>
          <w:sz w:val="20"/>
          <w:szCs w:val="20"/>
        </w:rPr>
        <w:t xml:space="preserve">All information provided in this profile has been sourced from </w:t>
      </w:r>
      <w:hyperlink r:id="rId15" w:anchor="domain2" w:history="1">
        <w:proofErr w:type="spellStart"/>
        <w:r w:rsidR="00300FEB" w:rsidRPr="00300FEB">
          <w:rPr>
            <w:rStyle w:val="Hyperlink"/>
            <w:i/>
            <w:sz w:val="20"/>
            <w:szCs w:val="20"/>
          </w:rPr>
          <w:t>Chimat</w:t>
        </w:r>
        <w:proofErr w:type="spellEnd"/>
      </w:hyperlink>
      <w:r w:rsidRPr="00215135">
        <w:rPr>
          <w:i/>
          <w:sz w:val="20"/>
          <w:szCs w:val="20"/>
        </w:rPr>
        <w:t xml:space="preserve"> website</w:t>
      </w:r>
      <w:r w:rsidR="00300FEB">
        <w:rPr>
          <w:i/>
          <w:sz w:val="20"/>
          <w:szCs w:val="20"/>
        </w:rPr>
        <w:t xml:space="preserve">, </w:t>
      </w:r>
      <w:hyperlink r:id="rId16" w:history="1">
        <w:r w:rsidR="00300FEB" w:rsidRPr="00300FEB">
          <w:rPr>
            <w:rStyle w:val="Hyperlink"/>
            <w:i/>
            <w:sz w:val="20"/>
            <w:szCs w:val="20"/>
          </w:rPr>
          <w:t>Youth Justice Statistics</w:t>
        </w:r>
      </w:hyperlink>
      <w:r w:rsidRPr="00215135">
        <w:rPr>
          <w:i/>
          <w:sz w:val="20"/>
          <w:szCs w:val="20"/>
        </w:rPr>
        <w:t xml:space="preserve"> or fro</w:t>
      </w:r>
      <w:r w:rsidR="00540F2E">
        <w:rPr>
          <w:i/>
          <w:sz w:val="20"/>
          <w:szCs w:val="20"/>
        </w:rPr>
        <w:t xml:space="preserve">m Northumberland County Council. © Crown copyright 2014. </w:t>
      </w:r>
      <w:r w:rsidR="00540F2E" w:rsidRPr="00540F2E">
        <w:rPr>
          <w:i/>
          <w:sz w:val="20"/>
          <w:szCs w:val="20"/>
        </w:rPr>
        <w:t>Contains public sector information licensed under th</w:t>
      </w:r>
      <w:r w:rsidR="00053A51">
        <w:rPr>
          <w:i/>
          <w:sz w:val="20"/>
          <w:szCs w:val="20"/>
        </w:rPr>
        <w:t>e Open Government Licence v2.0.</w:t>
      </w:r>
    </w:p>
    <w:sectPr w:rsidR="00540F2E" w:rsidRPr="00215135" w:rsidSect="000861E6">
      <w:headerReference w:type="default" r:id="rId17"/>
      <w:footerReference w:type="default" r:id="rId18"/>
      <w:type w:val="continuous"/>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9F2" w:rsidRDefault="007429F2" w:rsidP="00882F9C">
      <w:pPr>
        <w:spacing w:after="0" w:line="240" w:lineRule="auto"/>
      </w:pPr>
      <w:r>
        <w:separator/>
      </w:r>
    </w:p>
  </w:endnote>
  <w:endnote w:type="continuationSeparator" w:id="0">
    <w:p w:rsidR="007429F2" w:rsidRDefault="007429F2" w:rsidP="00882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F2" w:rsidRDefault="007429F2" w:rsidP="009514D5">
    <w:pPr>
      <w:pStyle w:val="Footer"/>
      <w:pBdr>
        <w:top w:val="single" w:sz="4" w:space="1" w:color="0070C0"/>
        <w:left w:val="single" w:sz="4" w:space="4" w:color="0070C0"/>
        <w:bottom w:val="single" w:sz="4" w:space="1" w:color="0070C0"/>
        <w:right w:val="single" w:sz="4" w:space="4" w:color="0070C0"/>
      </w:pBdr>
      <w:shd w:val="clear" w:color="auto" w:fill="0070C0"/>
      <w:tabs>
        <w:tab w:val="clear" w:pos="4513"/>
      </w:tabs>
      <w:spacing w:after="0" w:line="240" w:lineRule="auto"/>
    </w:pPr>
    <w:r w:rsidRPr="009514D5">
      <w:rPr>
        <w:b/>
        <w:color w:val="FFFFFF"/>
      </w:rPr>
      <w:t>Northumberland JSNA</w:t>
    </w:r>
    <w:r>
      <w:rPr>
        <w:b/>
        <w:color w:val="FFFFFF"/>
      </w:rPr>
      <w:tab/>
    </w:r>
    <w:r>
      <w:rPr>
        <w:b/>
        <w:color w:val="FFFFFF"/>
      </w:rPr>
      <w:tab/>
    </w:r>
    <w:r w:rsidRPr="0082359B">
      <w:rPr>
        <w:b/>
        <w:color w:val="FFFFFF"/>
      </w:rPr>
      <w:t xml:space="preserve">Page </w:t>
    </w:r>
    <w:r w:rsidRPr="0082359B">
      <w:rPr>
        <w:b/>
        <w:color w:val="FFFFFF"/>
      </w:rPr>
      <w:fldChar w:fldCharType="begin"/>
    </w:r>
    <w:r w:rsidRPr="0082359B">
      <w:rPr>
        <w:b/>
        <w:color w:val="FFFFFF"/>
      </w:rPr>
      <w:instrText xml:space="preserve"> PAGE   \* MERGEFORMAT </w:instrText>
    </w:r>
    <w:r w:rsidRPr="0082359B">
      <w:rPr>
        <w:b/>
        <w:color w:val="FFFFFF"/>
      </w:rPr>
      <w:fldChar w:fldCharType="separate"/>
    </w:r>
    <w:r w:rsidR="00C36596">
      <w:rPr>
        <w:b/>
        <w:noProof/>
        <w:color w:val="FFFFFF"/>
      </w:rPr>
      <w:t>3</w:t>
    </w:r>
    <w:r w:rsidRPr="0082359B">
      <w:rPr>
        <w:b/>
        <w:color w:val="FFFFFF"/>
      </w:rPr>
      <w:fldChar w:fldCharType="end"/>
    </w:r>
    <w:r w:rsidRPr="0082359B">
      <w:rPr>
        <w:b/>
        <w:color w:val="FFFFFF"/>
      </w:rPr>
      <w:t xml:space="preserve"> of </w:t>
    </w:r>
    <w:r w:rsidRPr="0082359B">
      <w:rPr>
        <w:b/>
        <w:color w:val="FFFFFF"/>
      </w:rPr>
      <w:fldChar w:fldCharType="begin"/>
    </w:r>
    <w:r w:rsidRPr="0082359B">
      <w:rPr>
        <w:b/>
        <w:color w:val="FFFFFF"/>
      </w:rPr>
      <w:instrText xml:space="preserve"> NUMPAGES   \* MERGEFORMAT </w:instrText>
    </w:r>
    <w:r w:rsidRPr="0082359B">
      <w:rPr>
        <w:b/>
        <w:color w:val="FFFFFF"/>
      </w:rPr>
      <w:fldChar w:fldCharType="separate"/>
    </w:r>
    <w:r w:rsidR="00C36596">
      <w:rPr>
        <w:b/>
        <w:noProof/>
        <w:color w:val="FFFFFF"/>
      </w:rPr>
      <w:t>3</w:t>
    </w:r>
    <w:r w:rsidRPr="0082359B">
      <w:rPr>
        <w:b/>
        <w:color w:va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9F2" w:rsidRDefault="007429F2" w:rsidP="00882F9C">
      <w:pPr>
        <w:spacing w:after="0" w:line="240" w:lineRule="auto"/>
      </w:pPr>
      <w:r>
        <w:separator/>
      </w:r>
    </w:p>
  </w:footnote>
  <w:footnote w:type="continuationSeparator" w:id="0">
    <w:p w:rsidR="007429F2" w:rsidRDefault="007429F2" w:rsidP="00882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7429F2" w:rsidRPr="0082359B" w:rsidTr="00882F9C">
      <w:tc>
        <w:tcPr>
          <w:tcW w:w="10682" w:type="dxa"/>
          <w:tcBorders>
            <w:top w:val="single" w:sz="4" w:space="0" w:color="0070C0"/>
            <w:left w:val="single" w:sz="4" w:space="0" w:color="0070C0"/>
            <w:bottom w:val="single" w:sz="4" w:space="0" w:color="0070C0"/>
            <w:right w:val="single" w:sz="4" w:space="0" w:color="0070C0"/>
          </w:tcBorders>
          <w:shd w:val="clear" w:color="auto" w:fill="auto"/>
          <w:vAlign w:val="center"/>
        </w:tcPr>
        <w:p w:rsidR="007429F2" w:rsidRPr="0082359B" w:rsidRDefault="007429F2" w:rsidP="00882F9C">
          <w:pPr>
            <w:spacing w:after="0"/>
            <w:rPr>
              <w:color w:val="0070C0"/>
            </w:rPr>
          </w:pPr>
          <w:r w:rsidRPr="0082359B">
            <w:rPr>
              <w:color w:val="0070C0"/>
              <w:sz w:val="48"/>
            </w:rPr>
            <w:t xml:space="preserve">Health and Wellbeing Assessment </w:t>
          </w:r>
          <w:r w:rsidRPr="0082359B">
            <w:rPr>
              <w:color w:val="0070C0"/>
              <w:sz w:val="48"/>
            </w:rPr>
            <w:br/>
          </w:r>
          <w:r w:rsidRPr="0082359B">
            <w:rPr>
              <w:b/>
              <w:color w:val="0070C0"/>
            </w:rPr>
            <w:t xml:space="preserve">The Joint Strategic Needs Assessment </w:t>
          </w:r>
          <w:r>
            <w:rPr>
              <w:b/>
              <w:color w:val="0070C0"/>
            </w:rPr>
            <w:t xml:space="preserve">(JSNA) </w:t>
          </w:r>
          <w:r w:rsidRPr="0082359B">
            <w:rPr>
              <w:b/>
              <w:color w:val="0070C0"/>
            </w:rPr>
            <w:t>for Northumberland</w:t>
          </w:r>
        </w:p>
      </w:tc>
    </w:tr>
    <w:tr w:rsidR="007429F2" w:rsidRPr="0082359B" w:rsidTr="00DA3F0B">
      <w:trPr>
        <w:trHeight w:val="416"/>
      </w:trPr>
      <w:tc>
        <w:tcPr>
          <w:tcW w:w="10682" w:type="dxa"/>
          <w:tcBorders>
            <w:top w:val="single" w:sz="4" w:space="0" w:color="0070C0"/>
            <w:left w:val="single" w:sz="4" w:space="0" w:color="0070C0"/>
            <w:bottom w:val="single" w:sz="4" w:space="0" w:color="0070C0"/>
            <w:right w:val="single" w:sz="4" w:space="0" w:color="0070C0"/>
          </w:tcBorders>
          <w:shd w:val="clear" w:color="auto" w:fill="0070C0"/>
          <w:vAlign w:val="center"/>
        </w:tcPr>
        <w:p w:rsidR="007429F2" w:rsidRPr="0082359B" w:rsidRDefault="007429F2" w:rsidP="00DA3F0B">
          <w:pPr>
            <w:spacing w:after="0"/>
            <w:rPr>
              <w:b/>
              <w:color w:val="FFFFFF"/>
            </w:rPr>
          </w:pPr>
          <w:r>
            <w:rPr>
              <w:b/>
              <w:color w:val="FFFFFF"/>
            </w:rPr>
            <w:t>Juvenile Offenders</w:t>
          </w:r>
          <w:r w:rsidRPr="0082359B">
            <w:rPr>
              <w:b/>
              <w:color w:val="FFFFFF"/>
            </w:rPr>
            <w:t xml:space="preserve"> </w:t>
          </w:r>
          <w:r>
            <w:rPr>
              <w:b/>
              <w:color w:val="FFFFFF"/>
            </w:rPr>
            <w:t xml:space="preserve"> p</w:t>
          </w:r>
          <w:r w:rsidRPr="0082359B">
            <w:rPr>
              <w:b/>
              <w:color w:val="FFFFFF"/>
            </w:rPr>
            <w:t>rofile</w:t>
          </w:r>
        </w:p>
      </w:tc>
    </w:tr>
  </w:tbl>
  <w:p w:rsidR="007429F2" w:rsidRDefault="007429F2" w:rsidP="00960FAE">
    <w:pPr>
      <w:pStyle w:val="Header"/>
      <w:spacing w:after="0" w:line="72"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67F"/>
    <w:multiLevelType w:val="hybridMultilevel"/>
    <w:tmpl w:val="DE260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6638B"/>
    <w:multiLevelType w:val="hybridMultilevel"/>
    <w:tmpl w:val="4266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0C5C83"/>
    <w:multiLevelType w:val="hybridMultilevel"/>
    <w:tmpl w:val="8CBEB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6F1C39"/>
    <w:multiLevelType w:val="hybridMultilevel"/>
    <w:tmpl w:val="EF2E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780498"/>
    <w:multiLevelType w:val="hybridMultilevel"/>
    <w:tmpl w:val="B41A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5D44F9"/>
    <w:multiLevelType w:val="hybridMultilevel"/>
    <w:tmpl w:val="E7DA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E327EB"/>
    <w:multiLevelType w:val="hybridMultilevel"/>
    <w:tmpl w:val="35DA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574DD2"/>
    <w:multiLevelType w:val="hybridMultilevel"/>
    <w:tmpl w:val="74E8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412582"/>
    <w:multiLevelType w:val="hybridMultilevel"/>
    <w:tmpl w:val="4612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172EBB"/>
    <w:multiLevelType w:val="hybridMultilevel"/>
    <w:tmpl w:val="EF4A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8"/>
  </w:num>
  <w:num w:numId="6">
    <w:abstractNumId w:val="9"/>
  </w:num>
  <w:num w:numId="7">
    <w:abstractNumId w:val="6"/>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34"/>
    <w:rsid w:val="0000678C"/>
    <w:rsid w:val="000103C7"/>
    <w:rsid w:val="00046CCD"/>
    <w:rsid w:val="00047483"/>
    <w:rsid w:val="00053A51"/>
    <w:rsid w:val="0005410E"/>
    <w:rsid w:val="000854E2"/>
    <w:rsid w:val="000861E6"/>
    <w:rsid w:val="000A7908"/>
    <w:rsid w:val="000B332B"/>
    <w:rsid w:val="000D4EC7"/>
    <w:rsid w:val="000D7173"/>
    <w:rsid w:val="00105C8D"/>
    <w:rsid w:val="00110289"/>
    <w:rsid w:val="00113227"/>
    <w:rsid w:val="00116BBD"/>
    <w:rsid w:val="00117712"/>
    <w:rsid w:val="001468D3"/>
    <w:rsid w:val="00177455"/>
    <w:rsid w:val="001B4FF2"/>
    <w:rsid w:val="001B677F"/>
    <w:rsid w:val="001D0BD0"/>
    <w:rsid w:val="001F55B1"/>
    <w:rsid w:val="00214563"/>
    <w:rsid w:val="00215135"/>
    <w:rsid w:val="0023256B"/>
    <w:rsid w:val="00243332"/>
    <w:rsid w:val="00244092"/>
    <w:rsid w:val="0024501F"/>
    <w:rsid w:val="00246D0C"/>
    <w:rsid w:val="0024703B"/>
    <w:rsid w:val="00263829"/>
    <w:rsid w:val="00263AA0"/>
    <w:rsid w:val="00271275"/>
    <w:rsid w:val="00271C9A"/>
    <w:rsid w:val="002844F4"/>
    <w:rsid w:val="002A25EA"/>
    <w:rsid w:val="002B2260"/>
    <w:rsid w:val="002C67BD"/>
    <w:rsid w:val="002E72C4"/>
    <w:rsid w:val="003002F1"/>
    <w:rsid w:val="00300FEB"/>
    <w:rsid w:val="00315BE8"/>
    <w:rsid w:val="0032027A"/>
    <w:rsid w:val="00327AA5"/>
    <w:rsid w:val="003437E1"/>
    <w:rsid w:val="0035318A"/>
    <w:rsid w:val="00372B6F"/>
    <w:rsid w:val="003750DE"/>
    <w:rsid w:val="00377920"/>
    <w:rsid w:val="00385482"/>
    <w:rsid w:val="003907F9"/>
    <w:rsid w:val="003926A4"/>
    <w:rsid w:val="003D159C"/>
    <w:rsid w:val="003D3104"/>
    <w:rsid w:val="003D5037"/>
    <w:rsid w:val="004015C2"/>
    <w:rsid w:val="00412F38"/>
    <w:rsid w:val="00424584"/>
    <w:rsid w:val="00463F13"/>
    <w:rsid w:val="004A070D"/>
    <w:rsid w:val="004E0432"/>
    <w:rsid w:val="004E22E7"/>
    <w:rsid w:val="004F2234"/>
    <w:rsid w:val="0053299B"/>
    <w:rsid w:val="0053524C"/>
    <w:rsid w:val="00540F2E"/>
    <w:rsid w:val="00544A6E"/>
    <w:rsid w:val="00554CB9"/>
    <w:rsid w:val="00576178"/>
    <w:rsid w:val="00577500"/>
    <w:rsid w:val="00583B0A"/>
    <w:rsid w:val="00593A25"/>
    <w:rsid w:val="005B59E2"/>
    <w:rsid w:val="00603EB1"/>
    <w:rsid w:val="00616688"/>
    <w:rsid w:val="00626F80"/>
    <w:rsid w:val="006320BF"/>
    <w:rsid w:val="00672B81"/>
    <w:rsid w:val="006751CC"/>
    <w:rsid w:val="006769E2"/>
    <w:rsid w:val="006C172A"/>
    <w:rsid w:val="006C6E0B"/>
    <w:rsid w:val="006D1A93"/>
    <w:rsid w:val="006E3161"/>
    <w:rsid w:val="00720259"/>
    <w:rsid w:val="0072621A"/>
    <w:rsid w:val="00732524"/>
    <w:rsid w:val="007429F2"/>
    <w:rsid w:val="00764C85"/>
    <w:rsid w:val="0078289D"/>
    <w:rsid w:val="00791B6B"/>
    <w:rsid w:val="00797072"/>
    <w:rsid w:val="007C0C17"/>
    <w:rsid w:val="007D04F7"/>
    <w:rsid w:val="007D3995"/>
    <w:rsid w:val="007E2DB3"/>
    <w:rsid w:val="007F54D5"/>
    <w:rsid w:val="008217AA"/>
    <w:rsid w:val="0082359B"/>
    <w:rsid w:val="00840C76"/>
    <w:rsid w:val="0087105E"/>
    <w:rsid w:val="008819F3"/>
    <w:rsid w:val="00882F9C"/>
    <w:rsid w:val="008958AC"/>
    <w:rsid w:val="008A6A06"/>
    <w:rsid w:val="008B64A0"/>
    <w:rsid w:val="008D2821"/>
    <w:rsid w:val="008E645A"/>
    <w:rsid w:val="009001B8"/>
    <w:rsid w:val="009065C9"/>
    <w:rsid w:val="00926338"/>
    <w:rsid w:val="009267B4"/>
    <w:rsid w:val="00940A76"/>
    <w:rsid w:val="009514D5"/>
    <w:rsid w:val="00953A0E"/>
    <w:rsid w:val="00960FAE"/>
    <w:rsid w:val="0096730A"/>
    <w:rsid w:val="00977A38"/>
    <w:rsid w:val="0098010D"/>
    <w:rsid w:val="00981469"/>
    <w:rsid w:val="009D4110"/>
    <w:rsid w:val="009E3192"/>
    <w:rsid w:val="00A02E65"/>
    <w:rsid w:val="00A0306F"/>
    <w:rsid w:val="00A24C9B"/>
    <w:rsid w:val="00A27EE8"/>
    <w:rsid w:val="00A42124"/>
    <w:rsid w:val="00A50BC9"/>
    <w:rsid w:val="00A63273"/>
    <w:rsid w:val="00A66C9A"/>
    <w:rsid w:val="00A82089"/>
    <w:rsid w:val="00AC0E24"/>
    <w:rsid w:val="00AC1794"/>
    <w:rsid w:val="00AC77B8"/>
    <w:rsid w:val="00B1064C"/>
    <w:rsid w:val="00B56BC9"/>
    <w:rsid w:val="00B634D6"/>
    <w:rsid w:val="00B74C1E"/>
    <w:rsid w:val="00B92AD2"/>
    <w:rsid w:val="00BA1149"/>
    <w:rsid w:val="00BA3BA0"/>
    <w:rsid w:val="00BA69F3"/>
    <w:rsid w:val="00BC1D97"/>
    <w:rsid w:val="00BC3F0E"/>
    <w:rsid w:val="00C05FEA"/>
    <w:rsid w:val="00C17336"/>
    <w:rsid w:val="00C2422C"/>
    <w:rsid w:val="00C36596"/>
    <w:rsid w:val="00C46418"/>
    <w:rsid w:val="00C83AA2"/>
    <w:rsid w:val="00C857E1"/>
    <w:rsid w:val="00CA37FF"/>
    <w:rsid w:val="00CB1836"/>
    <w:rsid w:val="00CE308D"/>
    <w:rsid w:val="00D112BC"/>
    <w:rsid w:val="00D20DB6"/>
    <w:rsid w:val="00D32AC6"/>
    <w:rsid w:val="00D535B6"/>
    <w:rsid w:val="00D7369B"/>
    <w:rsid w:val="00D82B37"/>
    <w:rsid w:val="00DA2CBB"/>
    <w:rsid w:val="00DA3F0B"/>
    <w:rsid w:val="00DF4235"/>
    <w:rsid w:val="00E27774"/>
    <w:rsid w:val="00E40CA8"/>
    <w:rsid w:val="00E4245E"/>
    <w:rsid w:val="00E44D43"/>
    <w:rsid w:val="00E47AFD"/>
    <w:rsid w:val="00E53EE7"/>
    <w:rsid w:val="00E83156"/>
    <w:rsid w:val="00EA7472"/>
    <w:rsid w:val="00EC5C3A"/>
    <w:rsid w:val="00EC7292"/>
    <w:rsid w:val="00EE7607"/>
    <w:rsid w:val="00F065D2"/>
    <w:rsid w:val="00F13958"/>
    <w:rsid w:val="00F35505"/>
    <w:rsid w:val="00F46FBA"/>
    <w:rsid w:val="00F71E5B"/>
    <w:rsid w:val="00FA0DBC"/>
    <w:rsid w:val="00FA7038"/>
    <w:rsid w:val="00FB206C"/>
    <w:rsid w:val="00FB54D7"/>
    <w:rsid w:val="00FB74E5"/>
    <w:rsid w:val="00FC7581"/>
    <w:rsid w:val="00FE03EA"/>
    <w:rsid w:val="00FE63A7"/>
    <w:rsid w:val="00FF1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0678C"/>
    <w:pPr>
      <w:spacing w:before="360" w:after="120"/>
      <w:outlineLvl w:val="0"/>
    </w:pPr>
    <w:rPr>
      <w:b/>
      <w:sz w:val="24"/>
    </w:rPr>
  </w:style>
  <w:style w:type="paragraph" w:styleId="Heading2">
    <w:name w:val="heading 2"/>
    <w:basedOn w:val="Heading1"/>
    <w:next w:val="Normal"/>
    <w:link w:val="Heading2Char"/>
    <w:uiPriority w:val="9"/>
    <w:unhideWhenUsed/>
    <w:qFormat/>
    <w:rsid w:val="00EC5C3A"/>
    <w:pPr>
      <w:outlineLvl w:val="1"/>
    </w:pPr>
  </w:style>
  <w:style w:type="paragraph" w:styleId="Heading3">
    <w:name w:val="heading 3"/>
    <w:basedOn w:val="Heading2"/>
    <w:next w:val="Normal"/>
    <w:link w:val="Heading3Char"/>
    <w:uiPriority w:val="9"/>
    <w:unhideWhenUsed/>
    <w:qFormat/>
    <w:rsid w:val="00EC5C3A"/>
    <w:pPr>
      <w:outlineLvl w:val="2"/>
    </w:pPr>
  </w:style>
  <w:style w:type="paragraph" w:styleId="Heading4">
    <w:name w:val="heading 4"/>
    <w:basedOn w:val="Heading3"/>
    <w:next w:val="Normal"/>
    <w:link w:val="Heading4Char"/>
    <w:uiPriority w:val="9"/>
    <w:unhideWhenUsed/>
    <w:qFormat/>
    <w:rsid w:val="00EC5C3A"/>
    <w:pPr>
      <w:outlineLvl w:val="3"/>
    </w:pPr>
  </w:style>
  <w:style w:type="paragraph" w:styleId="Heading5">
    <w:name w:val="heading 5"/>
    <w:basedOn w:val="Heading4"/>
    <w:next w:val="Normal"/>
    <w:link w:val="Heading5Char"/>
    <w:uiPriority w:val="9"/>
    <w:unhideWhenUsed/>
    <w:qFormat/>
    <w:rsid w:val="00EC5C3A"/>
    <w:pPr>
      <w:outlineLvl w:val="4"/>
    </w:pPr>
  </w:style>
  <w:style w:type="paragraph" w:styleId="Heading6">
    <w:name w:val="heading 6"/>
    <w:basedOn w:val="Heading5"/>
    <w:next w:val="Normal"/>
    <w:link w:val="Heading6Char"/>
    <w:uiPriority w:val="9"/>
    <w:unhideWhenUsed/>
    <w:qFormat/>
    <w:rsid w:val="00EC5C3A"/>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x">
    <w:name w:val="Table x"/>
    <w:basedOn w:val="TableNormal"/>
    <w:uiPriority w:val="99"/>
    <w:rsid w:val="002B2260"/>
    <w:tblPr>
      <w:tblInd w:w="0" w:type="dxa"/>
      <w:tblCellMar>
        <w:top w:w="0" w:type="dxa"/>
        <w:left w:w="108" w:type="dxa"/>
        <w:bottom w:w="0" w:type="dxa"/>
        <w:right w:w="108" w:type="dxa"/>
      </w:tblCellMar>
    </w:tblPr>
  </w:style>
  <w:style w:type="character" w:styleId="Hyperlink">
    <w:name w:val="Hyperlink"/>
    <w:uiPriority w:val="99"/>
    <w:unhideWhenUsed/>
    <w:rsid w:val="004F2234"/>
    <w:rPr>
      <w:color w:val="0000FF"/>
      <w:u w:val="single"/>
    </w:rPr>
  </w:style>
  <w:style w:type="table" w:styleId="TableGrid">
    <w:name w:val="Table Grid"/>
    <w:basedOn w:val="TableNormal"/>
    <w:uiPriority w:val="59"/>
    <w:rsid w:val="00926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2F9C"/>
    <w:pPr>
      <w:tabs>
        <w:tab w:val="center" w:pos="4513"/>
        <w:tab w:val="right" w:pos="9026"/>
      </w:tabs>
    </w:pPr>
  </w:style>
  <w:style w:type="character" w:customStyle="1" w:styleId="HeaderChar">
    <w:name w:val="Header Char"/>
    <w:link w:val="Header"/>
    <w:uiPriority w:val="99"/>
    <w:rsid w:val="00882F9C"/>
    <w:rPr>
      <w:sz w:val="22"/>
      <w:szCs w:val="22"/>
      <w:lang w:eastAsia="en-US"/>
    </w:rPr>
  </w:style>
  <w:style w:type="paragraph" w:styleId="Footer">
    <w:name w:val="footer"/>
    <w:basedOn w:val="Normal"/>
    <w:link w:val="FooterChar"/>
    <w:uiPriority w:val="99"/>
    <w:unhideWhenUsed/>
    <w:rsid w:val="00882F9C"/>
    <w:pPr>
      <w:tabs>
        <w:tab w:val="center" w:pos="4513"/>
        <w:tab w:val="right" w:pos="9026"/>
      </w:tabs>
    </w:pPr>
  </w:style>
  <w:style w:type="character" w:customStyle="1" w:styleId="FooterChar">
    <w:name w:val="Footer Char"/>
    <w:link w:val="Footer"/>
    <w:uiPriority w:val="99"/>
    <w:rsid w:val="00882F9C"/>
    <w:rPr>
      <w:sz w:val="22"/>
      <w:szCs w:val="22"/>
      <w:lang w:eastAsia="en-US"/>
    </w:rPr>
  </w:style>
  <w:style w:type="character" w:customStyle="1" w:styleId="Heading1Char">
    <w:name w:val="Heading 1 Char"/>
    <w:basedOn w:val="DefaultParagraphFont"/>
    <w:link w:val="Heading1"/>
    <w:uiPriority w:val="9"/>
    <w:rsid w:val="0000678C"/>
    <w:rPr>
      <w:b/>
      <w:sz w:val="24"/>
      <w:szCs w:val="22"/>
      <w:lang w:eastAsia="en-US"/>
    </w:rPr>
  </w:style>
  <w:style w:type="character" w:customStyle="1" w:styleId="Heading2Char">
    <w:name w:val="Heading 2 Char"/>
    <w:basedOn w:val="DefaultParagraphFont"/>
    <w:link w:val="Heading2"/>
    <w:uiPriority w:val="9"/>
    <w:rsid w:val="00EC5C3A"/>
    <w:rPr>
      <w:b/>
      <w:sz w:val="24"/>
      <w:szCs w:val="22"/>
      <w:lang w:eastAsia="en-US"/>
    </w:rPr>
  </w:style>
  <w:style w:type="character" w:customStyle="1" w:styleId="Heading3Char">
    <w:name w:val="Heading 3 Char"/>
    <w:basedOn w:val="DefaultParagraphFont"/>
    <w:link w:val="Heading3"/>
    <w:uiPriority w:val="9"/>
    <w:rsid w:val="00EC5C3A"/>
    <w:rPr>
      <w:b/>
      <w:sz w:val="24"/>
      <w:szCs w:val="22"/>
      <w:lang w:eastAsia="en-US"/>
    </w:rPr>
  </w:style>
  <w:style w:type="character" w:customStyle="1" w:styleId="Heading4Char">
    <w:name w:val="Heading 4 Char"/>
    <w:basedOn w:val="DefaultParagraphFont"/>
    <w:link w:val="Heading4"/>
    <w:uiPriority w:val="9"/>
    <w:rsid w:val="00EC5C3A"/>
    <w:rPr>
      <w:b/>
      <w:sz w:val="24"/>
      <w:szCs w:val="22"/>
      <w:lang w:eastAsia="en-US"/>
    </w:rPr>
  </w:style>
  <w:style w:type="character" w:customStyle="1" w:styleId="Heading5Char">
    <w:name w:val="Heading 5 Char"/>
    <w:basedOn w:val="DefaultParagraphFont"/>
    <w:link w:val="Heading5"/>
    <w:uiPriority w:val="9"/>
    <w:rsid w:val="00EC5C3A"/>
    <w:rPr>
      <w:b/>
      <w:sz w:val="24"/>
      <w:szCs w:val="22"/>
      <w:lang w:eastAsia="en-US"/>
    </w:rPr>
  </w:style>
  <w:style w:type="character" w:customStyle="1" w:styleId="Heading6Char">
    <w:name w:val="Heading 6 Char"/>
    <w:basedOn w:val="DefaultParagraphFont"/>
    <w:link w:val="Heading6"/>
    <w:uiPriority w:val="9"/>
    <w:rsid w:val="00EC5C3A"/>
    <w:rPr>
      <w:b/>
      <w:sz w:val="24"/>
      <w:szCs w:val="22"/>
      <w:lang w:eastAsia="en-US"/>
    </w:rPr>
  </w:style>
  <w:style w:type="paragraph" w:styleId="BalloonText">
    <w:name w:val="Balloon Text"/>
    <w:basedOn w:val="Normal"/>
    <w:link w:val="BalloonTextChar"/>
    <w:uiPriority w:val="99"/>
    <w:semiHidden/>
    <w:unhideWhenUsed/>
    <w:rsid w:val="00720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259"/>
    <w:rPr>
      <w:rFonts w:ascii="Tahoma" w:hAnsi="Tahoma" w:cs="Tahoma"/>
      <w:sz w:val="16"/>
      <w:szCs w:val="16"/>
      <w:lang w:eastAsia="en-US"/>
    </w:rPr>
  </w:style>
  <w:style w:type="paragraph" w:styleId="ListParagraph">
    <w:name w:val="List Paragraph"/>
    <w:basedOn w:val="Normal"/>
    <w:uiPriority w:val="34"/>
    <w:qFormat/>
    <w:rsid w:val="007429F2"/>
    <w:pPr>
      <w:ind w:left="720"/>
      <w:contextualSpacing/>
    </w:pPr>
  </w:style>
  <w:style w:type="character" w:styleId="FollowedHyperlink">
    <w:name w:val="FollowedHyperlink"/>
    <w:basedOn w:val="DefaultParagraphFont"/>
    <w:uiPriority w:val="99"/>
    <w:semiHidden/>
    <w:unhideWhenUsed/>
    <w:rsid w:val="00300F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0678C"/>
    <w:pPr>
      <w:spacing w:before="360" w:after="120"/>
      <w:outlineLvl w:val="0"/>
    </w:pPr>
    <w:rPr>
      <w:b/>
      <w:sz w:val="24"/>
    </w:rPr>
  </w:style>
  <w:style w:type="paragraph" w:styleId="Heading2">
    <w:name w:val="heading 2"/>
    <w:basedOn w:val="Heading1"/>
    <w:next w:val="Normal"/>
    <w:link w:val="Heading2Char"/>
    <w:uiPriority w:val="9"/>
    <w:unhideWhenUsed/>
    <w:qFormat/>
    <w:rsid w:val="00EC5C3A"/>
    <w:pPr>
      <w:outlineLvl w:val="1"/>
    </w:pPr>
  </w:style>
  <w:style w:type="paragraph" w:styleId="Heading3">
    <w:name w:val="heading 3"/>
    <w:basedOn w:val="Heading2"/>
    <w:next w:val="Normal"/>
    <w:link w:val="Heading3Char"/>
    <w:uiPriority w:val="9"/>
    <w:unhideWhenUsed/>
    <w:qFormat/>
    <w:rsid w:val="00EC5C3A"/>
    <w:pPr>
      <w:outlineLvl w:val="2"/>
    </w:pPr>
  </w:style>
  <w:style w:type="paragraph" w:styleId="Heading4">
    <w:name w:val="heading 4"/>
    <w:basedOn w:val="Heading3"/>
    <w:next w:val="Normal"/>
    <w:link w:val="Heading4Char"/>
    <w:uiPriority w:val="9"/>
    <w:unhideWhenUsed/>
    <w:qFormat/>
    <w:rsid w:val="00EC5C3A"/>
    <w:pPr>
      <w:outlineLvl w:val="3"/>
    </w:pPr>
  </w:style>
  <w:style w:type="paragraph" w:styleId="Heading5">
    <w:name w:val="heading 5"/>
    <w:basedOn w:val="Heading4"/>
    <w:next w:val="Normal"/>
    <w:link w:val="Heading5Char"/>
    <w:uiPriority w:val="9"/>
    <w:unhideWhenUsed/>
    <w:qFormat/>
    <w:rsid w:val="00EC5C3A"/>
    <w:pPr>
      <w:outlineLvl w:val="4"/>
    </w:pPr>
  </w:style>
  <w:style w:type="paragraph" w:styleId="Heading6">
    <w:name w:val="heading 6"/>
    <w:basedOn w:val="Heading5"/>
    <w:next w:val="Normal"/>
    <w:link w:val="Heading6Char"/>
    <w:uiPriority w:val="9"/>
    <w:unhideWhenUsed/>
    <w:qFormat/>
    <w:rsid w:val="00EC5C3A"/>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x">
    <w:name w:val="Table x"/>
    <w:basedOn w:val="TableNormal"/>
    <w:uiPriority w:val="99"/>
    <w:rsid w:val="002B2260"/>
    <w:tblPr>
      <w:tblInd w:w="0" w:type="dxa"/>
      <w:tblCellMar>
        <w:top w:w="0" w:type="dxa"/>
        <w:left w:w="108" w:type="dxa"/>
        <w:bottom w:w="0" w:type="dxa"/>
        <w:right w:w="108" w:type="dxa"/>
      </w:tblCellMar>
    </w:tblPr>
  </w:style>
  <w:style w:type="character" w:styleId="Hyperlink">
    <w:name w:val="Hyperlink"/>
    <w:uiPriority w:val="99"/>
    <w:unhideWhenUsed/>
    <w:rsid w:val="004F2234"/>
    <w:rPr>
      <w:color w:val="0000FF"/>
      <w:u w:val="single"/>
    </w:rPr>
  </w:style>
  <w:style w:type="table" w:styleId="TableGrid">
    <w:name w:val="Table Grid"/>
    <w:basedOn w:val="TableNormal"/>
    <w:uiPriority w:val="59"/>
    <w:rsid w:val="00926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2F9C"/>
    <w:pPr>
      <w:tabs>
        <w:tab w:val="center" w:pos="4513"/>
        <w:tab w:val="right" w:pos="9026"/>
      </w:tabs>
    </w:pPr>
  </w:style>
  <w:style w:type="character" w:customStyle="1" w:styleId="HeaderChar">
    <w:name w:val="Header Char"/>
    <w:link w:val="Header"/>
    <w:uiPriority w:val="99"/>
    <w:rsid w:val="00882F9C"/>
    <w:rPr>
      <w:sz w:val="22"/>
      <w:szCs w:val="22"/>
      <w:lang w:eastAsia="en-US"/>
    </w:rPr>
  </w:style>
  <w:style w:type="paragraph" w:styleId="Footer">
    <w:name w:val="footer"/>
    <w:basedOn w:val="Normal"/>
    <w:link w:val="FooterChar"/>
    <w:uiPriority w:val="99"/>
    <w:unhideWhenUsed/>
    <w:rsid w:val="00882F9C"/>
    <w:pPr>
      <w:tabs>
        <w:tab w:val="center" w:pos="4513"/>
        <w:tab w:val="right" w:pos="9026"/>
      </w:tabs>
    </w:pPr>
  </w:style>
  <w:style w:type="character" w:customStyle="1" w:styleId="FooterChar">
    <w:name w:val="Footer Char"/>
    <w:link w:val="Footer"/>
    <w:uiPriority w:val="99"/>
    <w:rsid w:val="00882F9C"/>
    <w:rPr>
      <w:sz w:val="22"/>
      <w:szCs w:val="22"/>
      <w:lang w:eastAsia="en-US"/>
    </w:rPr>
  </w:style>
  <w:style w:type="character" w:customStyle="1" w:styleId="Heading1Char">
    <w:name w:val="Heading 1 Char"/>
    <w:basedOn w:val="DefaultParagraphFont"/>
    <w:link w:val="Heading1"/>
    <w:uiPriority w:val="9"/>
    <w:rsid w:val="0000678C"/>
    <w:rPr>
      <w:b/>
      <w:sz w:val="24"/>
      <w:szCs w:val="22"/>
      <w:lang w:eastAsia="en-US"/>
    </w:rPr>
  </w:style>
  <w:style w:type="character" w:customStyle="1" w:styleId="Heading2Char">
    <w:name w:val="Heading 2 Char"/>
    <w:basedOn w:val="DefaultParagraphFont"/>
    <w:link w:val="Heading2"/>
    <w:uiPriority w:val="9"/>
    <w:rsid w:val="00EC5C3A"/>
    <w:rPr>
      <w:b/>
      <w:sz w:val="24"/>
      <w:szCs w:val="22"/>
      <w:lang w:eastAsia="en-US"/>
    </w:rPr>
  </w:style>
  <w:style w:type="character" w:customStyle="1" w:styleId="Heading3Char">
    <w:name w:val="Heading 3 Char"/>
    <w:basedOn w:val="DefaultParagraphFont"/>
    <w:link w:val="Heading3"/>
    <w:uiPriority w:val="9"/>
    <w:rsid w:val="00EC5C3A"/>
    <w:rPr>
      <w:b/>
      <w:sz w:val="24"/>
      <w:szCs w:val="22"/>
      <w:lang w:eastAsia="en-US"/>
    </w:rPr>
  </w:style>
  <w:style w:type="character" w:customStyle="1" w:styleId="Heading4Char">
    <w:name w:val="Heading 4 Char"/>
    <w:basedOn w:val="DefaultParagraphFont"/>
    <w:link w:val="Heading4"/>
    <w:uiPriority w:val="9"/>
    <w:rsid w:val="00EC5C3A"/>
    <w:rPr>
      <w:b/>
      <w:sz w:val="24"/>
      <w:szCs w:val="22"/>
      <w:lang w:eastAsia="en-US"/>
    </w:rPr>
  </w:style>
  <w:style w:type="character" w:customStyle="1" w:styleId="Heading5Char">
    <w:name w:val="Heading 5 Char"/>
    <w:basedOn w:val="DefaultParagraphFont"/>
    <w:link w:val="Heading5"/>
    <w:uiPriority w:val="9"/>
    <w:rsid w:val="00EC5C3A"/>
    <w:rPr>
      <w:b/>
      <w:sz w:val="24"/>
      <w:szCs w:val="22"/>
      <w:lang w:eastAsia="en-US"/>
    </w:rPr>
  </w:style>
  <w:style w:type="character" w:customStyle="1" w:styleId="Heading6Char">
    <w:name w:val="Heading 6 Char"/>
    <w:basedOn w:val="DefaultParagraphFont"/>
    <w:link w:val="Heading6"/>
    <w:uiPriority w:val="9"/>
    <w:rsid w:val="00EC5C3A"/>
    <w:rPr>
      <w:b/>
      <w:sz w:val="24"/>
      <w:szCs w:val="22"/>
      <w:lang w:eastAsia="en-US"/>
    </w:rPr>
  </w:style>
  <w:style w:type="paragraph" w:styleId="BalloonText">
    <w:name w:val="Balloon Text"/>
    <w:basedOn w:val="Normal"/>
    <w:link w:val="BalloonTextChar"/>
    <w:uiPriority w:val="99"/>
    <w:semiHidden/>
    <w:unhideWhenUsed/>
    <w:rsid w:val="00720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259"/>
    <w:rPr>
      <w:rFonts w:ascii="Tahoma" w:hAnsi="Tahoma" w:cs="Tahoma"/>
      <w:sz w:val="16"/>
      <w:szCs w:val="16"/>
      <w:lang w:eastAsia="en-US"/>
    </w:rPr>
  </w:style>
  <w:style w:type="paragraph" w:styleId="ListParagraph">
    <w:name w:val="List Paragraph"/>
    <w:basedOn w:val="Normal"/>
    <w:uiPriority w:val="34"/>
    <w:qFormat/>
    <w:rsid w:val="007429F2"/>
    <w:pPr>
      <w:ind w:left="720"/>
      <w:contextualSpacing/>
    </w:pPr>
  </w:style>
  <w:style w:type="character" w:styleId="FollowedHyperlink">
    <w:name w:val="FollowedHyperlink"/>
    <w:basedOn w:val="DefaultParagraphFont"/>
    <w:uiPriority w:val="99"/>
    <w:semiHidden/>
    <w:unhideWhenUsed/>
    <w:rsid w:val="00300F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130">
      <w:bodyDiv w:val="1"/>
      <w:marLeft w:val="0"/>
      <w:marRight w:val="0"/>
      <w:marTop w:val="0"/>
      <w:marBottom w:val="0"/>
      <w:divBdr>
        <w:top w:val="none" w:sz="0" w:space="0" w:color="auto"/>
        <w:left w:val="none" w:sz="0" w:space="0" w:color="auto"/>
        <w:bottom w:val="none" w:sz="0" w:space="0" w:color="auto"/>
        <w:right w:val="none" w:sz="0" w:space="0" w:color="auto"/>
      </w:divBdr>
    </w:div>
    <w:div w:id="64763293">
      <w:bodyDiv w:val="1"/>
      <w:marLeft w:val="0"/>
      <w:marRight w:val="0"/>
      <w:marTop w:val="0"/>
      <w:marBottom w:val="0"/>
      <w:divBdr>
        <w:top w:val="none" w:sz="0" w:space="0" w:color="auto"/>
        <w:left w:val="none" w:sz="0" w:space="0" w:color="auto"/>
        <w:bottom w:val="none" w:sz="0" w:space="0" w:color="auto"/>
        <w:right w:val="none" w:sz="0" w:space="0" w:color="auto"/>
      </w:divBdr>
    </w:div>
    <w:div w:id="372461777">
      <w:bodyDiv w:val="1"/>
      <w:marLeft w:val="0"/>
      <w:marRight w:val="0"/>
      <w:marTop w:val="0"/>
      <w:marBottom w:val="0"/>
      <w:divBdr>
        <w:top w:val="none" w:sz="0" w:space="0" w:color="auto"/>
        <w:left w:val="none" w:sz="0" w:space="0" w:color="auto"/>
        <w:bottom w:val="none" w:sz="0" w:space="0" w:color="auto"/>
        <w:right w:val="none" w:sz="0" w:space="0" w:color="auto"/>
      </w:divBdr>
    </w:div>
    <w:div w:id="533884642">
      <w:bodyDiv w:val="1"/>
      <w:marLeft w:val="0"/>
      <w:marRight w:val="0"/>
      <w:marTop w:val="0"/>
      <w:marBottom w:val="0"/>
      <w:divBdr>
        <w:top w:val="none" w:sz="0" w:space="0" w:color="auto"/>
        <w:left w:val="none" w:sz="0" w:space="0" w:color="auto"/>
        <w:bottom w:val="none" w:sz="0" w:space="0" w:color="auto"/>
        <w:right w:val="none" w:sz="0" w:space="0" w:color="auto"/>
      </w:divBdr>
    </w:div>
    <w:div w:id="604533839">
      <w:bodyDiv w:val="1"/>
      <w:marLeft w:val="0"/>
      <w:marRight w:val="0"/>
      <w:marTop w:val="0"/>
      <w:marBottom w:val="0"/>
      <w:divBdr>
        <w:top w:val="none" w:sz="0" w:space="0" w:color="auto"/>
        <w:left w:val="none" w:sz="0" w:space="0" w:color="auto"/>
        <w:bottom w:val="none" w:sz="0" w:space="0" w:color="auto"/>
        <w:right w:val="none" w:sz="0" w:space="0" w:color="auto"/>
      </w:divBdr>
      <w:divsChild>
        <w:div w:id="2066634672">
          <w:marLeft w:val="0"/>
          <w:marRight w:val="0"/>
          <w:marTop w:val="0"/>
          <w:marBottom w:val="0"/>
          <w:divBdr>
            <w:top w:val="none" w:sz="0" w:space="0" w:color="auto"/>
            <w:left w:val="none" w:sz="0" w:space="0" w:color="auto"/>
            <w:bottom w:val="none" w:sz="0" w:space="0" w:color="auto"/>
            <w:right w:val="none" w:sz="0" w:space="0" w:color="auto"/>
          </w:divBdr>
          <w:divsChild>
            <w:div w:id="513426493">
              <w:marLeft w:val="0"/>
              <w:marRight w:val="0"/>
              <w:marTop w:val="0"/>
              <w:marBottom w:val="0"/>
              <w:divBdr>
                <w:top w:val="none" w:sz="0" w:space="0" w:color="auto"/>
                <w:left w:val="none" w:sz="0" w:space="0" w:color="auto"/>
                <w:bottom w:val="none" w:sz="0" w:space="0" w:color="auto"/>
                <w:right w:val="none" w:sz="0" w:space="0" w:color="auto"/>
              </w:divBdr>
              <w:divsChild>
                <w:div w:id="15834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51419">
      <w:bodyDiv w:val="1"/>
      <w:marLeft w:val="0"/>
      <w:marRight w:val="0"/>
      <w:marTop w:val="0"/>
      <w:marBottom w:val="0"/>
      <w:divBdr>
        <w:top w:val="none" w:sz="0" w:space="0" w:color="auto"/>
        <w:left w:val="none" w:sz="0" w:space="0" w:color="auto"/>
        <w:bottom w:val="none" w:sz="0" w:space="0" w:color="auto"/>
        <w:right w:val="none" w:sz="0" w:space="0" w:color="auto"/>
      </w:divBdr>
    </w:div>
    <w:div w:id="1700660983">
      <w:bodyDiv w:val="1"/>
      <w:marLeft w:val="0"/>
      <w:marRight w:val="0"/>
      <w:marTop w:val="0"/>
      <w:marBottom w:val="0"/>
      <w:divBdr>
        <w:top w:val="none" w:sz="0" w:space="0" w:color="auto"/>
        <w:left w:val="none" w:sz="0" w:space="0" w:color="auto"/>
        <w:bottom w:val="none" w:sz="0" w:space="0" w:color="auto"/>
        <w:right w:val="none" w:sz="0" w:space="0" w:color="auto"/>
      </w:divBdr>
    </w:div>
    <w:div w:id="209658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youth-justice-statistic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chimat.org.uk/jsnanavigator" TargetMode="Externa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orthumberland.gov.uk"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GB" sz="1100"/>
              <a:t>Figure 1: Children who are supervised</a:t>
            </a:r>
            <a:r>
              <a:rPr lang="en-GB" sz="1100" baseline="0"/>
              <a:t> by a youth offending team by age and gender</a:t>
            </a:r>
            <a:endParaRPr lang="en-GB" sz="1100"/>
          </a:p>
        </c:rich>
      </c:tx>
      <c:layout/>
      <c:overlay val="1"/>
    </c:title>
    <c:autoTitleDeleted val="0"/>
    <c:plotArea>
      <c:layout>
        <c:manualLayout>
          <c:layoutTarget val="inner"/>
          <c:xMode val="edge"/>
          <c:yMode val="edge"/>
          <c:x val="8.7273977402698724E-2"/>
          <c:y val="0.20408406964396625"/>
          <c:w val="0.85898966659394271"/>
          <c:h val="0.59437238284145788"/>
        </c:manualLayout>
      </c:layout>
      <c:barChart>
        <c:barDir val="col"/>
        <c:grouping val="clustered"/>
        <c:varyColors val="0"/>
        <c:ser>
          <c:idx val="0"/>
          <c:order val="0"/>
          <c:invertIfNegative val="0"/>
          <c:dPt>
            <c:idx val="0"/>
            <c:invertIfNegative val="0"/>
            <c:bubble3D val="0"/>
            <c:spPr>
              <a:solidFill>
                <a:schemeClr val="tx1"/>
              </a:solidFill>
            </c:spPr>
          </c:dPt>
          <c:dPt>
            <c:idx val="1"/>
            <c:invertIfNegative val="0"/>
            <c:bubble3D val="0"/>
            <c:spPr>
              <a:solidFill>
                <a:schemeClr val="tx1"/>
              </a:solidFill>
            </c:spPr>
          </c:dPt>
          <c:dPt>
            <c:idx val="2"/>
            <c:invertIfNegative val="0"/>
            <c:bubble3D val="0"/>
            <c:spPr>
              <a:solidFill>
                <a:schemeClr val="tx1"/>
              </a:solidFill>
            </c:spPr>
          </c:dPt>
          <c:dPt>
            <c:idx val="3"/>
            <c:invertIfNegative val="0"/>
            <c:bubble3D val="0"/>
            <c:spPr>
              <a:solidFill>
                <a:schemeClr val="tx1"/>
              </a:solidFill>
            </c:spPr>
          </c:dPt>
          <c:dPt>
            <c:idx val="4"/>
            <c:invertIfNegative val="0"/>
            <c:bubble3D val="0"/>
            <c:spPr>
              <a:solidFill>
                <a:schemeClr val="accent2"/>
              </a:solidFill>
            </c:spPr>
          </c:dPt>
          <c:cat>
            <c:multiLvlStrRef>
              <c:f>Sheet1!$B$83:$G$84</c:f>
              <c:multiLvlStrCache>
                <c:ptCount val="6"/>
                <c:lvl>
                  <c:pt idx="0">
                    <c:v>10-14</c:v>
                  </c:pt>
                  <c:pt idx="1">
                    <c:v>15</c:v>
                  </c:pt>
                  <c:pt idx="2">
                    <c:v>16</c:v>
                  </c:pt>
                  <c:pt idx="3">
                    <c:v>17+</c:v>
                  </c:pt>
                  <c:pt idx="4">
                    <c:v>Female</c:v>
                  </c:pt>
                  <c:pt idx="5">
                    <c:v>Male</c:v>
                  </c:pt>
                </c:lvl>
                <c:lvl>
                  <c:pt idx="0">
                    <c:v>Age</c:v>
                  </c:pt>
                  <c:pt idx="4">
                    <c:v>Gender</c:v>
                  </c:pt>
                </c:lvl>
              </c:multiLvlStrCache>
            </c:multiLvlStrRef>
          </c:cat>
          <c:val>
            <c:numRef>
              <c:f>Sheet1!$B$85:$G$85</c:f>
              <c:numCache>
                <c:formatCode>#,##0</c:formatCode>
                <c:ptCount val="6"/>
                <c:pt idx="0">
                  <c:v>80</c:v>
                </c:pt>
                <c:pt idx="1">
                  <c:v>54</c:v>
                </c:pt>
                <c:pt idx="2">
                  <c:v>70</c:v>
                </c:pt>
                <c:pt idx="3">
                  <c:v>89</c:v>
                </c:pt>
                <c:pt idx="4">
                  <c:v>59</c:v>
                </c:pt>
                <c:pt idx="5">
                  <c:v>234</c:v>
                </c:pt>
              </c:numCache>
            </c:numRef>
          </c:val>
        </c:ser>
        <c:dLbls>
          <c:showLegendKey val="0"/>
          <c:showVal val="0"/>
          <c:showCatName val="0"/>
          <c:showSerName val="0"/>
          <c:showPercent val="0"/>
          <c:showBubbleSize val="0"/>
        </c:dLbls>
        <c:gapWidth val="150"/>
        <c:axId val="30585600"/>
        <c:axId val="30587136"/>
      </c:barChart>
      <c:catAx>
        <c:axId val="30585600"/>
        <c:scaling>
          <c:orientation val="minMax"/>
        </c:scaling>
        <c:delete val="0"/>
        <c:axPos val="b"/>
        <c:majorTickMark val="out"/>
        <c:minorTickMark val="none"/>
        <c:tickLblPos val="nextTo"/>
        <c:crossAx val="30587136"/>
        <c:crosses val="autoZero"/>
        <c:auto val="1"/>
        <c:lblAlgn val="ctr"/>
        <c:lblOffset val="100"/>
        <c:noMultiLvlLbl val="0"/>
      </c:catAx>
      <c:valAx>
        <c:axId val="30587136"/>
        <c:scaling>
          <c:orientation val="minMax"/>
        </c:scaling>
        <c:delete val="0"/>
        <c:axPos val="l"/>
        <c:majorGridlines/>
        <c:numFmt formatCode="#,##0" sourceLinked="1"/>
        <c:majorTickMark val="out"/>
        <c:minorTickMark val="none"/>
        <c:tickLblPos val="nextTo"/>
        <c:crossAx val="30585600"/>
        <c:crosses val="autoZero"/>
        <c:crossBetween val="between"/>
      </c:valAx>
    </c:plotArea>
    <c:plotVisOnly val="1"/>
    <c:dispBlanksAs val="gap"/>
    <c:showDLblsOverMax val="0"/>
  </c:chart>
  <c:spPr>
    <a:ln>
      <a:solidFill>
        <a:schemeClr val="bg1">
          <a:lumMod val="65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Figure 2: Rate of 10 - 17 year olds receiving their first reprimand,</a:t>
            </a:r>
            <a:r>
              <a:rPr lang="en-US" sz="1100" baseline="0"/>
              <a:t> warning or conviction</a:t>
            </a:r>
            <a:endParaRPr lang="en-US" sz="1100"/>
          </a:p>
        </c:rich>
      </c:tx>
      <c:layout/>
      <c:overlay val="0"/>
    </c:title>
    <c:autoTitleDeleted val="0"/>
    <c:plotArea>
      <c:layout>
        <c:manualLayout>
          <c:layoutTarget val="inner"/>
          <c:xMode val="edge"/>
          <c:yMode val="edge"/>
          <c:x val="0.11789829396325459"/>
          <c:y val="0.17112277631962672"/>
          <c:w val="0.85154615048118987"/>
          <c:h val="0.44244568387284922"/>
        </c:manualLayout>
      </c:layout>
      <c:barChart>
        <c:barDir val="col"/>
        <c:grouping val="clustered"/>
        <c:varyColors val="0"/>
        <c:ser>
          <c:idx val="0"/>
          <c:order val="0"/>
          <c:tx>
            <c:strRef>
              <c:f>Sheet1!$B$5</c:f>
              <c:strCache>
                <c:ptCount val="1"/>
                <c:pt idx="0">
                  <c:v>rate</c:v>
                </c:pt>
              </c:strCache>
            </c:strRef>
          </c:tx>
          <c:invertIfNegative val="0"/>
          <c:dPt>
            <c:idx val="2"/>
            <c:invertIfNegative val="0"/>
            <c:bubble3D val="0"/>
            <c:spPr>
              <a:solidFill>
                <a:schemeClr val="accent2"/>
              </a:solidFill>
            </c:spPr>
          </c:dPt>
          <c:cat>
            <c:strRef>
              <c:f>Sheet1!$A$6:$A$19</c:f>
              <c:strCache>
                <c:ptCount val="14"/>
                <c:pt idx="0">
                  <c:v>North Tyneside</c:v>
                </c:pt>
                <c:pt idx="1">
                  <c:v>South Tyneside</c:v>
                </c:pt>
                <c:pt idx="2">
                  <c:v>Northumberland</c:v>
                </c:pt>
                <c:pt idx="3">
                  <c:v>England</c:v>
                </c:pt>
                <c:pt idx="4">
                  <c:v>Durham</c:v>
                </c:pt>
                <c:pt idx="5">
                  <c:v>Gateshead</c:v>
                </c:pt>
                <c:pt idx="6">
                  <c:v>Hartlepool</c:v>
                </c:pt>
                <c:pt idx="7">
                  <c:v>Darlington</c:v>
                </c:pt>
                <c:pt idx="8">
                  <c:v>Sunderland</c:v>
                </c:pt>
                <c:pt idx="9">
                  <c:v>North East Region</c:v>
                </c:pt>
                <c:pt idx="10">
                  <c:v>Newcastle upon Tyne</c:v>
                </c:pt>
                <c:pt idx="11">
                  <c:v>Redcar and Cleveland</c:v>
                </c:pt>
                <c:pt idx="12">
                  <c:v>Stockton-on-Tees</c:v>
                </c:pt>
                <c:pt idx="13">
                  <c:v>Middlesbrough</c:v>
                </c:pt>
              </c:strCache>
            </c:strRef>
          </c:cat>
          <c:val>
            <c:numRef>
              <c:f>Sheet1!$B$6:$B$19</c:f>
              <c:numCache>
                <c:formatCode>General</c:formatCode>
                <c:ptCount val="14"/>
                <c:pt idx="0">
                  <c:v>394.6</c:v>
                </c:pt>
                <c:pt idx="1">
                  <c:v>478.3</c:v>
                </c:pt>
                <c:pt idx="2">
                  <c:v>495.3</c:v>
                </c:pt>
                <c:pt idx="3">
                  <c:v>537</c:v>
                </c:pt>
                <c:pt idx="4">
                  <c:v>553.4</c:v>
                </c:pt>
                <c:pt idx="5">
                  <c:v>561.20000000000005</c:v>
                </c:pt>
                <c:pt idx="6">
                  <c:v>592</c:v>
                </c:pt>
                <c:pt idx="7">
                  <c:v>629.29999999999995</c:v>
                </c:pt>
                <c:pt idx="8">
                  <c:v>717.9</c:v>
                </c:pt>
                <c:pt idx="9">
                  <c:v>721.4</c:v>
                </c:pt>
                <c:pt idx="10">
                  <c:v>815.8</c:v>
                </c:pt>
                <c:pt idx="11">
                  <c:v>1234.2</c:v>
                </c:pt>
                <c:pt idx="12">
                  <c:v>1244.2</c:v>
                </c:pt>
                <c:pt idx="13">
                  <c:v>1426.6</c:v>
                </c:pt>
              </c:numCache>
            </c:numRef>
          </c:val>
        </c:ser>
        <c:dLbls>
          <c:showLegendKey val="0"/>
          <c:showVal val="0"/>
          <c:showCatName val="0"/>
          <c:showSerName val="0"/>
          <c:showPercent val="0"/>
          <c:showBubbleSize val="0"/>
        </c:dLbls>
        <c:gapWidth val="150"/>
        <c:axId val="30480640"/>
        <c:axId val="30482432"/>
      </c:barChart>
      <c:catAx>
        <c:axId val="30480640"/>
        <c:scaling>
          <c:orientation val="minMax"/>
        </c:scaling>
        <c:delete val="0"/>
        <c:axPos val="b"/>
        <c:majorTickMark val="out"/>
        <c:minorTickMark val="none"/>
        <c:tickLblPos val="nextTo"/>
        <c:crossAx val="30482432"/>
        <c:crosses val="autoZero"/>
        <c:auto val="1"/>
        <c:lblAlgn val="ctr"/>
        <c:lblOffset val="100"/>
        <c:noMultiLvlLbl val="0"/>
      </c:catAx>
      <c:valAx>
        <c:axId val="30482432"/>
        <c:scaling>
          <c:orientation val="minMax"/>
        </c:scaling>
        <c:delete val="0"/>
        <c:axPos val="l"/>
        <c:majorGridlines/>
        <c:numFmt formatCode="General" sourceLinked="1"/>
        <c:majorTickMark val="out"/>
        <c:minorTickMark val="none"/>
        <c:tickLblPos val="nextTo"/>
        <c:crossAx val="30480640"/>
        <c:crosses val="autoZero"/>
        <c:crossBetween val="between"/>
      </c:valAx>
    </c:plotArea>
    <c:plotVisOnly val="1"/>
    <c:dispBlanksAs val="gap"/>
    <c:showDLblsOverMax val="0"/>
  </c:chart>
  <c:spPr>
    <a:ln>
      <a:solidFill>
        <a:schemeClr val="bg1">
          <a:lumMod val="65000"/>
        </a:scheme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Figure 3: Proportion of offenders who</a:t>
            </a:r>
            <a:r>
              <a:rPr lang="en-US" sz="1100" baseline="0"/>
              <a:t> re-offend</a:t>
            </a:r>
            <a:endParaRPr lang="en-US" sz="1100"/>
          </a:p>
        </c:rich>
      </c:tx>
      <c:layout/>
      <c:overlay val="0"/>
    </c:title>
    <c:autoTitleDeleted val="0"/>
    <c:plotArea>
      <c:layout/>
      <c:barChart>
        <c:barDir val="col"/>
        <c:grouping val="clustered"/>
        <c:varyColors val="0"/>
        <c:ser>
          <c:idx val="0"/>
          <c:order val="0"/>
          <c:tx>
            <c:strRef>
              <c:f>Sheet1!$B$26</c:f>
              <c:strCache>
                <c:ptCount val="1"/>
                <c:pt idx="0">
                  <c:v>rate</c:v>
                </c:pt>
              </c:strCache>
            </c:strRef>
          </c:tx>
          <c:invertIfNegative val="0"/>
          <c:dPt>
            <c:idx val="2"/>
            <c:invertIfNegative val="0"/>
            <c:bubble3D val="0"/>
            <c:spPr>
              <a:solidFill>
                <a:schemeClr val="tx2">
                  <a:lumMod val="60000"/>
                  <a:lumOff val="40000"/>
                </a:schemeClr>
              </a:solidFill>
            </c:spPr>
          </c:dPt>
          <c:dPt>
            <c:idx val="4"/>
            <c:invertIfNegative val="0"/>
            <c:bubble3D val="0"/>
            <c:spPr>
              <a:solidFill>
                <a:schemeClr val="accent1"/>
              </a:solidFill>
            </c:spPr>
          </c:dPt>
          <c:dPt>
            <c:idx val="6"/>
            <c:invertIfNegative val="0"/>
            <c:bubble3D val="0"/>
            <c:spPr>
              <a:solidFill>
                <a:schemeClr val="accent2"/>
              </a:solidFill>
            </c:spPr>
          </c:dPt>
          <c:cat>
            <c:strRef>
              <c:f>Sheet1!$A$27:$A$38</c:f>
              <c:strCache>
                <c:ptCount val="12"/>
                <c:pt idx="0">
                  <c:v>Stockton-on-Tees</c:v>
                </c:pt>
                <c:pt idx="1">
                  <c:v>Redcar and Cleveland</c:v>
                </c:pt>
                <c:pt idx="2">
                  <c:v>Middlesbrough</c:v>
                </c:pt>
                <c:pt idx="3">
                  <c:v>Darlington</c:v>
                </c:pt>
                <c:pt idx="4">
                  <c:v>Durham</c:v>
                </c:pt>
                <c:pt idx="5">
                  <c:v>Sunderland</c:v>
                </c:pt>
                <c:pt idx="6">
                  <c:v>Northumberland</c:v>
                </c:pt>
                <c:pt idx="7">
                  <c:v>Gateshead</c:v>
                </c:pt>
                <c:pt idx="8">
                  <c:v>South Tyneside</c:v>
                </c:pt>
                <c:pt idx="9">
                  <c:v>North Tyneside</c:v>
                </c:pt>
                <c:pt idx="10">
                  <c:v>Newcastle upon Tyne</c:v>
                </c:pt>
                <c:pt idx="11">
                  <c:v>Hartlepool</c:v>
                </c:pt>
              </c:strCache>
            </c:strRef>
          </c:cat>
          <c:val>
            <c:numRef>
              <c:f>Sheet1!$B$27:$B$38</c:f>
              <c:numCache>
                <c:formatCode>General</c:formatCode>
                <c:ptCount val="12"/>
                <c:pt idx="0">
                  <c:v>26.2</c:v>
                </c:pt>
                <c:pt idx="1">
                  <c:v>31.9</c:v>
                </c:pt>
                <c:pt idx="2">
                  <c:v>34</c:v>
                </c:pt>
                <c:pt idx="3">
                  <c:v>36</c:v>
                </c:pt>
                <c:pt idx="4">
                  <c:v>36.9</c:v>
                </c:pt>
                <c:pt idx="5">
                  <c:v>37</c:v>
                </c:pt>
                <c:pt idx="6">
                  <c:v>38.299999999999997</c:v>
                </c:pt>
                <c:pt idx="7">
                  <c:v>39.200000000000003</c:v>
                </c:pt>
                <c:pt idx="8">
                  <c:v>43.2</c:v>
                </c:pt>
                <c:pt idx="9">
                  <c:v>44.7</c:v>
                </c:pt>
                <c:pt idx="10">
                  <c:v>46</c:v>
                </c:pt>
                <c:pt idx="11">
                  <c:v>50</c:v>
                </c:pt>
              </c:numCache>
            </c:numRef>
          </c:val>
        </c:ser>
        <c:dLbls>
          <c:showLegendKey val="0"/>
          <c:showVal val="0"/>
          <c:showCatName val="0"/>
          <c:showSerName val="0"/>
          <c:showPercent val="0"/>
          <c:showBubbleSize val="0"/>
        </c:dLbls>
        <c:gapWidth val="150"/>
        <c:axId val="46582016"/>
        <c:axId val="46632960"/>
      </c:barChart>
      <c:catAx>
        <c:axId val="46582016"/>
        <c:scaling>
          <c:orientation val="minMax"/>
        </c:scaling>
        <c:delete val="0"/>
        <c:axPos val="b"/>
        <c:majorTickMark val="out"/>
        <c:minorTickMark val="none"/>
        <c:tickLblPos val="nextTo"/>
        <c:crossAx val="46632960"/>
        <c:crosses val="autoZero"/>
        <c:auto val="1"/>
        <c:lblAlgn val="ctr"/>
        <c:lblOffset val="100"/>
        <c:noMultiLvlLbl val="0"/>
      </c:catAx>
      <c:valAx>
        <c:axId val="46632960"/>
        <c:scaling>
          <c:orientation val="minMax"/>
        </c:scaling>
        <c:delete val="0"/>
        <c:axPos val="l"/>
        <c:majorGridlines/>
        <c:numFmt formatCode="0" sourceLinked="0"/>
        <c:majorTickMark val="out"/>
        <c:minorTickMark val="none"/>
        <c:tickLblPos val="nextTo"/>
        <c:crossAx val="46582016"/>
        <c:crosses val="autoZero"/>
        <c:crossBetween val="between"/>
      </c:valAx>
    </c:plotArea>
    <c:plotVisOnly val="1"/>
    <c:dispBlanksAs val="gap"/>
    <c:showDLblsOverMax val="0"/>
  </c:chart>
  <c:spPr>
    <a:ln>
      <a:solidFill>
        <a:schemeClr val="bg1">
          <a:lumMod val="65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100"/>
              <a:t>Figure 4: Young people in YJS sentenced to custody</a:t>
            </a:r>
          </a:p>
        </c:rich>
      </c:tx>
      <c:layout>
        <c:manualLayout>
          <c:xMode val="edge"/>
          <c:yMode val="edge"/>
          <c:x val="0.15245822397200351"/>
          <c:y val="2.6835439394752088E-2"/>
        </c:manualLayout>
      </c:layout>
      <c:overlay val="1"/>
    </c:title>
    <c:autoTitleDeleted val="0"/>
    <c:plotArea>
      <c:layout>
        <c:manualLayout>
          <c:layoutTarget val="inner"/>
          <c:xMode val="edge"/>
          <c:yMode val="edge"/>
          <c:x val="9.3085739282589688E-2"/>
          <c:y val="0.13767610654895923"/>
          <c:w val="0.75617957130358704"/>
          <c:h val="0.53638728592154961"/>
        </c:manualLayout>
      </c:layout>
      <c:barChart>
        <c:barDir val="col"/>
        <c:grouping val="clustered"/>
        <c:varyColors val="0"/>
        <c:ser>
          <c:idx val="0"/>
          <c:order val="0"/>
          <c:tx>
            <c:strRef>
              <c:f>Sheet1!$B$105</c:f>
              <c:strCache>
                <c:ptCount val="1"/>
                <c:pt idx="0">
                  <c:v>2011</c:v>
                </c:pt>
              </c:strCache>
            </c:strRef>
          </c:tx>
          <c:invertIfNegative val="0"/>
          <c:dPt>
            <c:idx val="13"/>
            <c:invertIfNegative val="0"/>
            <c:bubble3D val="0"/>
            <c:spPr>
              <a:ln>
                <a:solidFill>
                  <a:schemeClr val="tx1"/>
                </a:solidFill>
              </a:ln>
            </c:spPr>
          </c:dPt>
          <c:cat>
            <c:strRef>
              <c:f>Sheet1!$A$106:$A$119</c:f>
              <c:strCache>
                <c:ptCount val="14"/>
                <c:pt idx="0">
                  <c:v>Stockton-on-Tees</c:v>
                </c:pt>
                <c:pt idx="1">
                  <c:v>Darlington</c:v>
                </c:pt>
                <c:pt idx="2">
                  <c:v>Redcar and Cleveland</c:v>
                </c:pt>
                <c:pt idx="3">
                  <c:v>Middlesbrough</c:v>
                </c:pt>
                <c:pt idx="4">
                  <c:v>Sunderland</c:v>
                </c:pt>
                <c:pt idx="5">
                  <c:v>North East Region</c:v>
                </c:pt>
                <c:pt idx="6">
                  <c:v>England</c:v>
                </c:pt>
                <c:pt idx="7">
                  <c:v>North Tyneside</c:v>
                </c:pt>
                <c:pt idx="8">
                  <c:v>Durham</c:v>
                </c:pt>
                <c:pt idx="9">
                  <c:v>Newcastle upon Tyne</c:v>
                </c:pt>
                <c:pt idx="10">
                  <c:v>Gateshead</c:v>
                </c:pt>
                <c:pt idx="11">
                  <c:v>Hartlepool</c:v>
                </c:pt>
                <c:pt idx="12">
                  <c:v>South Tyneside</c:v>
                </c:pt>
                <c:pt idx="13">
                  <c:v>Northumberland</c:v>
                </c:pt>
              </c:strCache>
            </c:strRef>
          </c:cat>
          <c:val>
            <c:numRef>
              <c:f>Sheet1!$B$106:$B$119</c:f>
              <c:numCache>
                <c:formatCode>0.00</c:formatCode>
                <c:ptCount val="14"/>
                <c:pt idx="0">
                  <c:v>0.87</c:v>
                </c:pt>
                <c:pt idx="1">
                  <c:v>0.94</c:v>
                </c:pt>
                <c:pt idx="2">
                  <c:v>1.56</c:v>
                </c:pt>
                <c:pt idx="3">
                  <c:v>1.56</c:v>
                </c:pt>
                <c:pt idx="4">
                  <c:v>0.46</c:v>
                </c:pt>
                <c:pt idx="5">
                  <c:v>0.78</c:v>
                </c:pt>
                <c:pt idx="6">
                  <c:v>0.9</c:v>
                </c:pt>
                <c:pt idx="7">
                  <c:v>0.74</c:v>
                </c:pt>
                <c:pt idx="8">
                  <c:v>0.79</c:v>
                </c:pt>
                <c:pt idx="9">
                  <c:v>0.75</c:v>
                </c:pt>
                <c:pt idx="10">
                  <c:v>0.75</c:v>
                </c:pt>
                <c:pt idx="11">
                  <c:v>0.96</c:v>
                </c:pt>
                <c:pt idx="12">
                  <c:v>0.35</c:v>
                </c:pt>
                <c:pt idx="13">
                  <c:v>0.39</c:v>
                </c:pt>
              </c:numCache>
            </c:numRef>
          </c:val>
        </c:ser>
        <c:ser>
          <c:idx val="1"/>
          <c:order val="1"/>
          <c:tx>
            <c:strRef>
              <c:f>Sheet1!$C$105</c:f>
              <c:strCache>
                <c:ptCount val="1"/>
                <c:pt idx="0">
                  <c:v>2012</c:v>
                </c:pt>
              </c:strCache>
            </c:strRef>
          </c:tx>
          <c:invertIfNegative val="0"/>
          <c:dPt>
            <c:idx val="13"/>
            <c:invertIfNegative val="0"/>
            <c:bubble3D val="0"/>
            <c:spPr>
              <a:ln>
                <a:solidFill>
                  <a:schemeClr val="tx1"/>
                </a:solidFill>
              </a:ln>
            </c:spPr>
          </c:dPt>
          <c:cat>
            <c:strRef>
              <c:f>Sheet1!$A$106:$A$119</c:f>
              <c:strCache>
                <c:ptCount val="14"/>
                <c:pt idx="0">
                  <c:v>Stockton-on-Tees</c:v>
                </c:pt>
                <c:pt idx="1">
                  <c:v>Darlington</c:v>
                </c:pt>
                <c:pt idx="2">
                  <c:v>Redcar and Cleveland</c:v>
                </c:pt>
                <c:pt idx="3">
                  <c:v>Middlesbrough</c:v>
                </c:pt>
                <c:pt idx="4">
                  <c:v>Sunderland</c:v>
                </c:pt>
                <c:pt idx="5">
                  <c:v>North East Region</c:v>
                </c:pt>
                <c:pt idx="6">
                  <c:v>England</c:v>
                </c:pt>
                <c:pt idx="7">
                  <c:v>North Tyneside</c:v>
                </c:pt>
                <c:pt idx="8">
                  <c:v>Durham</c:v>
                </c:pt>
                <c:pt idx="9">
                  <c:v>Newcastle upon Tyne</c:v>
                </c:pt>
                <c:pt idx="10">
                  <c:v>Gateshead</c:v>
                </c:pt>
                <c:pt idx="11">
                  <c:v>Hartlepool</c:v>
                </c:pt>
                <c:pt idx="12">
                  <c:v>South Tyneside</c:v>
                </c:pt>
                <c:pt idx="13">
                  <c:v>Northumberland</c:v>
                </c:pt>
              </c:strCache>
            </c:strRef>
          </c:cat>
          <c:val>
            <c:numRef>
              <c:f>Sheet1!$C$106:$C$119</c:f>
              <c:numCache>
                <c:formatCode>0.00</c:formatCode>
                <c:ptCount val="14"/>
                <c:pt idx="0">
                  <c:v>1.22</c:v>
                </c:pt>
                <c:pt idx="1">
                  <c:v>0.49</c:v>
                </c:pt>
                <c:pt idx="2">
                  <c:v>1.52</c:v>
                </c:pt>
                <c:pt idx="3">
                  <c:v>1.52</c:v>
                </c:pt>
                <c:pt idx="4">
                  <c:v>0.32</c:v>
                </c:pt>
                <c:pt idx="5">
                  <c:v>0.7</c:v>
                </c:pt>
                <c:pt idx="6">
                  <c:v>0.87</c:v>
                </c:pt>
                <c:pt idx="7">
                  <c:v>0.51</c:v>
                </c:pt>
                <c:pt idx="8">
                  <c:v>1.03</c:v>
                </c:pt>
                <c:pt idx="9">
                  <c:v>0.21</c:v>
                </c:pt>
                <c:pt idx="10">
                  <c:v>0.78</c:v>
                </c:pt>
                <c:pt idx="11">
                  <c:v>0.53</c:v>
                </c:pt>
                <c:pt idx="12">
                  <c:v>0.51</c:v>
                </c:pt>
                <c:pt idx="13">
                  <c:v>0.1</c:v>
                </c:pt>
              </c:numCache>
            </c:numRef>
          </c:val>
        </c:ser>
        <c:ser>
          <c:idx val="2"/>
          <c:order val="2"/>
          <c:tx>
            <c:strRef>
              <c:f>Sheet1!$D$105</c:f>
              <c:strCache>
                <c:ptCount val="1"/>
                <c:pt idx="0">
                  <c:v>2013</c:v>
                </c:pt>
              </c:strCache>
            </c:strRef>
          </c:tx>
          <c:invertIfNegative val="0"/>
          <c:dPt>
            <c:idx val="13"/>
            <c:invertIfNegative val="0"/>
            <c:bubble3D val="0"/>
            <c:spPr>
              <a:ln>
                <a:solidFill>
                  <a:schemeClr val="tx1"/>
                </a:solidFill>
              </a:ln>
            </c:spPr>
          </c:dPt>
          <c:cat>
            <c:strRef>
              <c:f>Sheet1!$A$106:$A$119</c:f>
              <c:strCache>
                <c:ptCount val="14"/>
                <c:pt idx="0">
                  <c:v>Stockton-on-Tees</c:v>
                </c:pt>
                <c:pt idx="1">
                  <c:v>Darlington</c:v>
                </c:pt>
                <c:pt idx="2">
                  <c:v>Redcar and Cleveland</c:v>
                </c:pt>
                <c:pt idx="3">
                  <c:v>Middlesbrough</c:v>
                </c:pt>
                <c:pt idx="4">
                  <c:v>Sunderland</c:v>
                </c:pt>
                <c:pt idx="5">
                  <c:v>North East Region</c:v>
                </c:pt>
                <c:pt idx="6">
                  <c:v>England</c:v>
                </c:pt>
                <c:pt idx="7">
                  <c:v>North Tyneside</c:v>
                </c:pt>
                <c:pt idx="8">
                  <c:v>Durham</c:v>
                </c:pt>
                <c:pt idx="9">
                  <c:v>Newcastle upon Tyne</c:v>
                </c:pt>
                <c:pt idx="10">
                  <c:v>Gateshead</c:v>
                </c:pt>
                <c:pt idx="11">
                  <c:v>Hartlepool</c:v>
                </c:pt>
                <c:pt idx="12">
                  <c:v>South Tyneside</c:v>
                </c:pt>
                <c:pt idx="13">
                  <c:v>Northumberland</c:v>
                </c:pt>
              </c:strCache>
            </c:strRef>
          </c:cat>
          <c:val>
            <c:numRef>
              <c:f>Sheet1!$D$106:$D$119</c:f>
              <c:numCache>
                <c:formatCode>0.00</c:formatCode>
                <c:ptCount val="14"/>
                <c:pt idx="0">
                  <c:v>1.26</c:v>
                </c:pt>
                <c:pt idx="1">
                  <c:v>1.1100000000000001</c:v>
                </c:pt>
                <c:pt idx="2">
                  <c:v>1.08</c:v>
                </c:pt>
                <c:pt idx="3">
                  <c:v>1.08</c:v>
                </c:pt>
                <c:pt idx="4">
                  <c:v>0.74</c:v>
                </c:pt>
                <c:pt idx="5">
                  <c:v>0.64</c:v>
                </c:pt>
                <c:pt idx="6">
                  <c:v>0.64</c:v>
                </c:pt>
                <c:pt idx="7">
                  <c:v>0.63</c:v>
                </c:pt>
                <c:pt idx="8">
                  <c:v>0.61</c:v>
                </c:pt>
                <c:pt idx="9">
                  <c:v>0.56000000000000005</c:v>
                </c:pt>
                <c:pt idx="10">
                  <c:v>0.45</c:v>
                </c:pt>
                <c:pt idx="11">
                  <c:v>0.33</c:v>
                </c:pt>
                <c:pt idx="12">
                  <c:v>0.22</c:v>
                </c:pt>
                <c:pt idx="13">
                  <c:v>0.18</c:v>
                </c:pt>
              </c:numCache>
            </c:numRef>
          </c:val>
        </c:ser>
        <c:dLbls>
          <c:showLegendKey val="0"/>
          <c:showVal val="0"/>
          <c:showCatName val="0"/>
          <c:showSerName val="0"/>
          <c:showPercent val="0"/>
          <c:showBubbleSize val="0"/>
        </c:dLbls>
        <c:gapWidth val="150"/>
        <c:axId val="80622336"/>
        <c:axId val="80623872"/>
      </c:barChart>
      <c:catAx>
        <c:axId val="80622336"/>
        <c:scaling>
          <c:orientation val="minMax"/>
        </c:scaling>
        <c:delete val="0"/>
        <c:axPos val="b"/>
        <c:majorTickMark val="out"/>
        <c:minorTickMark val="none"/>
        <c:tickLblPos val="nextTo"/>
        <c:crossAx val="80623872"/>
        <c:crosses val="autoZero"/>
        <c:auto val="1"/>
        <c:lblAlgn val="ctr"/>
        <c:lblOffset val="100"/>
        <c:noMultiLvlLbl val="0"/>
      </c:catAx>
      <c:valAx>
        <c:axId val="80623872"/>
        <c:scaling>
          <c:orientation val="minMax"/>
        </c:scaling>
        <c:delete val="0"/>
        <c:axPos val="l"/>
        <c:majorGridlines/>
        <c:numFmt formatCode="0.00" sourceLinked="1"/>
        <c:majorTickMark val="out"/>
        <c:minorTickMark val="none"/>
        <c:tickLblPos val="nextTo"/>
        <c:crossAx val="80622336"/>
        <c:crosses val="autoZero"/>
        <c:crossBetween val="between"/>
      </c:valAx>
    </c:plotArea>
    <c:legend>
      <c:legendPos val="r"/>
      <c:layout/>
      <c:overlay val="0"/>
    </c:legend>
    <c:plotVisOnly val="1"/>
    <c:dispBlanksAs val="gap"/>
    <c:showDLblsOverMax val="0"/>
  </c:chart>
  <c:spPr>
    <a:ln>
      <a:solidFill>
        <a:schemeClr val="bg1">
          <a:lumMod val="65000"/>
        </a:schemeClr>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Figure 5: Domestic violence rate per 1,000 population</a:t>
            </a:r>
          </a:p>
        </c:rich>
      </c:tx>
      <c:layout/>
      <c:overlay val="0"/>
    </c:title>
    <c:autoTitleDeleted val="0"/>
    <c:plotArea>
      <c:layout>
        <c:manualLayout>
          <c:layoutTarget val="inner"/>
          <c:xMode val="edge"/>
          <c:yMode val="edge"/>
          <c:x val="8.7121686208437923E-2"/>
          <c:y val="0.15524314668999709"/>
          <c:w val="0.90174557874588823"/>
          <c:h val="0.45685221638961798"/>
        </c:manualLayout>
      </c:layout>
      <c:barChart>
        <c:barDir val="col"/>
        <c:grouping val="clustered"/>
        <c:varyColors val="0"/>
        <c:ser>
          <c:idx val="0"/>
          <c:order val="0"/>
          <c:tx>
            <c:strRef>
              <c:f>Sheet1!$B$64</c:f>
              <c:strCache>
                <c:ptCount val="1"/>
                <c:pt idx="0">
                  <c:v>2010-2011</c:v>
                </c:pt>
              </c:strCache>
            </c:strRef>
          </c:tx>
          <c:invertIfNegative val="0"/>
          <c:dPt>
            <c:idx val="2"/>
            <c:invertIfNegative val="0"/>
            <c:bubble3D val="0"/>
            <c:spPr>
              <a:solidFill>
                <a:schemeClr val="accent1"/>
              </a:solidFill>
            </c:spPr>
          </c:dPt>
          <c:dPt>
            <c:idx val="3"/>
            <c:invertIfNegative val="0"/>
            <c:bubble3D val="0"/>
            <c:spPr>
              <a:solidFill>
                <a:schemeClr val="accent2"/>
              </a:solidFill>
            </c:spPr>
          </c:dPt>
          <c:dPt>
            <c:idx val="4"/>
            <c:invertIfNegative val="0"/>
            <c:bubble3D val="0"/>
            <c:spPr>
              <a:solidFill>
                <a:schemeClr val="accent1"/>
              </a:solidFill>
            </c:spPr>
          </c:dPt>
          <c:dPt>
            <c:idx val="9"/>
            <c:invertIfNegative val="0"/>
            <c:bubble3D val="0"/>
            <c:spPr>
              <a:solidFill>
                <a:schemeClr val="accent1"/>
              </a:solidFill>
            </c:spPr>
          </c:dPt>
          <c:cat>
            <c:strRef>
              <c:f>Sheet1!$A$65:$A$78</c:f>
              <c:strCache>
                <c:ptCount val="14"/>
                <c:pt idx="0">
                  <c:v>Gateshead</c:v>
                </c:pt>
                <c:pt idx="1">
                  <c:v>Newcastle-upon Tyne</c:v>
                </c:pt>
                <c:pt idx="2">
                  <c:v>North Tyneside</c:v>
                </c:pt>
                <c:pt idx="3">
                  <c:v>Northumberland</c:v>
                </c:pt>
                <c:pt idx="4">
                  <c:v>South Tyneside</c:v>
                </c:pt>
                <c:pt idx="5">
                  <c:v>Sunderland</c:v>
                </c:pt>
                <c:pt idx="6">
                  <c:v>Darlington</c:v>
                </c:pt>
                <c:pt idx="7">
                  <c:v>Durham</c:v>
                </c:pt>
                <c:pt idx="8">
                  <c:v>North East</c:v>
                </c:pt>
                <c:pt idx="9">
                  <c:v>Hartlepool</c:v>
                </c:pt>
                <c:pt idx="10">
                  <c:v>Middlesbrough</c:v>
                </c:pt>
                <c:pt idx="11">
                  <c:v>Redcar and Cleveland</c:v>
                </c:pt>
                <c:pt idx="12">
                  <c:v>Stockton-on-Tees</c:v>
                </c:pt>
                <c:pt idx="13">
                  <c:v>England</c:v>
                </c:pt>
              </c:strCache>
            </c:strRef>
          </c:cat>
          <c:val>
            <c:numRef>
              <c:f>Sheet1!$B$65:$B$78</c:f>
              <c:numCache>
                <c:formatCode>General</c:formatCode>
                <c:ptCount val="14"/>
                <c:pt idx="0">
                  <c:v>19.899999999999999</c:v>
                </c:pt>
                <c:pt idx="1">
                  <c:v>19.899999999999999</c:v>
                </c:pt>
                <c:pt idx="2">
                  <c:v>19.899999999999999</c:v>
                </c:pt>
                <c:pt idx="3">
                  <c:v>19.899999999999999</c:v>
                </c:pt>
                <c:pt idx="4">
                  <c:v>19.899999999999999</c:v>
                </c:pt>
                <c:pt idx="5">
                  <c:v>19.899999999999999</c:v>
                </c:pt>
                <c:pt idx="6">
                  <c:v>21.5</c:v>
                </c:pt>
                <c:pt idx="7">
                  <c:v>21.5</c:v>
                </c:pt>
                <c:pt idx="8">
                  <c:v>21.8</c:v>
                </c:pt>
                <c:pt idx="9">
                  <c:v>26.9</c:v>
                </c:pt>
                <c:pt idx="10">
                  <c:v>26.9</c:v>
                </c:pt>
                <c:pt idx="11">
                  <c:v>26.9</c:v>
                </c:pt>
                <c:pt idx="12">
                  <c:v>26.9</c:v>
                </c:pt>
                <c:pt idx="13">
                  <c:v>0</c:v>
                </c:pt>
              </c:numCache>
            </c:numRef>
          </c:val>
        </c:ser>
        <c:dLbls>
          <c:showLegendKey val="0"/>
          <c:showVal val="0"/>
          <c:showCatName val="0"/>
          <c:showSerName val="0"/>
          <c:showPercent val="0"/>
          <c:showBubbleSize val="0"/>
        </c:dLbls>
        <c:gapWidth val="150"/>
        <c:axId val="41106816"/>
        <c:axId val="41223296"/>
      </c:barChart>
      <c:catAx>
        <c:axId val="41106816"/>
        <c:scaling>
          <c:orientation val="minMax"/>
        </c:scaling>
        <c:delete val="0"/>
        <c:axPos val="b"/>
        <c:majorTickMark val="out"/>
        <c:minorTickMark val="none"/>
        <c:tickLblPos val="nextTo"/>
        <c:crossAx val="41223296"/>
        <c:crosses val="autoZero"/>
        <c:auto val="1"/>
        <c:lblAlgn val="ctr"/>
        <c:lblOffset val="100"/>
        <c:noMultiLvlLbl val="0"/>
      </c:catAx>
      <c:valAx>
        <c:axId val="41223296"/>
        <c:scaling>
          <c:orientation val="minMax"/>
          <c:min val="15"/>
        </c:scaling>
        <c:delete val="0"/>
        <c:axPos val="l"/>
        <c:majorGridlines/>
        <c:numFmt formatCode="0" sourceLinked="0"/>
        <c:majorTickMark val="out"/>
        <c:minorTickMark val="none"/>
        <c:tickLblPos val="nextTo"/>
        <c:crossAx val="41106816"/>
        <c:crosses val="autoZero"/>
        <c:crossBetween val="between"/>
      </c:valAx>
    </c:plotArea>
    <c:plotVisOnly val="1"/>
    <c:dispBlanksAs val="gap"/>
    <c:showDLblsOverMax val="0"/>
  </c:chart>
  <c:spPr>
    <a:ln>
      <a:solidFill>
        <a:schemeClr val="bg1">
          <a:lumMod val="65000"/>
        </a:scheme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25297-D29F-4A08-ACEB-A2953BF5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4658</CharactersWithSpaces>
  <SharedDoc>false</SharedDoc>
  <HLinks>
    <vt:vector size="12" baseType="variant">
      <vt:variant>
        <vt:i4>6291578</vt:i4>
      </vt:variant>
      <vt:variant>
        <vt:i4>3</vt:i4>
      </vt:variant>
      <vt:variant>
        <vt:i4>0</vt:i4>
      </vt:variant>
      <vt:variant>
        <vt:i4>5</vt:i4>
      </vt:variant>
      <vt:variant>
        <vt:lpwstr>http://www.gov.uk/</vt:lpwstr>
      </vt:variant>
      <vt:variant>
        <vt:lpwstr/>
      </vt:variant>
      <vt:variant>
        <vt:i4>5308495</vt:i4>
      </vt:variant>
      <vt:variant>
        <vt:i4>0</vt:i4>
      </vt:variant>
      <vt:variant>
        <vt:i4>0</vt:i4>
      </vt:variant>
      <vt:variant>
        <vt:i4>5</vt:i4>
      </vt:variant>
      <vt:variant>
        <vt:lpwstr>http://www.northumberland.gov.uk/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Iain</dc:creator>
  <cp:lastModifiedBy>Jamieson, Myra</cp:lastModifiedBy>
  <cp:revision>9</cp:revision>
  <cp:lastPrinted>2014-04-01T15:48:00Z</cp:lastPrinted>
  <dcterms:created xsi:type="dcterms:W3CDTF">2014-05-22T10:01:00Z</dcterms:created>
  <dcterms:modified xsi:type="dcterms:W3CDTF">2015-01-30T11:22:00Z</dcterms:modified>
</cp:coreProperties>
</file>