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4A" w:rsidRPr="00A24997" w:rsidRDefault="00C4424A" w:rsidP="00916E73">
      <w:pPr>
        <w:jc w:val="center"/>
        <w:outlineLvl w:val="0"/>
        <w:rPr>
          <w:rFonts w:ascii="Arial" w:hAnsi="Arial" w:cs="Arial"/>
          <w:b/>
          <w:sz w:val="24"/>
          <w:szCs w:val="24"/>
        </w:rPr>
      </w:pPr>
      <w:r w:rsidRPr="00A24997">
        <w:rPr>
          <w:rFonts w:ascii="Arial" w:hAnsi="Arial" w:cs="Arial"/>
          <w:b/>
          <w:sz w:val="24"/>
          <w:szCs w:val="24"/>
        </w:rPr>
        <w:t xml:space="preserve">NORTHUMBERLAND </w:t>
      </w:r>
      <w:smartTag w:uri="urn:schemas-microsoft-com:office:smarttags" w:element="PlaceType">
        <w:r w:rsidRPr="00A24997">
          <w:rPr>
            <w:rFonts w:ascii="Arial" w:hAnsi="Arial" w:cs="Arial"/>
            <w:b/>
            <w:sz w:val="24"/>
            <w:szCs w:val="24"/>
          </w:rPr>
          <w:t>COUNTY</w:t>
        </w:r>
      </w:smartTag>
      <w:r w:rsidRPr="00A24997">
        <w:rPr>
          <w:rFonts w:ascii="Arial" w:hAnsi="Arial" w:cs="Arial"/>
          <w:b/>
          <w:sz w:val="24"/>
          <w:szCs w:val="24"/>
        </w:rPr>
        <w:t xml:space="preserve"> COUNCIL PENSION FUND</w:t>
      </w:r>
    </w:p>
    <w:p w:rsidR="00C24D3A" w:rsidRPr="00916E73" w:rsidRDefault="00C24D3A" w:rsidP="00916E73">
      <w:pPr>
        <w:jc w:val="center"/>
        <w:rPr>
          <w:rFonts w:ascii="Arial" w:hAnsi="Arial" w:cs="Arial"/>
          <w:b/>
          <w:sz w:val="28"/>
          <w:szCs w:val="28"/>
        </w:rPr>
      </w:pPr>
      <w:r w:rsidRPr="00916E73">
        <w:rPr>
          <w:rFonts w:ascii="Arial" w:hAnsi="Arial" w:cs="Arial"/>
          <w:b/>
          <w:sz w:val="28"/>
          <w:szCs w:val="28"/>
        </w:rPr>
        <w:t>Funding Strategy Statement</w:t>
      </w:r>
    </w:p>
    <w:p w:rsidR="00C24D3A" w:rsidRDefault="001F3356" w:rsidP="00916E73">
      <w:pPr>
        <w:jc w:val="center"/>
        <w:rPr>
          <w:rFonts w:ascii="Arial" w:hAnsi="Arial" w:cs="Arial"/>
          <w:b/>
          <w:sz w:val="24"/>
          <w:szCs w:val="24"/>
        </w:rPr>
      </w:pPr>
      <w:r>
        <w:rPr>
          <w:rFonts w:ascii="Arial" w:hAnsi="Arial" w:cs="Arial"/>
          <w:b/>
          <w:sz w:val="24"/>
          <w:szCs w:val="24"/>
        </w:rPr>
        <w:t>March</w:t>
      </w:r>
      <w:r w:rsidRPr="00C24D3A">
        <w:rPr>
          <w:rFonts w:ascii="Arial" w:hAnsi="Arial" w:cs="Arial"/>
          <w:b/>
          <w:sz w:val="24"/>
          <w:szCs w:val="24"/>
        </w:rPr>
        <w:t xml:space="preserve"> </w:t>
      </w:r>
      <w:r w:rsidR="00D17349">
        <w:rPr>
          <w:rFonts w:ascii="Arial" w:hAnsi="Arial" w:cs="Arial"/>
          <w:b/>
          <w:sz w:val="24"/>
          <w:szCs w:val="24"/>
        </w:rPr>
        <w:t>2017</w:t>
      </w:r>
    </w:p>
    <w:p w:rsidR="00C24D3A" w:rsidRPr="00C24D3A" w:rsidRDefault="00C24D3A" w:rsidP="00916E73">
      <w:pPr>
        <w:jc w:val="center"/>
        <w:rPr>
          <w:rFonts w:ascii="Arial" w:hAnsi="Arial" w:cs="Arial"/>
          <w:sz w:val="24"/>
          <w:szCs w:val="24"/>
        </w:rPr>
      </w:pPr>
    </w:p>
    <w:p w:rsidR="00BA54BF" w:rsidRPr="00681B91" w:rsidRDefault="00256434" w:rsidP="000E56F2">
      <w:pPr>
        <w:rPr>
          <w:rFonts w:ascii="Arial" w:hAnsi="Arial" w:cs="Arial"/>
          <w:b/>
          <w:sz w:val="24"/>
          <w:szCs w:val="24"/>
          <w:u w:val="single"/>
        </w:rPr>
      </w:pPr>
      <w:bookmarkStart w:id="0" w:name="_Toc378753529"/>
      <w:bookmarkStart w:id="1" w:name="_Toc378753985"/>
      <w:bookmarkStart w:id="2" w:name="_Toc378754056"/>
      <w:bookmarkStart w:id="3" w:name="_Toc378756581"/>
      <w:bookmarkStart w:id="4" w:name="_Toc378760750"/>
      <w:r w:rsidRPr="00681B91">
        <w:rPr>
          <w:rFonts w:ascii="Arial" w:hAnsi="Arial" w:cs="Arial"/>
          <w:b/>
          <w:sz w:val="24"/>
          <w:szCs w:val="24"/>
          <w:u w:val="single"/>
        </w:rPr>
        <w:t>1. INTRODUCTION</w:t>
      </w:r>
    </w:p>
    <w:p w:rsidR="000E56F2" w:rsidRPr="00A24997" w:rsidRDefault="000E56F2" w:rsidP="000E56F2">
      <w:pPr>
        <w:rPr>
          <w:rFonts w:ascii="Arial" w:hAnsi="Arial" w:cs="Arial"/>
          <w:b/>
          <w:sz w:val="24"/>
          <w:szCs w:val="24"/>
        </w:rPr>
      </w:pPr>
    </w:p>
    <w:p w:rsidR="00BA54BF" w:rsidRPr="00681B91" w:rsidRDefault="00BA54BF" w:rsidP="001638F8">
      <w:pPr>
        <w:outlineLvl w:val="0"/>
        <w:rPr>
          <w:rFonts w:ascii="Arial" w:hAnsi="Arial" w:cs="Arial"/>
          <w:b/>
          <w:sz w:val="24"/>
          <w:szCs w:val="24"/>
        </w:rPr>
      </w:pPr>
      <w:r w:rsidRPr="00681B91">
        <w:rPr>
          <w:rFonts w:ascii="Arial" w:hAnsi="Arial" w:cs="Arial"/>
          <w:b/>
          <w:sz w:val="24"/>
          <w:szCs w:val="24"/>
        </w:rPr>
        <w:t>Overview</w:t>
      </w:r>
    </w:p>
    <w:p w:rsidR="00BA54BF" w:rsidRPr="00A24997" w:rsidRDefault="00BA54BF" w:rsidP="000E56F2">
      <w:pPr>
        <w:rPr>
          <w:rFonts w:ascii="Arial" w:hAnsi="Arial" w:cs="Arial"/>
          <w:sz w:val="24"/>
          <w:szCs w:val="24"/>
        </w:rPr>
      </w:pPr>
    </w:p>
    <w:p w:rsidR="00BA54BF" w:rsidRDefault="00BA54BF" w:rsidP="000E56F2">
      <w:pPr>
        <w:pStyle w:val="Normalplus"/>
        <w:spacing w:after="0"/>
        <w:jc w:val="both"/>
        <w:rPr>
          <w:rFonts w:ascii="Arial" w:hAnsi="Arial" w:cs="Arial"/>
          <w:sz w:val="24"/>
          <w:szCs w:val="24"/>
        </w:rPr>
      </w:pPr>
      <w:r w:rsidRPr="00A24997">
        <w:rPr>
          <w:rFonts w:ascii="Arial" w:hAnsi="Arial" w:cs="Arial"/>
          <w:sz w:val="24"/>
          <w:szCs w:val="24"/>
        </w:rPr>
        <w:t>This Statement</w:t>
      </w:r>
      <w:r w:rsidR="00882BFE">
        <w:rPr>
          <w:rFonts w:ascii="Arial" w:hAnsi="Arial" w:cs="Arial"/>
          <w:sz w:val="24"/>
          <w:szCs w:val="24"/>
        </w:rPr>
        <w:t>, originally prepared in accordance with Regulation 76A of the Local Government Regulations 1997,</w:t>
      </w:r>
      <w:r w:rsidRPr="00A24997">
        <w:rPr>
          <w:rFonts w:ascii="Arial" w:hAnsi="Arial" w:cs="Arial"/>
          <w:sz w:val="24"/>
          <w:szCs w:val="24"/>
        </w:rPr>
        <w:t xml:space="preserve"> has been </w:t>
      </w:r>
      <w:r w:rsidR="00882BFE">
        <w:rPr>
          <w:rFonts w:ascii="Arial" w:hAnsi="Arial" w:cs="Arial"/>
          <w:sz w:val="24"/>
          <w:szCs w:val="24"/>
        </w:rPr>
        <w:t>reviewed</w:t>
      </w:r>
      <w:r w:rsidR="00882BFE" w:rsidRPr="00A24997">
        <w:rPr>
          <w:rFonts w:ascii="Arial" w:hAnsi="Arial" w:cs="Arial"/>
          <w:sz w:val="24"/>
          <w:szCs w:val="24"/>
        </w:rPr>
        <w:t xml:space="preserve"> </w:t>
      </w:r>
      <w:r w:rsidRPr="00A24997">
        <w:rPr>
          <w:rFonts w:ascii="Arial" w:hAnsi="Arial" w:cs="Arial"/>
          <w:sz w:val="24"/>
          <w:szCs w:val="24"/>
        </w:rPr>
        <w:t>i</w:t>
      </w:r>
      <w:r w:rsidR="00A66E81" w:rsidRPr="00A24997">
        <w:rPr>
          <w:rFonts w:ascii="Arial" w:hAnsi="Arial" w:cs="Arial"/>
          <w:sz w:val="24"/>
          <w:szCs w:val="24"/>
        </w:rPr>
        <w:t xml:space="preserve">n accordance with Regulation </w:t>
      </w:r>
      <w:r w:rsidR="00EB5BF3">
        <w:rPr>
          <w:rFonts w:ascii="Arial" w:hAnsi="Arial" w:cs="Arial"/>
          <w:sz w:val="24"/>
          <w:szCs w:val="24"/>
        </w:rPr>
        <w:t>58</w:t>
      </w:r>
      <w:r w:rsidR="00EB5BF3" w:rsidRPr="00A24997">
        <w:rPr>
          <w:rFonts w:ascii="Arial" w:hAnsi="Arial" w:cs="Arial"/>
          <w:sz w:val="24"/>
          <w:szCs w:val="24"/>
        </w:rPr>
        <w:t xml:space="preserve"> </w:t>
      </w:r>
      <w:r w:rsidRPr="00A24997">
        <w:rPr>
          <w:rFonts w:ascii="Arial" w:hAnsi="Arial" w:cs="Arial"/>
          <w:sz w:val="24"/>
          <w:szCs w:val="24"/>
        </w:rPr>
        <w:t>of the Local Government</w:t>
      </w:r>
      <w:bookmarkStart w:id="5" w:name="_GoBack"/>
      <w:bookmarkEnd w:id="5"/>
      <w:r w:rsidRPr="00A24997">
        <w:rPr>
          <w:rFonts w:ascii="Arial" w:hAnsi="Arial" w:cs="Arial"/>
          <w:sz w:val="24"/>
          <w:szCs w:val="24"/>
        </w:rPr>
        <w:t xml:space="preserve"> Pension Scheme</w:t>
      </w:r>
      <w:r w:rsidR="00A66E81" w:rsidRPr="00A24997">
        <w:rPr>
          <w:rFonts w:ascii="Arial" w:hAnsi="Arial" w:cs="Arial"/>
          <w:sz w:val="24"/>
          <w:szCs w:val="24"/>
        </w:rPr>
        <w:t xml:space="preserve"> Regulations 2</w:t>
      </w:r>
      <w:r w:rsidR="00932054">
        <w:rPr>
          <w:rFonts w:ascii="Arial" w:hAnsi="Arial" w:cs="Arial"/>
          <w:sz w:val="24"/>
          <w:szCs w:val="24"/>
        </w:rPr>
        <w:t>0</w:t>
      </w:r>
      <w:r w:rsidR="00EB5BF3">
        <w:rPr>
          <w:rFonts w:ascii="Arial" w:hAnsi="Arial" w:cs="Arial"/>
          <w:sz w:val="24"/>
          <w:szCs w:val="24"/>
        </w:rPr>
        <w:t xml:space="preserve">13. </w:t>
      </w:r>
      <w:r w:rsidRPr="00A24997">
        <w:rPr>
          <w:rFonts w:ascii="Arial" w:hAnsi="Arial" w:cs="Arial"/>
          <w:sz w:val="24"/>
          <w:szCs w:val="24"/>
        </w:rPr>
        <w:t xml:space="preserve"> The Statement describes Northumberland County Council’</w:t>
      </w:r>
      <w:r w:rsidR="00FD730D" w:rsidRPr="00A24997">
        <w:rPr>
          <w:rFonts w:ascii="Arial" w:hAnsi="Arial" w:cs="Arial"/>
          <w:sz w:val="24"/>
          <w:szCs w:val="24"/>
        </w:rPr>
        <w:t xml:space="preserve">s strategy, in its capacity as </w:t>
      </w:r>
      <w:r w:rsidR="009B2027">
        <w:rPr>
          <w:rFonts w:ascii="Arial" w:hAnsi="Arial" w:cs="Arial"/>
          <w:sz w:val="24"/>
          <w:szCs w:val="24"/>
        </w:rPr>
        <w:t>administering authority</w:t>
      </w:r>
      <w:r w:rsidR="00FD730D" w:rsidRPr="00A24997">
        <w:rPr>
          <w:rFonts w:ascii="Arial" w:hAnsi="Arial" w:cs="Arial"/>
          <w:sz w:val="24"/>
          <w:szCs w:val="24"/>
        </w:rPr>
        <w:t xml:space="preserve"> (</w:t>
      </w:r>
      <w:r w:rsidR="009B2027">
        <w:rPr>
          <w:rFonts w:ascii="Arial" w:hAnsi="Arial" w:cs="Arial"/>
          <w:sz w:val="24"/>
          <w:szCs w:val="24"/>
        </w:rPr>
        <w:t>“</w:t>
      </w:r>
      <w:r w:rsidR="00FD730D" w:rsidRPr="00A24997">
        <w:rPr>
          <w:rFonts w:ascii="Arial" w:hAnsi="Arial" w:cs="Arial"/>
          <w:sz w:val="24"/>
          <w:szCs w:val="24"/>
        </w:rPr>
        <w:t xml:space="preserve">the </w:t>
      </w:r>
      <w:r w:rsidR="009B2027">
        <w:rPr>
          <w:rFonts w:ascii="Arial" w:hAnsi="Arial" w:cs="Arial"/>
          <w:sz w:val="24"/>
          <w:szCs w:val="24"/>
        </w:rPr>
        <w:t>administering authority”</w:t>
      </w:r>
      <w:r w:rsidRPr="00A24997">
        <w:rPr>
          <w:rFonts w:ascii="Arial" w:hAnsi="Arial" w:cs="Arial"/>
          <w:sz w:val="24"/>
          <w:szCs w:val="24"/>
        </w:rPr>
        <w:t>), for the funding of the Northumberland County Council Pension Fund (</w:t>
      </w:r>
      <w:r w:rsidR="009B2027">
        <w:rPr>
          <w:rFonts w:ascii="Arial" w:hAnsi="Arial" w:cs="Arial"/>
          <w:sz w:val="24"/>
          <w:szCs w:val="24"/>
        </w:rPr>
        <w:t>“</w:t>
      </w:r>
      <w:r w:rsidRPr="00A24997">
        <w:rPr>
          <w:rFonts w:ascii="Arial" w:hAnsi="Arial" w:cs="Arial"/>
          <w:sz w:val="24"/>
          <w:szCs w:val="24"/>
        </w:rPr>
        <w:t>the Fund</w:t>
      </w:r>
      <w:r w:rsidR="009B2027">
        <w:rPr>
          <w:rFonts w:ascii="Arial" w:hAnsi="Arial" w:cs="Arial"/>
          <w:sz w:val="24"/>
          <w:szCs w:val="24"/>
        </w:rPr>
        <w:t>”</w:t>
      </w:r>
      <w:r w:rsidRPr="00A24997">
        <w:rPr>
          <w:rFonts w:ascii="Arial" w:hAnsi="Arial" w:cs="Arial"/>
          <w:sz w:val="24"/>
          <w:szCs w:val="24"/>
        </w:rPr>
        <w:t>).</w:t>
      </w:r>
    </w:p>
    <w:p w:rsidR="00330599" w:rsidRDefault="00330599" w:rsidP="000E56F2">
      <w:pPr>
        <w:pStyle w:val="Normalplus"/>
        <w:spacing w:after="0"/>
        <w:jc w:val="both"/>
        <w:rPr>
          <w:rFonts w:ascii="Arial" w:hAnsi="Arial" w:cs="Arial"/>
          <w:sz w:val="24"/>
          <w:szCs w:val="24"/>
        </w:rPr>
      </w:pPr>
    </w:p>
    <w:p w:rsidR="00BA54BF" w:rsidRDefault="00BA54BF" w:rsidP="000E56F2">
      <w:pPr>
        <w:jc w:val="both"/>
        <w:rPr>
          <w:rFonts w:ascii="Arial" w:hAnsi="Arial" w:cs="Arial"/>
          <w:sz w:val="24"/>
          <w:szCs w:val="24"/>
        </w:rPr>
      </w:pPr>
      <w:r w:rsidRPr="00A24997">
        <w:rPr>
          <w:rFonts w:ascii="Arial" w:hAnsi="Arial" w:cs="Arial"/>
          <w:sz w:val="24"/>
          <w:szCs w:val="24"/>
        </w:rPr>
        <w:t xml:space="preserve">As required by Regulation </w:t>
      </w:r>
      <w:r w:rsidR="00177431">
        <w:rPr>
          <w:rFonts w:ascii="Arial" w:hAnsi="Arial" w:cs="Arial"/>
          <w:sz w:val="24"/>
          <w:szCs w:val="24"/>
        </w:rPr>
        <w:t>58(4</w:t>
      </w:r>
      <w:proofErr w:type="gramStart"/>
      <w:r w:rsidR="00177431">
        <w:rPr>
          <w:rFonts w:ascii="Arial" w:hAnsi="Arial" w:cs="Arial"/>
          <w:sz w:val="24"/>
          <w:szCs w:val="24"/>
        </w:rPr>
        <w:t>)(</w:t>
      </w:r>
      <w:proofErr w:type="gramEnd"/>
      <w:r w:rsidR="00177431">
        <w:rPr>
          <w:rFonts w:ascii="Arial" w:hAnsi="Arial" w:cs="Arial"/>
          <w:sz w:val="24"/>
          <w:szCs w:val="24"/>
        </w:rPr>
        <w:t xml:space="preserve">a) </w:t>
      </w:r>
      <w:r w:rsidR="005B3646">
        <w:rPr>
          <w:rFonts w:ascii="Arial" w:hAnsi="Arial" w:cs="Arial"/>
          <w:sz w:val="24"/>
          <w:szCs w:val="24"/>
        </w:rPr>
        <w:t xml:space="preserve">(as amended) </w:t>
      </w:r>
      <w:r w:rsidR="00177431">
        <w:rPr>
          <w:rFonts w:ascii="Arial" w:hAnsi="Arial" w:cs="Arial"/>
          <w:sz w:val="24"/>
          <w:szCs w:val="24"/>
        </w:rPr>
        <w:t xml:space="preserve">of the </w:t>
      </w:r>
      <w:r w:rsidR="00EB5BF3" w:rsidRPr="005F3F04">
        <w:rPr>
          <w:rFonts w:ascii="Arial" w:hAnsi="Arial" w:cs="Arial"/>
          <w:sz w:val="24"/>
          <w:szCs w:val="24"/>
        </w:rPr>
        <w:t xml:space="preserve">Local Government Pension Scheme Regulations 2013 </w:t>
      </w:r>
      <w:r w:rsidR="00EB5BF3">
        <w:rPr>
          <w:rFonts w:ascii="Arial" w:hAnsi="Arial" w:cs="Arial"/>
          <w:sz w:val="24"/>
          <w:szCs w:val="24"/>
        </w:rPr>
        <w:t>(</w:t>
      </w:r>
      <w:r w:rsidR="009B2027">
        <w:rPr>
          <w:rFonts w:ascii="Arial" w:hAnsi="Arial" w:cs="Arial"/>
          <w:sz w:val="24"/>
          <w:szCs w:val="24"/>
        </w:rPr>
        <w:t>“</w:t>
      </w:r>
      <w:r w:rsidR="00EB5BF3">
        <w:rPr>
          <w:rFonts w:ascii="Arial" w:hAnsi="Arial" w:cs="Arial"/>
          <w:sz w:val="24"/>
          <w:szCs w:val="24"/>
        </w:rPr>
        <w:t>the 2013 Regulations</w:t>
      </w:r>
      <w:r w:rsidR="009B2027">
        <w:rPr>
          <w:rFonts w:ascii="Arial" w:hAnsi="Arial" w:cs="Arial"/>
          <w:sz w:val="24"/>
          <w:szCs w:val="24"/>
        </w:rPr>
        <w:t>”</w:t>
      </w:r>
      <w:r w:rsidR="00EB5BF3">
        <w:rPr>
          <w:rFonts w:ascii="Arial" w:hAnsi="Arial" w:cs="Arial"/>
          <w:sz w:val="24"/>
          <w:szCs w:val="24"/>
        </w:rPr>
        <w:t>)</w:t>
      </w:r>
      <w:r w:rsidRPr="00A24997">
        <w:rPr>
          <w:rFonts w:ascii="Arial" w:hAnsi="Arial" w:cs="Arial"/>
          <w:sz w:val="24"/>
          <w:szCs w:val="24"/>
        </w:rPr>
        <w:t>, th</w:t>
      </w:r>
      <w:r w:rsidR="00EB5BF3">
        <w:rPr>
          <w:rFonts w:ascii="Arial" w:hAnsi="Arial" w:cs="Arial"/>
          <w:sz w:val="24"/>
          <w:szCs w:val="24"/>
        </w:rPr>
        <w:t>is</w:t>
      </w:r>
      <w:r w:rsidRPr="00A24997">
        <w:rPr>
          <w:rFonts w:ascii="Arial" w:hAnsi="Arial" w:cs="Arial"/>
          <w:sz w:val="24"/>
          <w:szCs w:val="24"/>
        </w:rPr>
        <w:t xml:space="preserve"> Statement has been prepared having regard to </w:t>
      </w:r>
      <w:r w:rsidR="006933E0" w:rsidRPr="006933E0">
        <w:rPr>
          <w:rFonts w:ascii="Arial" w:hAnsi="Arial" w:cs="Arial"/>
          <w:sz w:val="24"/>
          <w:szCs w:val="24"/>
        </w:rPr>
        <w:t xml:space="preserve">the guidance set out in the document published in </w:t>
      </w:r>
      <w:r w:rsidR="005B4ADA">
        <w:rPr>
          <w:rFonts w:ascii="Arial" w:hAnsi="Arial" w:cs="Arial"/>
          <w:sz w:val="24"/>
          <w:szCs w:val="24"/>
        </w:rPr>
        <w:t>September 2016</w:t>
      </w:r>
      <w:r w:rsidR="006933E0" w:rsidRPr="006933E0">
        <w:rPr>
          <w:rFonts w:ascii="Arial" w:hAnsi="Arial" w:cs="Arial"/>
          <w:sz w:val="24"/>
          <w:szCs w:val="24"/>
        </w:rPr>
        <w:t xml:space="preserve"> by CIPFA, the Chartered Institute of Public Finance and Accountancy and called “Preparing and Maintaining a Funding Strategy Statement in the </w:t>
      </w:r>
      <w:r w:rsidR="005B4ADA">
        <w:rPr>
          <w:rFonts w:ascii="Arial" w:hAnsi="Arial" w:cs="Arial"/>
          <w:sz w:val="24"/>
          <w:szCs w:val="24"/>
        </w:rPr>
        <w:t>LGPS</w:t>
      </w:r>
      <w:r w:rsidR="005B3646">
        <w:rPr>
          <w:rFonts w:ascii="Arial" w:hAnsi="Arial" w:cs="Arial"/>
          <w:sz w:val="24"/>
          <w:szCs w:val="24"/>
        </w:rPr>
        <w:t>”</w:t>
      </w:r>
      <w:r w:rsidR="005B4ADA">
        <w:rPr>
          <w:rFonts w:ascii="Arial" w:hAnsi="Arial" w:cs="Arial"/>
          <w:sz w:val="24"/>
          <w:szCs w:val="24"/>
        </w:rPr>
        <w:t xml:space="preserve"> (2016 edition).</w:t>
      </w:r>
    </w:p>
    <w:p w:rsidR="000E56F2" w:rsidRPr="00A24997" w:rsidRDefault="000E56F2" w:rsidP="000E56F2">
      <w:pPr>
        <w:jc w:val="both"/>
        <w:rPr>
          <w:rFonts w:ascii="Arial" w:hAnsi="Arial" w:cs="Arial"/>
          <w:sz w:val="24"/>
          <w:szCs w:val="24"/>
        </w:rPr>
      </w:pPr>
    </w:p>
    <w:p w:rsidR="00BA54BF" w:rsidRPr="00681B91" w:rsidRDefault="00BA54BF" w:rsidP="001638F8">
      <w:pPr>
        <w:jc w:val="both"/>
        <w:outlineLvl w:val="0"/>
        <w:rPr>
          <w:rFonts w:ascii="Arial" w:hAnsi="Arial" w:cs="Arial"/>
          <w:b/>
          <w:sz w:val="24"/>
          <w:szCs w:val="24"/>
        </w:rPr>
      </w:pPr>
      <w:r w:rsidRPr="00681B91">
        <w:rPr>
          <w:rFonts w:ascii="Arial" w:hAnsi="Arial" w:cs="Arial"/>
          <w:b/>
          <w:sz w:val="24"/>
          <w:szCs w:val="24"/>
        </w:rPr>
        <w:t>Consultation</w:t>
      </w:r>
    </w:p>
    <w:p w:rsidR="000E56F2" w:rsidRPr="00A24997" w:rsidRDefault="000E56F2" w:rsidP="000E56F2">
      <w:pPr>
        <w:jc w:val="both"/>
        <w:rPr>
          <w:rFonts w:ascii="Arial" w:hAnsi="Arial" w:cs="Arial"/>
          <w:sz w:val="24"/>
          <w:szCs w:val="24"/>
        </w:rPr>
      </w:pPr>
    </w:p>
    <w:p w:rsidR="00BA54BF" w:rsidRPr="00A24997" w:rsidRDefault="00BA54BF" w:rsidP="000E56F2">
      <w:pPr>
        <w:jc w:val="both"/>
        <w:rPr>
          <w:rFonts w:ascii="Arial" w:hAnsi="Arial" w:cs="Arial"/>
          <w:sz w:val="24"/>
          <w:szCs w:val="24"/>
        </w:rPr>
      </w:pPr>
      <w:r w:rsidRPr="00A24997">
        <w:rPr>
          <w:rFonts w:ascii="Arial" w:hAnsi="Arial" w:cs="Arial"/>
          <w:sz w:val="24"/>
          <w:szCs w:val="24"/>
        </w:rPr>
        <w:t xml:space="preserve">In accordance with Regulation </w:t>
      </w:r>
      <w:r w:rsidR="00177431">
        <w:rPr>
          <w:rFonts w:ascii="Arial" w:hAnsi="Arial" w:cs="Arial"/>
          <w:sz w:val="24"/>
          <w:szCs w:val="24"/>
        </w:rPr>
        <w:t>58(</w:t>
      </w:r>
      <w:r w:rsidR="005B4ADA">
        <w:rPr>
          <w:rFonts w:ascii="Arial" w:hAnsi="Arial" w:cs="Arial"/>
          <w:sz w:val="24"/>
          <w:szCs w:val="24"/>
        </w:rPr>
        <w:t>3</w:t>
      </w:r>
      <w:r w:rsidR="00177431">
        <w:rPr>
          <w:rFonts w:ascii="Arial" w:hAnsi="Arial" w:cs="Arial"/>
          <w:sz w:val="24"/>
          <w:szCs w:val="24"/>
        </w:rPr>
        <w:t>) of the 2013 Regulations</w:t>
      </w:r>
      <w:r w:rsidRPr="00A24997">
        <w:rPr>
          <w:rFonts w:ascii="Arial" w:hAnsi="Arial" w:cs="Arial"/>
          <w:sz w:val="24"/>
          <w:szCs w:val="24"/>
        </w:rPr>
        <w:t xml:space="preserve">, all </w:t>
      </w:r>
      <w:r w:rsidR="006E39A6">
        <w:rPr>
          <w:rFonts w:ascii="Arial" w:hAnsi="Arial" w:cs="Arial"/>
          <w:sz w:val="24"/>
          <w:szCs w:val="24"/>
        </w:rPr>
        <w:t xml:space="preserve">appropriate persons (including </w:t>
      </w:r>
      <w:r w:rsidRPr="00A24997">
        <w:rPr>
          <w:rFonts w:ascii="Arial" w:hAnsi="Arial" w:cs="Arial"/>
          <w:sz w:val="24"/>
          <w:szCs w:val="24"/>
        </w:rPr>
        <w:t>employers participating within the Northumberland County Council Pension Fund</w:t>
      </w:r>
      <w:r w:rsidR="00932054">
        <w:rPr>
          <w:rFonts w:ascii="Arial" w:hAnsi="Arial" w:cs="Arial"/>
          <w:sz w:val="24"/>
          <w:szCs w:val="24"/>
        </w:rPr>
        <w:t xml:space="preserve"> and the principal trade</w:t>
      </w:r>
      <w:r w:rsidR="00F46C38" w:rsidRPr="00A24997">
        <w:rPr>
          <w:rFonts w:ascii="Arial" w:hAnsi="Arial" w:cs="Arial"/>
          <w:sz w:val="24"/>
          <w:szCs w:val="24"/>
        </w:rPr>
        <w:t xml:space="preserve"> unions representing the contributors</w:t>
      </w:r>
      <w:r w:rsidR="006E39A6">
        <w:rPr>
          <w:rFonts w:ascii="Arial" w:hAnsi="Arial" w:cs="Arial"/>
          <w:sz w:val="24"/>
          <w:szCs w:val="24"/>
        </w:rPr>
        <w:t>)</w:t>
      </w:r>
      <w:r w:rsidRPr="00A24997">
        <w:rPr>
          <w:rFonts w:ascii="Arial" w:hAnsi="Arial" w:cs="Arial"/>
          <w:sz w:val="24"/>
          <w:szCs w:val="24"/>
        </w:rPr>
        <w:t xml:space="preserve"> have been consulted on the contents of this Statement and their views have been taken into account in formulating the Statement. </w:t>
      </w:r>
      <w:r w:rsidR="00B46592" w:rsidRPr="00A24997">
        <w:rPr>
          <w:rFonts w:ascii="Arial" w:hAnsi="Arial" w:cs="Arial"/>
          <w:sz w:val="24"/>
          <w:szCs w:val="24"/>
        </w:rPr>
        <w:t xml:space="preserve"> </w:t>
      </w:r>
      <w:r w:rsidRPr="00A24997">
        <w:rPr>
          <w:rFonts w:ascii="Arial" w:hAnsi="Arial" w:cs="Arial"/>
          <w:sz w:val="24"/>
          <w:szCs w:val="24"/>
        </w:rPr>
        <w:t>However, the Statement describes a single strategy for the Fund as a whole.</w:t>
      </w:r>
    </w:p>
    <w:p w:rsidR="000E56F2" w:rsidRPr="00A24997" w:rsidRDefault="000E56F2" w:rsidP="000E56F2">
      <w:pPr>
        <w:rPr>
          <w:rFonts w:ascii="Arial" w:hAnsi="Arial" w:cs="Arial"/>
          <w:sz w:val="24"/>
          <w:szCs w:val="24"/>
        </w:rPr>
      </w:pPr>
    </w:p>
    <w:p w:rsidR="00BA54BF" w:rsidRPr="00A24997" w:rsidRDefault="00B46592" w:rsidP="000E56F2">
      <w:pPr>
        <w:jc w:val="both"/>
        <w:rPr>
          <w:rFonts w:ascii="Arial" w:hAnsi="Arial" w:cs="Arial"/>
          <w:sz w:val="24"/>
          <w:szCs w:val="24"/>
        </w:rPr>
      </w:pPr>
      <w:r w:rsidRPr="00A24997">
        <w:rPr>
          <w:rFonts w:ascii="Arial" w:hAnsi="Arial" w:cs="Arial"/>
          <w:sz w:val="24"/>
          <w:szCs w:val="24"/>
        </w:rPr>
        <w:t xml:space="preserve">In addition, the </w:t>
      </w:r>
      <w:r w:rsidR="009B2027">
        <w:rPr>
          <w:rFonts w:ascii="Arial" w:hAnsi="Arial" w:cs="Arial"/>
          <w:sz w:val="24"/>
          <w:szCs w:val="24"/>
        </w:rPr>
        <w:t>administering authority</w:t>
      </w:r>
      <w:r w:rsidR="00BA54BF" w:rsidRPr="00A24997">
        <w:rPr>
          <w:rFonts w:ascii="Arial" w:hAnsi="Arial" w:cs="Arial"/>
          <w:sz w:val="24"/>
          <w:szCs w:val="24"/>
        </w:rPr>
        <w:t xml:space="preserve"> has had regard to the Fund’s </w:t>
      </w:r>
      <w:r w:rsidR="005B4ADA">
        <w:rPr>
          <w:rFonts w:ascii="Arial" w:hAnsi="Arial" w:cs="Arial"/>
          <w:sz w:val="24"/>
          <w:szCs w:val="24"/>
        </w:rPr>
        <w:t>Investment Strategy Statement</w:t>
      </w:r>
      <w:r w:rsidRPr="00A24997">
        <w:rPr>
          <w:rFonts w:ascii="Arial" w:hAnsi="Arial" w:cs="Arial"/>
          <w:sz w:val="24"/>
          <w:szCs w:val="24"/>
        </w:rPr>
        <w:t xml:space="preserve"> published under Regulation </w:t>
      </w:r>
      <w:r w:rsidR="005B4ADA">
        <w:rPr>
          <w:rFonts w:ascii="Arial" w:hAnsi="Arial" w:cs="Arial"/>
          <w:sz w:val="24"/>
          <w:szCs w:val="24"/>
        </w:rPr>
        <w:t>7</w:t>
      </w:r>
      <w:r w:rsidR="00BA54BF" w:rsidRPr="00A24997">
        <w:rPr>
          <w:rFonts w:ascii="Arial" w:hAnsi="Arial" w:cs="Arial"/>
          <w:sz w:val="24"/>
          <w:szCs w:val="24"/>
        </w:rPr>
        <w:t xml:space="preserve"> of the Local Government Pension Scheme (Management and Investment of Funds) Regulations </w:t>
      </w:r>
      <w:r w:rsidR="005B4ADA">
        <w:rPr>
          <w:rFonts w:ascii="Arial" w:hAnsi="Arial" w:cs="Arial"/>
          <w:sz w:val="24"/>
          <w:szCs w:val="24"/>
        </w:rPr>
        <w:t>2016</w:t>
      </w:r>
      <w:r w:rsidR="00BA54BF" w:rsidRPr="00A24997">
        <w:rPr>
          <w:rFonts w:ascii="Arial" w:hAnsi="Arial" w:cs="Arial"/>
          <w:sz w:val="24"/>
          <w:szCs w:val="24"/>
        </w:rPr>
        <w:t xml:space="preserve"> (the Investment Regulations).</w:t>
      </w:r>
    </w:p>
    <w:p w:rsidR="000E56F2" w:rsidRPr="00A24997" w:rsidRDefault="000E56F2" w:rsidP="000E56F2">
      <w:pPr>
        <w:rPr>
          <w:rFonts w:ascii="Arial" w:hAnsi="Arial" w:cs="Arial"/>
          <w:sz w:val="24"/>
          <w:szCs w:val="24"/>
        </w:rPr>
      </w:pPr>
    </w:p>
    <w:p w:rsidR="00BA54BF" w:rsidRPr="00A24997" w:rsidRDefault="00932054" w:rsidP="000E56F2">
      <w:pPr>
        <w:jc w:val="both"/>
        <w:rPr>
          <w:rFonts w:ascii="Arial" w:hAnsi="Arial" w:cs="Arial"/>
          <w:sz w:val="24"/>
          <w:szCs w:val="24"/>
        </w:rPr>
      </w:pPr>
      <w:r>
        <w:rPr>
          <w:rFonts w:ascii="Arial" w:hAnsi="Arial" w:cs="Arial"/>
          <w:sz w:val="24"/>
          <w:szCs w:val="24"/>
        </w:rPr>
        <w:t xml:space="preserve">The Fund </w:t>
      </w:r>
      <w:r w:rsidR="00492D61">
        <w:rPr>
          <w:rFonts w:ascii="Arial" w:hAnsi="Arial" w:cs="Arial"/>
          <w:sz w:val="24"/>
          <w:szCs w:val="24"/>
        </w:rPr>
        <w:t>A</w:t>
      </w:r>
      <w:r w:rsidR="00BA54BF" w:rsidRPr="00A24997">
        <w:rPr>
          <w:rFonts w:ascii="Arial" w:hAnsi="Arial" w:cs="Arial"/>
          <w:sz w:val="24"/>
          <w:szCs w:val="24"/>
        </w:rPr>
        <w:t xml:space="preserve">ctuary, </w:t>
      </w:r>
      <w:r w:rsidR="00742D20">
        <w:rPr>
          <w:rFonts w:ascii="Arial" w:hAnsi="Arial" w:cs="Arial"/>
          <w:sz w:val="24"/>
          <w:szCs w:val="24"/>
        </w:rPr>
        <w:t xml:space="preserve">Aon </w:t>
      </w:r>
      <w:r w:rsidR="00BA54BF" w:rsidRPr="00A24997">
        <w:rPr>
          <w:rFonts w:ascii="Arial" w:hAnsi="Arial" w:cs="Arial"/>
          <w:sz w:val="24"/>
          <w:szCs w:val="24"/>
        </w:rPr>
        <w:t>Hewitt</w:t>
      </w:r>
      <w:r w:rsidR="0041550A">
        <w:rPr>
          <w:rFonts w:ascii="Arial" w:hAnsi="Arial" w:cs="Arial"/>
          <w:sz w:val="24"/>
          <w:szCs w:val="24"/>
        </w:rPr>
        <w:t xml:space="preserve"> Limited</w:t>
      </w:r>
      <w:r w:rsidR="00BA54BF" w:rsidRPr="00A24997">
        <w:rPr>
          <w:rFonts w:ascii="Arial" w:hAnsi="Arial" w:cs="Arial"/>
          <w:sz w:val="24"/>
          <w:szCs w:val="24"/>
        </w:rPr>
        <w:t>, has also been consulted on the contents of this Statement.</w:t>
      </w:r>
    </w:p>
    <w:p w:rsidR="00BA54BF" w:rsidRPr="00A24997" w:rsidRDefault="00BA54BF" w:rsidP="000E56F2">
      <w:pPr>
        <w:jc w:val="both"/>
        <w:rPr>
          <w:rFonts w:ascii="Arial" w:hAnsi="Arial" w:cs="Arial"/>
          <w:sz w:val="24"/>
          <w:szCs w:val="24"/>
        </w:rPr>
      </w:pPr>
    </w:p>
    <w:p w:rsidR="00BA54BF" w:rsidRPr="00681B91" w:rsidRDefault="00BA54BF" w:rsidP="001638F8">
      <w:pPr>
        <w:jc w:val="both"/>
        <w:outlineLvl w:val="0"/>
        <w:rPr>
          <w:rFonts w:ascii="Arial" w:hAnsi="Arial" w:cs="Arial"/>
          <w:b/>
          <w:sz w:val="24"/>
          <w:szCs w:val="24"/>
        </w:rPr>
      </w:pPr>
      <w:r w:rsidRPr="00681B91">
        <w:rPr>
          <w:rFonts w:ascii="Arial" w:hAnsi="Arial" w:cs="Arial"/>
          <w:b/>
          <w:sz w:val="24"/>
          <w:szCs w:val="24"/>
        </w:rPr>
        <w:t>Purpose</w:t>
      </w:r>
      <w:r w:rsidR="0051161E">
        <w:rPr>
          <w:rFonts w:ascii="Arial" w:hAnsi="Arial" w:cs="Arial"/>
          <w:b/>
          <w:sz w:val="24"/>
          <w:szCs w:val="24"/>
        </w:rPr>
        <w:t xml:space="preserve"> of this Statement</w:t>
      </w:r>
    </w:p>
    <w:p w:rsidR="00BA54BF" w:rsidRPr="00394475" w:rsidRDefault="00BA54BF" w:rsidP="00394475">
      <w:pPr>
        <w:rPr>
          <w:rFonts w:ascii="Arial" w:hAnsi="Arial" w:cs="Arial"/>
        </w:rPr>
      </w:pPr>
    </w:p>
    <w:p w:rsidR="00BA54BF" w:rsidRPr="00394475" w:rsidRDefault="00BA54BF" w:rsidP="00394475">
      <w:pPr>
        <w:jc w:val="both"/>
        <w:rPr>
          <w:rFonts w:ascii="Arial" w:hAnsi="Arial" w:cs="Arial"/>
          <w:sz w:val="24"/>
          <w:szCs w:val="24"/>
        </w:rPr>
      </w:pPr>
      <w:r w:rsidRPr="00394475">
        <w:rPr>
          <w:rFonts w:ascii="Arial" w:hAnsi="Arial" w:cs="Arial"/>
          <w:sz w:val="24"/>
          <w:szCs w:val="24"/>
        </w:rPr>
        <w:t xml:space="preserve">The main purpose of this Funding Strategy Statement </w:t>
      </w:r>
      <w:r w:rsidR="0041550A">
        <w:rPr>
          <w:rFonts w:ascii="Arial" w:hAnsi="Arial" w:cs="Arial"/>
          <w:sz w:val="24"/>
          <w:szCs w:val="24"/>
        </w:rPr>
        <w:t xml:space="preserve">is to set out the processes by </w:t>
      </w:r>
      <w:r w:rsidR="00B50765">
        <w:rPr>
          <w:rFonts w:ascii="Arial" w:hAnsi="Arial" w:cs="Arial"/>
          <w:sz w:val="24"/>
          <w:szCs w:val="24"/>
        </w:rPr>
        <w:t>which</w:t>
      </w:r>
      <w:r w:rsidR="0041550A">
        <w:rPr>
          <w:rFonts w:ascii="Arial" w:hAnsi="Arial" w:cs="Arial"/>
          <w:sz w:val="24"/>
          <w:szCs w:val="24"/>
        </w:rPr>
        <w:t xml:space="preserve"> the</w:t>
      </w:r>
      <w:r w:rsidR="00730ECC">
        <w:rPr>
          <w:rFonts w:ascii="Arial" w:hAnsi="Arial" w:cs="Arial"/>
          <w:sz w:val="24"/>
          <w:szCs w:val="24"/>
        </w:rPr>
        <w:t xml:space="preserve"> </w:t>
      </w:r>
      <w:r w:rsidR="009B2027">
        <w:rPr>
          <w:rFonts w:ascii="Arial" w:hAnsi="Arial" w:cs="Arial"/>
          <w:sz w:val="24"/>
          <w:szCs w:val="24"/>
        </w:rPr>
        <w:t>administering authority</w:t>
      </w:r>
      <w:r w:rsidRPr="00394475">
        <w:rPr>
          <w:rFonts w:ascii="Arial" w:hAnsi="Arial" w:cs="Arial"/>
          <w:sz w:val="24"/>
          <w:szCs w:val="24"/>
        </w:rPr>
        <w:t>:</w:t>
      </w:r>
    </w:p>
    <w:p w:rsidR="00220634" w:rsidRDefault="00220634" w:rsidP="005F3F04">
      <w:pPr>
        <w:jc w:val="both"/>
        <w:rPr>
          <w:rFonts w:ascii="Arial" w:hAnsi="Arial" w:cs="Arial"/>
          <w:sz w:val="24"/>
          <w:szCs w:val="24"/>
        </w:rPr>
      </w:pPr>
    </w:p>
    <w:p w:rsidR="00B7207A" w:rsidRPr="00B7207A" w:rsidRDefault="00B7207A" w:rsidP="005F3F04">
      <w:pPr>
        <w:numPr>
          <w:ilvl w:val="0"/>
          <w:numId w:val="16"/>
        </w:numPr>
        <w:tabs>
          <w:tab w:val="clear" w:pos="720"/>
        </w:tabs>
        <w:jc w:val="both"/>
        <w:rPr>
          <w:rFonts w:ascii="Arial" w:hAnsi="Arial" w:cs="Arial"/>
          <w:sz w:val="24"/>
          <w:szCs w:val="24"/>
        </w:rPr>
      </w:pPr>
      <w:r w:rsidRPr="00B7207A">
        <w:rPr>
          <w:rFonts w:ascii="Arial" w:hAnsi="Arial" w:cs="Arial"/>
          <w:sz w:val="24"/>
          <w:szCs w:val="24"/>
        </w:rPr>
        <w:t xml:space="preserve">establishes a clear and transparent funding strategy, specific to the Fund, which will identify how employers’ pension liabilities are best met going forward; </w:t>
      </w:r>
    </w:p>
    <w:p w:rsidR="00105DC2" w:rsidRDefault="00B7207A" w:rsidP="005F3F04">
      <w:pPr>
        <w:numPr>
          <w:ilvl w:val="0"/>
          <w:numId w:val="16"/>
        </w:numPr>
        <w:tabs>
          <w:tab w:val="clear" w:pos="720"/>
        </w:tabs>
        <w:jc w:val="both"/>
        <w:rPr>
          <w:rFonts w:ascii="Arial" w:hAnsi="Arial" w:cs="Arial"/>
          <w:sz w:val="24"/>
          <w:szCs w:val="24"/>
        </w:rPr>
      </w:pPr>
      <w:r w:rsidRPr="00B7207A">
        <w:rPr>
          <w:rFonts w:ascii="Arial" w:hAnsi="Arial" w:cs="Arial"/>
          <w:sz w:val="24"/>
          <w:szCs w:val="24"/>
        </w:rPr>
        <w:t xml:space="preserve">supports the desirability of maintaining as nearly constant a </w:t>
      </w:r>
      <w:r w:rsidR="005B4ADA">
        <w:rPr>
          <w:rFonts w:ascii="Arial" w:hAnsi="Arial" w:cs="Arial"/>
          <w:sz w:val="24"/>
          <w:szCs w:val="24"/>
        </w:rPr>
        <w:t>primary</w:t>
      </w:r>
      <w:r w:rsidRPr="00B7207A">
        <w:rPr>
          <w:rFonts w:ascii="Arial" w:hAnsi="Arial" w:cs="Arial"/>
          <w:sz w:val="24"/>
          <w:szCs w:val="24"/>
        </w:rPr>
        <w:t xml:space="preserve"> rate of contributions as possible</w:t>
      </w:r>
      <w:r w:rsidR="005B4ADA">
        <w:rPr>
          <w:rFonts w:ascii="Arial" w:hAnsi="Arial" w:cs="Arial"/>
          <w:sz w:val="24"/>
          <w:szCs w:val="24"/>
        </w:rPr>
        <w:t>, as defined in Regulation 62(5) of the 2013 Regulations</w:t>
      </w:r>
      <w:r w:rsidRPr="00B7207A">
        <w:rPr>
          <w:rFonts w:ascii="Arial" w:hAnsi="Arial" w:cs="Arial"/>
          <w:sz w:val="24"/>
          <w:szCs w:val="24"/>
        </w:rPr>
        <w:t xml:space="preserve">; </w:t>
      </w:r>
    </w:p>
    <w:p w:rsidR="00B7207A" w:rsidRPr="00B7207A" w:rsidRDefault="00105DC2" w:rsidP="005F3F04">
      <w:pPr>
        <w:numPr>
          <w:ilvl w:val="0"/>
          <w:numId w:val="16"/>
        </w:numPr>
        <w:tabs>
          <w:tab w:val="clear" w:pos="720"/>
        </w:tabs>
        <w:jc w:val="both"/>
        <w:rPr>
          <w:rFonts w:ascii="Arial" w:hAnsi="Arial" w:cs="Arial"/>
          <w:sz w:val="24"/>
          <w:szCs w:val="24"/>
        </w:rPr>
      </w:pPr>
      <w:r>
        <w:rPr>
          <w:rFonts w:ascii="Arial" w:hAnsi="Arial" w:cs="Arial"/>
          <w:sz w:val="24"/>
          <w:szCs w:val="24"/>
        </w:rPr>
        <w:t xml:space="preserve">ensures that the regulatory requirements to set contributions so as to ensure the solvency and long-term cost efficiency of the Fund are met; </w:t>
      </w:r>
      <w:r w:rsidR="00B7207A" w:rsidRPr="00B7207A">
        <w:rPr>
          <w:rFonts w:ascii="Arial" w:hAnsi="Arial" w:cs="Arial"/>
          <w:sz w:val="24"/>
          <w:szCs w:val="24"/>
        </w:rPr>
        <w:t>and</w:t>
      </w:r>
    </w:p>
    <w:p w:rsidR="00B7207A" w:rsidRDefault="00B7207A" w:rsidP="005F3F04">
      <w:pPr>
        <w:numPr>
          <w:ilvl w:val="0"/>
          <w:numId w:val="16"/>
        </w:numPr>
        <w:tabs>
          <w:tab w:val="clear" w:pos="720"/>
        </w:tabs>
        <w:jc w:val="both"/>
        <w:rPr>
          <w:rFonts w:ascii="Arial" w:hAnsi="Arial" w:cs="Arial"/>
          <w:sz w:val="24"/>
          <w:szCs w:val="24"/>
        </w:rPr>
      </w:pPr>
      <w:r w:rsidRPr="00B7207A">
        <w:rPr>
          <w:rFonts w:ascii="Arial" w:hAnsi="Arial" w:cs="Arial"/>
          <w:sz w:val="24"/>
          <w:szCs w:val="24"/>
        </w:rPr>
        <w:t>takes a prudent longer-term view of funding the Fund’s liabilities</w:t>
      </w:r>
      <w:r w:rsidR="00F0515A">
        <w:rPr>
          <w:rFonts w:ascii="Arial" w:hAnsi="Arial" w:cs="Arial"/>
          <w:sz w:val="24"/>
          <w:szCs w:val="24"/>
        </w:rPr>
        <w:t>;</w:t>
      </w:r>
    </w:p>
    <w:p w:rsidR="00B7207A" w:rsidRPr="00B7207A" w:rsidRDefault="00B7207A" w:rsidP="005F3F04">
      <w:pPr>
        <w:ind w:left="720"/>
        <w:jc w:val="both"/>
        <w:rPr>
          <w:rFonts w:ascii="Arial" w:hAnsi="Arial" w:cs="Arial"/>
          <w:sz w:val="24"/>
          <w:szCs w:val="24"/>
        </w:rPr>
      </w:pPr>
    </w:p>
    <w:p w:rsidR="009975DB" w:rsidRDefault="00B7207A" w:rsidP="001638F8">
      <w:pPr>
        <w:jc w:val="both"/>
        <w:outlineLvl w:val="0"/>
        <w:rPr>
          <w:rFonts w:ascii="Arial" w:hAnsi="Arial" w:cs="Arial"/>
          <w:sz w:val="24"/>
          <w:szCs w:val="24"/>
        </w:rPr>
      </w:pPr>
      <w:proofErr w:type="gramStart"/>
      <w:r w:rsidRPr="00B7207A">
        <w:rPr>
          <w:rFonts w:ascii="Arial" w:hAnsi="Arial" w:cs="Arial"/>
          <w:sz w:val="24"/>
          <w:szCs w:val="24"/>
        </w:rPr>
        <w:t>noting</w:t>
      </w:r>
      <w:proofErr w:type="gramEnd"/>
      <w:r w:rsidRPr="00B7207A">
        <w:rPr>
          <w:rFonts w:ascii="Arial" w:hAnsi="Arial" w:cs="Arial"/>
          <w:sz w:val="24"/>
          <w:szCs w:val="24"/>
        </w:rPr>
        <w:t xml:space="preserve"> that whilst the funding strategy applicable to individual employers or categories of employers must be reflected in the Funding Strategy Statement, its focus should at all times be on those actions which are in the best long term interests of the Fund.</w:t>
      </w:r>
    </w:p>
    <w:p w:rsidR="009975DB" w:rsidRDefault="009975DB" w:rsidP="001638F8">
      <w:pPr>
        <w:jc w:val="both"/>
        <w:outlineLvl w:val="0"/>
        <w:rPr>
          <w:rFonts w:ascii="Arial" w:hAnsi="Arial" w:cs="Arial"/>
          <w:sz w:val="24"/>
          <w:szCs w:val="24"/>
        </w:rPr>
      </w:pPr>
    </w:p>
    <w:p w:rsidR="00181050" w:rsidRPr="00394475" w:rsidRDefault="007E1655" w:rsidP="001638F8">
      <w:pPr>
        <w:jc w:val="both"/>
        <w:outlineLvl w:val="0"/>
        <w:rPr>
          <w:rFonts w:ascii="Arial" w:hAnsi="Arial" w:cs="Arial"/>
          <w:b/>
          <w:sz w:val="24"/>
          <w:szCs w:val="24"/>
        </w:rPr>
      </w:pPr>
      <w:r w:rsidRPr="00394475">
        <w:rPr>
          <w:rFonts w:ascii="Arial" w:hAnsi="Arial" w:cs="Arial"/>
          <w:b/>
          <w:sz w:val="24"/>
          <w:szCs w:val="24"/>
        </w:rPr>
        <w:t xml:space="preserve">Links to </w:t>
      </w:r>
      <w:r w:rsidR="00492D61">
        <w:rPr>
          <w:rFonts w:ascii="Arial" w:hAnsi="Arial" w:cs="Arial"/>
          <w:b/>
          <w:sz w:val="24"/>
          <w:szCs w:val="24"/>
        </w:rPr>
        <w:t>i</w:t>
      </w:r>
      <w:r w:rsidRPr="00394475">
        <w:rPr>
          <w:rFonts w:ascii="Arial" w:hAnsi="Arial" w:cs="Arial"/>
          <w:b/>
          <w:sz w:val="24"/>
          <w:szCs w:val="24"/>
        </w:rPr>
        <w:t xml:space="preserve">nvestment </w:t>
      </w:r>
      <w:r w:rsidR="00492D61">
        <w:rPr>
          <w:rFonts w:ascii="Arial" w:hAnsi="Arial" w:cs="Arial"/>
          <w:b/>
          <w:sz w:val="24"/>
          <w:szCs w:val="24"/>
        </w:rPr>
        <w:t>p</w:t>
      </w:r>
      <w:r w:rsidR="00181050" w:rsidRPr="00394475">
        <w:rPr>
          <w:rFonts w:ascii="Arial" w:hAnsi="Arial" w:cs="Arial"/>
          <w:b/>
          <w:sz w:val="24"/>
          <w:szCs w:val="24"/>
        </w:rPr>
        <w:t>olicy set out in the Statement of Investment Principles</w:t>
      </w:r>
    </w:p>
    <w:p w:rsidR="000E56F2" w:rsidRPr="00394475" w:rsidRDefault="000E56F2" w:rsidP="00394475">
      <w:pPr>
        <w:jc w:val="both"/>
        <w:rPr>
          <w:rFonts w:ascii="Arial" w:hAnsi="Arial" w:cs="Arial"/>
          <w:sz w:val="24"/>
          <w:szCs w:val="24"/>
        </w:rPr>
      </w:pPr>
    </w:p>
    <w:p w:rsidR="000E0D49" w:rsidRPr="000E0D49" w:rsidRDefault="000E0D49" w:rsidP="000E0D49">
      <w:pPr>
        <w:jc w:val="both"/>
        <w:rPr>
          <w:rFonts w:ascii="Arial" w:hAnsi="Arial" w:cs="Arial"/>
          <w:sz w:val="24"/>
        </w:rPr>
      </w:pPr>
      <w:r w:rsidRPr="000E0D49">
        <w:rPr>
          <w:rFonts w:ascii="Arial" w:hAnsi="Arial" w:cs="Arial"/>
          <w:sz w:val="24"/>
        </w:rPr>
        <w:t>The Authority has produced this Funding Strategy Statement having taken an overall view of the level of risk inherent in the investment policy set out in the Statement of Investment Principles</w:t>
      </w:r>
      <w:r w:rsidR="00105DC2">
        <w:rPr>
          <w:rFonts w:ascii="Arial" w:hAnsi="Arial" w:cs="Arial"/>
          <w:sz w:val="24"/>
        </w:rPr>
        <w:t xml:space="preserve"> / Investment Strategy Statement</w:t>
      </w:r>
      <w:r w:rsidRPr="000E0D49">
        <w:rPr>
          <w:rFonts w:ascii="Arial" w:hAnsi="Arial" w:cs="Arial"/>
          <w:sz w:val="24"/>
        </w:rPr>
        <w:t xml:space="preserve"> and the funding strategy set out in this Statement.</w:t>
      </w:r>
    </w:p>
    <w:p w:rsidR="000E0D49" w:rsidRPr="000E0D49" w:rsidRDefault="000E0D49" w:rsidP="000E0D49">
      <w:pPr>
        <w:jc w:val="both"/>
        <w:rPr>
          <w:rFonts w:ascii="Arial" w:hAnsi="Arial" w:cs="Arial"/>
          <w:sz w:val="24"/>
        </w:rPr>
      </w:pPr>
    </w:p>
    <w:p w:rsidR="000E0D49" w:rsidRPr="000E0D49" w:rsidRDefault="000E0D49" w:rsidP="000E0D49">
      <w:pPr>
        <w:jc w:val="both"/>
        <w:rPr>
          <w:rFonts w:ascii="Arial" w:hAnsi="Arial" w:cs="Arial"/>
          <w:sz w:val="24"/>
        </w:rPr>
      </w:pPr>
      <w:r w:rsidRPr="000E0D49">
        <w:rPr>
          <w:rFonts w:ascii="Arial" w:hAnsi="Arial" w:cs="Arial"/>
          <w:sz w:val="24"/>
        </w:rPr>
        <w:t>The assets that most closely match the liabilities of the Fund are fixed interest and index-linked Government bonds of appropriate term relative to the liabilities.</w:t>
      </w:r>
      <w:r w:rsidR="00CB22BE">
        <w:rPr>
          <w:rFonts w:ascii="Arial" w:hAnsi="Arial" w:cs="Arial"/>
          <w:sz w:val="24"/>
        </w:rPr>
        <w:t xml:space="preserve"> </w:t>
      </w:r>
      <w:r w:rsidRPr="000E0D49">
        <w:rPr>
          <w:rFonts w:ascii="Arial" w:hAnsi="Arial" w:cs="Arial"/>
          <w:sz w:val="24"/>
        </w:rPr>
        <w:t xml:space="preserve"> The Fund’s asset allocation as set out in the </w:t>
      </w:r>
      <w:r w:rsidR="00105DC2">
        <w:rPr>
          <w:rFonts w:ascii="Arial" w:hAnsi="Arial" w:cs="Arial"/>
          <w:sz w:val="24"/>
        </w:rPr>
        <w:t>Investment Strategy Statement</w:t>
      </w:r>
      <w:r w:rsidRPr="000E0D49">
        <w:rPr>
          <w:rFonts w:ascii="Arial" w:hAnsi="Arial" w:cs="Arial"/>
          <w:sz w:val="24"/>
        </w:rPr>
        <w:t xml:space="preserve"> invests a significant proportion of the Fund in assets such as equities which are expected</w:t>
      </w:r>
      <w:r w:rsidR="00B143AD">
        <w:rPr>
          <w:rFonts w:ascii="Arial" w:hAnsi="Arial" w:cs="Arial"/>
          <w:sz w:val="24"/>
        </w:rPr>
        <w:t>,</w:t>
      </w:r>
      <w:r w:rsidRPr="000E0D49">
        <w:rPr>
          <w:rFonts w:ascii="Arial" w:hAnsi="Arial" w:cs="Arial"/>
          <w:sz w:val="24"/>
        </w:rPr>
        <w:t xml:space="preserve"> but not guaranteed</w:t>
      </w:r>
      <w:r w:rsidR="00B143AD">
        <w:rPr>
          <w:rFonts w:ascii="Arial" w:hAnsi="Arial" w:cs="Arial"/>
          <w:sz w:val="24"/>
        </w:rPr>
        <w:t>,</w:t>
      </w:r>
      <w:r w:rsidRPr="000E0D49">
        <w:rPr>
          <w:rFonts w:ascii="Arial" w:hAnsi="Arial" w:cs="Arial"/>
          <w:sz w:val="24"/>
        </w:rPr>
        <w:t xml:space="preserve"> to produce higher returns than Government bonds in the long term. </w:t>
      </w:r>
      <w:r w:rsidR="00CB22BE">
        <w:rPr>
          <w:rFonts w:ascii="Arial" w:hAnsi="Arial" w:cs="Arial"/>
          <w:sz w:val="24"/>
        </w:rPr>
        <w:t xml:space="preserve"> </w:t>
      </w:r>
      <w:r w:rsidRPr="000E0D49">
        <w:rPr>
          <w:rFonts w:ascii="Arial" w:hAnsi="Arial" w:cs="Arial"/>
          <w:sz w:val="24"/>
        </w:rPr>
        <w:t xml:space="preserve">The </w:t>
      </w:r>
      <w:r w:rsidR="009B2027">
        <w:rPr>
          <w:rFonts w:ascii="Arial" w:hAnsi="Arial" w:cs="Arial"/>
          <w:sz w:val="24"/>
        </w:rPr>
        <w:t>administering authority</w:t>
      </w:r>
      <w:r w:rsidRPr="000E0D49">
        <w:rPr>
          <w:rFonts w:ascii="Arial" w:hAnsi="Arial" w:cs="Arial"/>
          <w:sz w:val="24"/>
        </w:rPr>
        <w:t xml:space="preserve"> has agreed with the Fund Actuary that the Funding Target on the ongoing basis will be set after making some allowance for this higher anticipated return. </w:t>
      </w:r>
      <w:r w:rsidR="00B53298">
        <w:rPr>
          <w:rFonts w:ascii="Arial" w:hAnsi="Arial" w:cs="Arial"/>
          <w:sz w:val="24"/>
        </w:rPr>
        <w:t xml:space="preserve"> </w:t>
      </w:r>
      <w:r w:rsidRPr="000E0D49">
        <w:rPr>
          <w:rFonts w:ascii="Arial" w:hAnsi="Arial" w:cs="Arial"/>
          <w:sz w:val="24"/>
        </w:rPr>
        <w:t xml:space="preserve">However, the </w:t>
      </w:r>
      <w:r w:rsidR="009B2027">
        <w:rPr>
          <w:rFonts w:ascii="Arial" w:hAnsi="Arial" w:cs="Arial"/>
          <w:sz w:val="24"/>
        </w:rPr>
        <w:t>administering authority</w:t>
      </w:r>
      <w:r w:rsidRPr="000E0D49">
        <w:rPr>
          <w:rFonts w:ascii="Arial" w:hAnsi="Arial" w:cs="Arial"/>
          <w:sz w:val="24"/>
        </w:rPr>
        <w:t xml:space="preserve"> recognises that outperformance is not guaranteed and that, in the absence of any other effects, if the higher expected returns are not achieved the solvency position of the Fund will deteriorate.</w:t>
      </w:r>
    </w:p>
    <w:p w:rsidR="000E0D49" w:rsidRPr="000E0D49" w:rsidRDefault="000E0D49" w:rsidP="000E0D49">
      <w:pPr>
        <w:jc w:val="both"/>
        <w:rPr>
          <w:rFonts w:ascii="Arial" w:hAnsi="Arial" w:cs="Arial"/>
          <w:sz w:val="24"/>
        </w:rPr>
      </w:pPr>
    </w:p>
    <w:p w:rsidR="000E0D49" w:rsidRPr="000E0D49" w:rsidRDefault="000E0D49" w:rsidP="000E0D49">
      <w:pPr>
        <w:jc w:val="both"/>
        <w:rPr>
          <w:rFonts w:ascii="Arial" w:hAnsi="Arial" w:cs="Arial"/>
          <w:sz w:val="24"/>
        </w:rPr>
      </w:pPr>
      <w:r w:rsidRPr="000E0D49">
        <w:rPr>
          <w:rFonts w:ascii="Arial" w:hAnsi="Arial" w:cs="Arial"/>
          <w:sz w:val="24"/>
        </w:rPr>
        <w:t xml:space="preserve">The funding strategy recognises the investment targets and the inherent volatility arising from the investment strategy, by being based on financial assumptions which are consistent with the expected return on the investments held by the Fund, and by including measures that can be used to smooth out the impact of such volatility. </w:t>
      </w:r>
    </w:p>
    <w:p w:rsidR="000E0D49" w:rsidRPr="000E0D49" w:rsidRDefault="000E0D49" w:rsidP="000E0D49">
      <w:pPr>
        <w:pStyle w:val="Default"/>
        <w:rPr>
          <w:sz w:val="28"/>
        </w:rPr>
      </w:pPr>
    </w:p>
    <w:p w:rsidR="000E0D49" w:rsidRPr="000E0D49" w:rsidRDefault="000E0D49" w:rsidP="000E0D49">
      <w:pPr>
        <w:jc w:val="both"/>
        <w:rPr>
          <w:rFonts w:ascii="Arial" w:hAnsi="Arial" w:cs="Arial"/>
          <w:b/>
          <w:bCs/>
          <w:color w:val="000000"/>
          <w:sz w:val="24"/>
        </w:rPr>
      </w:pPr>
      <w:r w:rsidRPr="000E0D49">
        <w:rPr>
          <w:rFonts w:ascii="Arial" w:hAnsi="Arial" w:cs="Arial"/>
          <w:sz w:val="24"/>
        </w:rPr>
        <w:t xml:space="preserve">The </w:t>
      </w:r>
      <w:r w:rsidR="009B2027">
        <w:rPr>
          <w:rFonts w:ascii="Arial" w:hAnsi="Arial" w:cs="Arial"/>
          <w:sz w:val="24"/>
        </w:rPr>
        <w:t>administering authority</w:t>
      </w:r>
      <w:r w:rsidRPr="000E0D49">
        <w:rPr>
          <w:rFonts w:ascii="Arial" w:hAnsi="Arial" w:cs="Arial"/>
          <w:sz w:val="24"/>
        </w:rPr>
        <w:t xml:space="preserve"> will continue to review </w:t>
      </w:r>
      <w:proofErr w:type="gramStart"/>
      <w:r w:rsidRPr="000E0D49">
        <w:rPr>
          <w:rFonts w:ascii="Arial" w:hAnsi="Arial" w:cs="Arial"/>
          <w:sz w:val="24"/>
        </w:rPr>
        <w:t>both documents</w:t>
      </w:r>
      <w:proofErr w:type="gramEnd"/>
      <w:r w:rsidRPr="000E0D49">
        <w:rPr>
          <w:rFonts w:ascii="Arial" w:hAnsi="Arial" w:cs="Arial"/>
          <w:sz w:val="24"/>
        </w:rPr>
        <w:t xml:space="preserve"> to ensure that the overall risk profile remains appropriate including, where </w:t>
      </w:r>
      <w:r w:rsidR="00B143AD">
        <w:rPr>
          <w:rFonts w:ascii="Arial" w:hAnsi="Arial" w:cs="Arial"/>
          <w:sz w:val="24"/>
        </w:rPr>
        <w:t>necessary</w:t>
      </w:r>
      <w:r w:rsidRPr="000E0D49">
        <w:rPr>
          <w:rFonts w:ascii="Arial" w:hAnsi="Arial" w:cs="Arial"/>
          <w:sz w:val="24"/>
        </w:rPr>
        <w:t>, commissioning asset liability modelling or other analysis techniques.</w:t>
      </w:r>
    </w:p>
    <w:p w:rsidR="000E56F2" w:rsidRPr="00394475" w:rsidRDefault="000E56F2" w:rsidP="00394475">
      <w:pPr>
        <w:jc w:val="both"/>
        <w:rPr>
          <w:rFonts w:ascii="Arial" w:hAnsi="Arial" w:cs="Arial"/>
          <w:b/>
          <w:sz w:val="24"/>
          <w:szCs w:val="24"/>
        </w:rPr>
      </w:pPr>
    </w:p>
    <w:p w:rsidR="00181050" w:rsidRPr="00394475" w:rsidRDefault="00681B91" w:rsidP="001638F8">
      <w:pPr>
        <w:jc w:val="both"/>
        <w:outlineLvl w:val="0"/>
        <w:rPr>
          <w:rFonts w:ascii="Arial" w:hAnsi="Arial" w:cs="Arial"/>
          <w:b/>
          <w:sz w:val="24"/>
          <w:szCs w:val="24"/>
        </w:rPr>
      </w:pPr>
      <w:r w:rsidRPr="00394475">
        <w:rPr>
          <w:rFonts w:ascii="Arial" w:hAnsi="Arial" w:cs="Arial"/>
          <w:b/>
          <w:sz w:val="24"/>
          <w:szCs w:val="24"/>
        </w:rPr>
        <w:t>Review of Statement</w:t>
      </w:r>
    </w:p>
    <w:p w:rsidR="000E56F2" w:rsidRPr="00394475" w:rsidRDefault="000E56F2" w:rsidP="00394475">
      <w:pPr>
        <w:jc w:val="both"/>
        <w:rPr>
          <w:rFonts w:ascii="Arial" w:hAnsi="Arial" w:cs="Arial"/>
          <w:sz w:val="24"/>
          <w:szCs w:val="24"/>
        </w:rPr>
      </w:pPr>
    </w:p>
    <w:p w:rsidR="00F2389D" w:rsidRDefault="00F2389D" w:rsidP="00394475">
      <w:pPr>
        <w:jc w:val="both"/>
        <w:rPr>
          <w:rFonts w:ascii="Arial" w:hAnsi="Arial" w:cs="Arial"/>
          <w:sz w:val="24"/>
          <w:szCs w:val="24"/>
        </w:rPr>
      </w:pPr>
      <w:r>
        <w:rPr>
          <w:rFonts w:ascii="Arial" w:hAnsi="Arial" w:cs="Arial"/>
          <w:sz w:val="24"/>
          <w:szCs w:val="24"/>
        </w:rPr>
        <w:t xml:space="preserve">The </w:t>
      </w:r>
      <w:r w:rsidR="009B2027">
        <w:rPr>
          <w:rFonts w:ascii="Arial" w:hAnsi="Arial" w:cs="Arial"/>
          <w:sz w:val="24"/>
          <w:szCs w:val="24"/>
        </w:rPr>
        <w:t>administering authority</w:t>
      </w:r>
      <w:r>
        <w:rPr>
          <w:rFonts w:ascii="Arial" w:hAnsi="Arial" w:cs="Arial"/>
          <w:sz w:val="24"/>
          <w:szCs w:val="24"/>
        </w:rPr>
        <w:t xml:space="preserve"> undertook its latest substantive review of this Statement </w:t>
      </w:r>
      <w:r w:rsidR="006E39A6">
        <w:rPr>
          <w:rFonts w:ascii="Arial" w:hAnsi="Arial" w:cs="Arial"/>
          <w:sz w:val="24"/>
          <w:szCs w:val="24"/>
        </w:rPr>
        <w:t>between February and March 2017</w:t>
      </w:r>
      <w:r>
        <w:rPr>
          <w:rFonts w:ascii="Arial" w:hAnsi="Arial" w:cs="Arial"/>
          <w:sz w:val="24"/>
          <w:szCs w:val="24"/>
        </w:rPr>
        <w:t>.</w:t>
      </w:r>
    </w:p>
    <w:p w:rsidR="00F2389D" w:rsidRDefault="00F2389D" w:rsidP="00394475">
      <w:pPr>
        <w:jc w:val="both"/>
        <w:rPr>
          <w:rFonts w:ascii="Arial" w:hAnsi="Arial" w:cs="Arial"/>
          <w:sz w:val="24"/>
          <w:szCs w:val="24"/>
        </w:rPr>
      </w:pPr>
    </w:p>
    <w:p w:rsidR="00181050" w:rsidRDefault="00181050" w:rsidP="00394475">
      <w:pPr>
        <w:jc w:val="both"/>
        <w:rPr>
          <w:rFonts w:ascii="Arial" w:hAnsi="Arial" w:cs="Arial"/>
          <w:sz w:val="24"/>
          <w:szCs w:val="24"/>
        </w:rPr>
      </w:pPr>
      <w:r w:rsidRPr="00394475">
        <w:rPr>
          <w:rFonts w:ascii="Arial" w:hAnsi="Arial" w:cs="Arial"/>
          <w:sz w:val="24"/>
          <w:szCs w:val="24"/>
        </w:rPr>
        <w:t xml:space="preserve">The </w:t>
      </w:r>
      <w:r w:rsidR="009B2027">
        <w:rPr>
          <w:rFonts w:ascii="Arial" w:hAnsi="Arial" w:cs="Arial"/>
          <w:sz w:val="24"/>
          <w:szCs w:val="24"/>
        </w:rPr>
        <w:t>administering authority</w:t>
      </w:r>
      <w:r w:rsidRPr="00394475">
        <w:rPr>
          <w:rFonts w:ascii="Arial" w:hAnsi="Arial" w:cs="Arial"/>
          <w:sz w:val="24"/>
          <w:szCs w:val="24"/>
        </w:rPr>
        <w:t xml:space="preserve"> </w:t>
      </w:r>
      <w:r w:rsidR="00220634" w:rsidRPr="00394475">
        <w:rPr>
          <w:rFonts w:ascii="Arial" w:hAnsi="Arial" w:cs="Arial"/>
          <w:sz w:val="24"/>
          <w:szCs w:val="24"/>
        </w:rPr>
        <w:t xml:space="preserve">will </w:t>
      </w:r>
      <w:r w:rsidRPr="00394475">
        <w:rPr>
          <w:rFonts w:ascii="Arial" w:hAnsi="Arial" w:cs="Arial"/>
          <w:sz w:val="24"/>
          <w:szCs w:val="24"/>
        </w:rPr>
        <w:t>formally review this Statement as part of</w:t>
      </w:r>
      <w:r w:rsidR="00D96A78">
        <w:rPr>
          <w:rFonts w:ascii="Arial" w:hAnsi="Arial" w:cs="Arial"/>
          <w:sz w:val="24"/>
          <w:szCs w:val="24"/>
        </w:rPr>
        <w:t xml:space="preserve"> each</w:t>
      </w:r>
      <w:r w:rsidRPr="00394475">
        <w:rPr>
          <w:rFonts w:ascii="Arial" w:hAnsi="Arial" w:cs="Arial"/>
          <w:sz w:val="24"/>
          <w:szCs w:val="24"/>
        </w:rPr>
        <w:t xml:space="preserve"> triennial valuation</w:t>
      </w:r>
      <w:r w:rsidR="00D96A78">
        <w:rPr>
          <w:rFonts w:ascii="Arial" w:hAnsi="Arial" w:cs="Arial"/>
          <w:sz w:val="24"/>
          <w:szCs w:val="24"/>
        </w:rPr>
        <w:t xml:space="preserve"> of the Fund</w:t>
      </w:r>
      <w:r w:rsidRPr="00394475">
        <w:rPr>
          <w:rFonts w:ascii="Arial" w:hAnsi="Arial" w:cs="Arial"/>
          <w:sz w:val="24"/>
          <w:szCs w:val="24"/>
        </w:rPr>
        <w:t xml:space="preserve"> unless circumstances arise which require earlier action.</w:t>
      </w:r>
    </w:p>
    <w:p w:rsidR="00D96A78" w:rsidRDefault="00D96A78" w:rsidP="00394475">
      <w:pPr>
        <w:jc w:val="both"/>
        <w:rPr>
          <w:rFonts w:ascii="Arial" w:hAnsi="Arial" w:cs="Arial"/>
          <w:sz w:val="24"/>
          <w:szCs w:val="24"/>
        </w:rPr>
      </w:pPr>
    </w:p>
    <w:p w:rsidR="00D96A78" w:rsidRPr="00394475" w:rsidRDefault="008E0365" w:rsidP="00394475">
      <w:pPr>
        <w:jc w:val="both"/>
        <w:rPr>
          <w:rFonts w:ascii="Arial" w:hAnsi="Arial" w:cs="Arial"/>
          <w:sz w:val="24"/>
          <w:szCs w:val="24"/>
        </w:rPr>
      </w:pPr>
      <w:r>
        <w:rPr>
          <w:rFonts w:ascii="Arial" w:hAnsi="Arial" w:cs="Arial"/>
          <w:sz w:val="24"/>
          <w:szCs w:val="24"/>
        </w:rPr>
        <w:t xml:space="preserve">The </w:t>
      </w:r>
      <w:r w:rsidR="009B2027">
        <w:rPr>
          <w:rFonts w:ascii="Arial" w:hAnsi="Arial" w:cs="Arial"/>
          <w:sz w:val="24"/>
          <w:szCs w:val="24"/>
        </w:rPr>
        <w:t>administering authority</w:t>
      </w:r>
      <w:r>
        <w:rPr>
          <w:rFonts w:ascii="Arial" w:hAnsi="Arial" w:cs="Arial"/>
          <w:sz w:val="24"/>
          <w:szCs w:val="24"/>
        </w:rPr>
        <w:t xml:space="preserve"> will monitor the funding position of the Fund on an approximate basis at regular intervals between actuarial valuations and will discuss with the Fund </w:t>
      </w:r>
      <w:r w:rsidR="00492D61">
        <w:rPr>
          <w:rFonts w:ascii="Arial" w:hAnsi="Arial" w:cs="Arial"/>
          <w:sz w:val="24"/>
          <w:szCs w:val="24"/>
        </w:rPr>
        <w:t>A</w:t>
      </w:r>
      <w:r>
        <w:rPr>
          <w:rFonts w:ascii="Arial" w:hAnsi="Arial" w:cs="Arial"/>
          <w:sz w:val="24"/>
          <w:szCs w:val="24"/>
        </w:rPr>
        <w:t xml:space="preserve">ctuary whether any significant changes have arisen that </w:t>
      </w:r>
      <w:proofErr w:type="gramStart"/>
      <w:r>
        <w:rPr>
          <w:rFonts w:ascii="Arial" w:hAnsi="Arial" w:cs="Arial"/>
          <w:sz w:val="24"/>
          <w:szCs w:val="24"/>
        </w:rPr>
        <w:t>require</w:t>
      </w:r>
      <w:proofErr w:type="gramEnd"/>
      <w:r>
        <w:rPr>
          <w:rFonts w:ascii="Arial" w:hAnsi="Arial" w:cs="Arial"/>
          <w:sz w:val="24"/>
          <w:szCs w:val="24"/>
        </w:rPr>
        <w:t xml:space="preserve"> action.</w:t>
      </w:r>
    </w:p>
    <w:p w:rsidR="00681B91" w:rsidRPr="00394475" w:rsidRDefault="00681B91" w:rsidP="00394475">
      <w:pPr>
        <w:jc w:val="both"/>
        <w:rPr>
          <w:rFonts w:ascii="Arial" w:hAnsi="Arial" w:cs="Arial"/>
          <w:sz w:val="24"/>
          <w:szCs w:val="24"/>
        </w:rPr>
      </w:pPr>
    </w:p>
    <w:p w:rsidR="00C4424A" w:rsidRPr="00A24997" w:rsidRDefault="00BA54BF" w:rsidP="00C4424A">
      <w:pPr>
        <w:tabs>
          <w:tab w:val="right" w:pos="9270"/>
        </w:tabs>
        <w:jc w:val="right"/>
        <w:rPr>
          <w:rFonts w:ascii="Arial" w:hAnsi="Arial" w:cs="Arial"/>
          <w:b/>
          <w:sz w:val="24"/>
          <w:szCs w:val="24"/>
          <w:u w:val="single"/>
        </w:rPr>
      </w:pPr>
      <w:r w:rsidRPr="00A24997">
        <w:rPr>
          <w:rFonts w:ascii="Arial" w:hAnsi="Arial" w:cs="Arial"/>
          <w:sz w:val="24"/>
          <w:szCs w:val="24"/>
        </w:rPr>
        <w:br w:type="page"/>
      </w:r>
    </w:p>
    <w:p w:rsidR="00256434" w:rsidRPr="00681B91" w:rsidRDefault="00256434" w:rsidP="001638F8">
      <w:pPr>
        <w:jc w:val="both"/>
        <w:outlineLvl w:val="0"/>
        <w:rPr>
          <w:rFonts w:ascii="Arial" w:hAnsi="Arial" w:cs="Arial"/>
          <w:b/>
          <w:sz w:val="24"/>
          <w:szCs w:val="24"/>
          <w:u w:val="single"/>
        </w:rPr>
      </w:pPr>
      <w:r w:rsidRPr="00681B91">
        <w:rPr>
          <w:rFonts w:ascii="Arial" w:hAnsi="Arial" w:cs="Arial"/>
          <w:b/>
          <w:sz w:val="24"/>
          <w:szCs w:val="24"/>
          <w:u w:val="single"/>
        </w:rPr>
        <w:lastRenderedPageBreak/>
        <w:t>2. AIMS AND PURPOSE OF THE FUND</w:t>
      </w:r>
    </w:p>
    <w:p w:rsidR="00256434" w:rsidRDefault="00256434">
      <w:pPr>
        <w:jc w:val="both"/>
        <w:rPr>
          <w:rFonts w:ascii="Arial" w:hAnsi="Arial" w:cs="Arial"/>
          <w:b/>
          <w:sz w:val="24"/>
          <w:szCs w:val="24"/>
          <w:u w:val="single"/>
        </w:rPr>
      </w:pPr>
    </w:p>
    <w:p w:rsidR="00882BFE" w:rsidRPr="00181050" w:rsidRDefault="00882BFE" w:rsidP="001638F8">
      <w:pPr>
        <w:jc w:val="both"/>
        <w:outlineLvl w:val="0"/>
        <w:rPr>
          <w:rFonts w:ascii="Arial" w:hAnsi="Arial" w:cs="Arial"/>
          <w:b/>
          <w:sz w:val="24"/>
          <w:szCs w:val="24"/>
        </w:rPr>
      </w:pPr>
      <w:r w:rsidRPr="00181050">
        <w:rPr>
          <w:rFonts w:ascii="Arial" w:hAnsi="Arial" w:cs="Arial"/>
          <w:b/>
          <w:sz w:val="24"/>
          <w:szCs w:val="24"/>
        </w:rPr>
        <w:t>Purpose of the Fund</w:t>
      </w:r>
    </w:p>
    <w:p w:rsidR="00882BFE" w:rsidRPr="00394475" w:rsidRDefault="00882BFE" w:rsidP="00394475">
      <w:pPr>
        <w:jc w:val="both"/>
        <w:rPr>
          <w:rFonts w:ascii="Arial" w:hAnsi="Arial" w:cs="Arial"/>
          <w:sz w:val="24"/>
          <w:szCs w:val="24"/>
        </w:rPr>
      </w:pPr>
    </w:p>
    <w:p w:rsidR="00882BFE" w:rsidRPr="00394475" w:rsidRDefault="00882BFE" w:rsidP="00394475">
      <w:pPr>
        <w:jc w:val="both"/>
        <w:rPr>
          <w:rFonts w:ascii="Arial" w:hAnsi="Arial" w:cs="Arial"/>
          <w:sz w:val="24"/>
          <w:szCs w:val="24"/>
        </w:rPr>
      </w:pPr>
      <w:r w:rsidRPr="00394475">
        <w:rPr>
          <w:rFonts w:ascii="Arial" w:hAnsi="Arial" w:cs="Arial"/>
          <w:sz w:val="24"/>
          <w:szCs w:val="24"/>
        </w:rPr>
        <w:t>The purpose of the Fund is to invest monies in respect of contributions, transfer values and investment income to produce a Fund to pay Scheme benefits over the long term and</w:t>
      </w:r>
      <w:r w:rsidR="00730ECC">
        <w:rPr>
          <w:rFonts w:ascii="Arial" w:hAnsi="Arial" w:cs="Arial"/>
          <w:sz w:val="24"/>
          <w:szCs w:val="24"/>
        </w:rPr>
        <w:t xml:space="preserve"> </w:t>
      </w:r>
      <w:r w:rsidR="00282C15">
        <w:rPr>
          <w:rFonts w:ascii="Arial" w:hAnsi="Arial" w:cs="Arial"/>
          <w:sz w:val="24"/>
          <w:szCs w:val="24"/>
        </w:rPr>
        <w:t>to pay out monies in respect of the Scheme benefits, transfer values, costs, charges and expenses</w:t>
      </w:r>
      <w:r w:rsidRPr="00394475">
        <w:rPr>
          <w:rFonts w:ascii="Arial" w:hAnsi="Arial" w:cs="Arial"/>
          <w:sz w:val="24"/>
          <w:szCs w:val="24"/>
        </w:rPr>
        <w:t>.</w:t>
      </w:r>
    </w:p>
    <w:p w:rsidR="00882BFE" w:rsidRPr="00394475" w:rsidRDefault="00882BFE" w:rsidP="00394475">
      <w:pPr>
        <w:jc w:val="both"/>
        <w:rPr>
          <w:rFonts w:ascii="Arial" w:hAnsi="Arial" w:cs="Arial"/>
          <w:sz w:val="24"/>
          <w:szCs w:val="24"/>
        </w:rPr>
      </w:pPr>
    </w:p>
    <w:p w:rsidR="00BA54BF" w:rsidRPr="00181050" w:rsidRDefault="00BA54BF" w:rsidP="001638F8">
      <w:pPr>
        <w:jc w:val="both"/>
        <w:outlineLvl w:val="0"/>
        <w:rPr>
          <w:rFonts w:ascii="Arial" w:hAnsi="Arial" w:cs="Arial"/>
          <w:b/>
          <w:sz w:val="24"/>
          <w:szCs w:val="24"/>
        </w:rPr>
      </w:pPr>
      <w:r w:rsidRPr="00181050">
        <w:rPr>
          <w:rFonts w:ascii="Arial" w:hAnsi="Arial" w:cs="Arial"/>
          <w:b/>
          <w:sz w:val="24"/>
          <w:szCs w:val="24"/>
        </w:rPr>
        <w:t>Aims of the Fund</w:t>
      </w:r>
    </w:p>
    <w:p w:rsidR="00BA54BF" w:rsidRPr="00A24997" w:rsidRDefault="00BA54BF">
      <w:pPr>
        <w:rPr>
          <w:rFonts w:ascii="Arial" w:hAnsi="Arial" w:cs="Arial"/>
          <w:sz w:val="24"/>
          <w:szCs w:val="24"/>
        </w:rPr>
      </w:pPr>
    </w:p>
    <w:p w:rsidR="00BA54BF" w:rsidRPr="00394475" w:rsidRDefault="00BA54BF" w:rsidP="00394475">
      <w:pPr>
        <w:jc w:val="both"/>
        <w:rPr>
          <w:rFonts w:ascii="Arial" w:hAnsi="Arial" w:cs="Arial"/>
          <w:sz w:val="24"/>
          <w:szCs w:val="24"/>
        </w:rPr>
      </w:pPr>
      <w:r w:rsidRPr="00394475">
        <w:rPr>
          <w:rFonts w:ascii="Arial" w:hAnsi="Arial" w:cs="Arial"/>
          <w:sz w:val="24"/>
          <w:szCs w:val="24"/>
        </w:rPr>
        <w:t>The aims of the Fund are</w:t>
      </w:r>
      <w:r w:rsidR="008F2744">
        <w:rPr>
          <w:rFonts w:ascii="Arial" w:hAnsi="Arial" w:cs="Arial"/>
          <w:sz w:val="24"/>
          <w:szCs w:val="24"/>
        </w:rPr>
        <w:t xml:space="preserve"> set out under a) to e) below. Aims a), c), d) and e) reflect requirements of the Scheme legislation and associated CIPFA guidance. </w:t>
      </w:r>
      <w:proofErr w:type="gramStart"/>
      <w:r w:rsidR="008F2744">
        <w:rPr>
          <w:rFonts w:ascii="Arial" w:hAnsi="Arial" w:cs="Arial"/>
          <w:sz w:val="24"/>
          <w:szCs w:val="24"/>
        </w:rPr>
        <w:t>b</w:t>
      </w:r>
      <w:proofErr w:type="gramEnd"/>
      <w:r w:rsidR="008F2744">
        <w:rPr>
          <w:rFonts w:ascii="Arial" w:hAnsi="Arial" w:cs="Arial"/>
          <w:sz w:val="24"/>
          <w:szCs w:val="24"/>
        </w:rPr>
        <w:t>) is specific to the Fund.</w:t>
      </w:r>
    </w:p>
    <w:p w:rsidR="00BA54BF" w:rsidRPr="00394475" w:rsidRDefault="00BA54BF" w:rsidP="00394475">
      <w:pPr>
        <w:jc w:val="both"/>
        <w:rPr>
          <w:rFonts w:ascii="Arial" w:hAnsi="Arial" w:cs="Arial"/>
          <w:sz w:val="24"/>
          <w:szCs w:val="24"/>
        </w:rPr>
      </w:pPr>
    </w:p>
    <w:p w:rsidR="00BA54BF" w:rsidRDefault="00BA54BF" w:rsidP="00E114C4">
      <w:pPr>
        <w:numPr>
          <w:ilvl w:val="0"/>
          <w:numId w:val="29"/>
        </w:numPr>
        <w:jc w:val="both"/>
        <w:rPr>
          <w:rFonts w:ascii="Arial" w:hAnsi="Arial" w:cs="Arial"/>
          <w:sz w:val="24"/>
          <w:szCs w:val="24"/>
          <w:u w:val="single"/>
        </w:rPr>
      </w:pPr>
      <w:r w:rsidRPr="00F853B7">
        <w:rPr>
          <w:rFonts w:ascii="Arial" w:hAnsi="Arial" w:cs="Arial"/>
          <w:sz w:val="24"/>
          <w:szCs w:val="24"/>
          <w:u w:val="single"/>
        </w:rPr>
        <w:t xml:space="preserve">To </w:t>
      </w:r>
      <w:r w:rsidR="00A126F5" w:rsidRPr="00F853B7">
        <w:rPr>
          <w:rFonts w:ascii="Arial" w:hAnsi="Arial" w:cs="Arial"/>
          <w:sz w:val="24"/>
          <w:szCs w:val="24"/>
          <w:u w:val="single"/>
        </w:rPr>
        <w:t xml:space="preserve">comply with </w:t>
      </w:r>
      <w:r w:rsidR="00B53298">
        <w:rPr>
          <w:rFonts w:ascii="Arial" w:hAnsi="Arial" w:cs="Arial"/>
          <w:sz w:val="24"/>
          <w:szCs w:val="24"/>
          <w:u w:val="single"/>
        </w:rPr>
        <w:t>R</w:t>
      </w:r>
      <w:r w:rsidR="00A126F5" w:rsidRPr="00F853B7">
        <w:rPr>
          <w:rFonts w:ascii="Arial" w:hAnsi="Arial" w:cs="Arial"/>
          <w:sz w:val="24"/>
          <w:szCs w:val="24"/>
          <w:u w:val="single"/>
        </w:rPr>
        <w:t xml:space="preserve">egulation </w:t>
      </w:r>
      <w:r w:rsidR="00177431">
        <w:rPr>
          <w:rFonts w:ascii="Arial" w:hAnsi="Arial" w:cs="Arial"/>
          <w:sz w:val="24"/>
          <w:szCs w:val="24"/>
          <w:u w:val="single"/>
        </w:rPr>
        <w:t>62 of the 2013 Regulations</w:t>
      </w:r>
      <w:r w:rsidR="00A126F5" w:rsidRPr="00F853B7">
        <w:rPr>
          <w:rFonts w:ascii="Arial" w:hAnsi="Arial" w:cs="Arial"/>
          <w:sz w:val="24"/>
          <w:szCs w:val="24"/>
          <w:u w:val="single"/>
        </w:rPr>
        <w:t xml:space="preserve"> and specifically to adequately </w:t>
      </w:r>
      <w:r w:rsidR="004108F5" w:rsidRPr="00F853B7">
        <w:rPr>
          <w:rFonts w:ascii="Arial" w:hAnsi="Arial" w:cs="Arial"/>
          <w:sz w:val="24"/>
          <w:szCs w:val="24"/>
          <w:u w:val="single"/>
        </w:rPr>
        <w:t>fund benefits to secure the Fund's solvency while taking account of the desirability of maintaining as nearly a constant</w:t>
      </w:r>
      <w:r w:rsidR="008F2744">
        <w:rPr>
          <w:rFonts w:ascii="Arial" w:hAnsi="Arial" w:cs="Arial"/>
          <w:sz w:val="24"/>
          <w:szCs w:val="24"/>
          <w:u w:val="single"/>
        </w:rPr>
        <w:t xml:space="preserve"> primary</w:t>
      </w:r>
      <w:r w:rsidR="004108F5" w:rsidRPr="00F853B7">
        <w:rPr>
          <w:rFonts w:ascii="Arial" w:hAnsi="Arial" w:cs="Arial"/>
          <w:sz w:val="24"/>
          <w:szCs w:val="24"/>
          <w:u w:val="single"/>
        </w:rPr>
        <w:t xml:space="preserve"> contribution rate as possible</w:t>
      </w:r>
    </w:p>
    <w:p w:rsidR="000D24DD" w:rsidRDefault="000D24DD" w:rsidP="000D24DD">
      <w:pPr>
        <w:ind w:left="720"/>
        <w:jc w:val="both"/>
        <w:rPr>
          <w:rFonts w:ascii="Arial" w:hAnsi="Arial" w:cs="Arial"/>
          <w:sz w:val="24"/>
          <w:szCs w:val="24"/>
          <w:u w:val="single"/>
        </w:rPr>
      </w:pPr>
    </w:p>
    <w:p w:rsidR="008F2744" w:rsidRPr="008F2744" w:rsidRDefault="008F2744" w:rsidP="00E114C4">
      <w:pPr>
        <w:numPr>
          <w:ilvl w:val="0"/>
          <w:numId w:val="29"/>
        </w:numPr>
        <w:jc w:val="both"/>
        <w:rPr>
          <w:rFonts w:ascii="Arial" w:hAnsi="Arial" w:cs="Arial"/>
          <w:sz w:val="24"/>
          <w:szCs w:val="24"/>
          <w:u w:val="single"/>
        </w:rPr>
      </w:pPr>
      <w:r>
        <w:rPr>
          <w:rFonts w:ascii="Arial" w:hAnsi="Arial" w:cs="Arial"/>
          <w:sz w:val="24"/>
          <w:szCs w:val="24"/>
          <w:u w:val="single"/>
        </w:rPr>
        <w:t>To maintain as nearly constant an overall contribution rate as possible</w:t>
      </w:r>
    </w:p>
    <w:p w:rsidR="00BA54BF" w:rsidRPr="00394475" w:rsidRDefault="00BA54BF" w:rsidP="00394475">
      <w:pPr>
        <w:jc w:val="both"/>
        <w:rPr>
          <w:rFonts w:ascii="Arial" w:hAnsi="Arial" w:cs="Arial"/>
          <w:sz w:val="24"/>
          <w:szCs w:val="24"/>
        </w:rPr>
      </w:pPr>
    </w:p>
    <w:p w:rsidR="00BA54BF" w:rsidRDefault="00B46592" w:rsidP="00F853B7">
      <w:pPr>
        <w:ind w:left="360"/>
        <w:jc w:val="both"/>
        <w:rPr>
          <w:rFonts w:ascii="Arial" w:hAnsi="Arial" w:cs="Arial"/>
          <w:sz w:val="24"/>
          <w:szCs w:val="24"/>
        </w:rPr>
      </w:pPr>
      <w:r w:rsidRPr="00394475">
        <w:rPr>
          <w:rFonts w:ascii="Arial" w:hAnsi="Arial" w:cs="Arial"/>
          <w:sz w:val="24"/>
          <w:szCs w:val="24"/>
        </w:rPr>
        <w:t xml:space="preserve">The </w:t>
      </w:r>
      <w:r w:rsidR="009B2027">
        <w:rPr>
          <w:rFonts w:ascii="Arial" w:hAnsi="Arial" w:cs="Arial"/>
          <w:sz w:val="24"/>
          <w:szCs w:val="24"/>
        </w:rPr>
        <w:t>administering authority</w:t>
      </w:r>
      <w:r w:rsidR="00BA54BF" w:rsidRPr="00394475">
        <w:rPr>
          <w:rFonts w:ascii="Arial" w:hAnsi="Arial" w:cs="Arial"/>
          <w:sz w:val="24"/>
          <w:szCs w:val="24"/>
        </w:rPr>
        <w:t xml:space="preserve"> recognises that the requirement to keep employer contribution rates as nearly constant as possible can run counter to the following requirements:</w:t>
      </w:r>
    </w:p>
    <w:p w:rsidR="00981D6C" w:rsidRDefault="00981D6C" w:rsidP="00F853B7">
      <w:pPr>
        <w:ind w:left="360"/>
        <w:jc w:val="both"/>
        <w:rPr>
          <w:rFonts w:ascii="Arial" w:hAnsi="Arial" w:cs="Arial"/>
          <w:sz w:val="24"/>
          <w:szCs w:val="24"/>
        </w:rPr>
      </w:pPr>
    </w:p>
    <w:p w:rsidR="00981D6C" w:rsidRPr="00981D6C" w:rsidRDefault="00981D6C" w:rsidP="00981D6C">
      <w:pPr>
        <w:numPr>
          <w:ilvl w:val="0"/>
          <w:numId w:val="16"/>
        </w:numPr>
        <w:jc w:val="both"/>
        <w:rPr>
          <w:rFonts w:ascii="Arial" w:hAnsi="Arial" w:cs="Arial"/>
          <w:sz w:val="24"/>
          <w:szCs w:val="24"/>
        </w:rPr>
      </w:pPr>
      <w:r w:rsidRPr="00981D6C">
        <w:rPr>
          <w:rFonts w:ascii="Arial" w:hAnsi="Arial" w:cs="Arial"/>
          <w:sz w:val="24"/>
          <w:szCs w:val="24"/>
        </w:rPr>
        <w:t xml:space="preserve">the regulatory requirement to secure solvency </w:t>
      </w:r>
      <w:r w:rsidR="00CA1680">
        <w:rPr>
          <w:rFonts w:ascii="Arial" w:hAnsi="Arial" w:cs="Arial"/>
          <w:sz w:val="24"/>
          <w:szCs w:val="24"/>
        </w:rPr>
        <w:t xml:space="preserve">and long term cost efficiency </w:t>
      </w:r>
      <w:r w:rsidRPr="00981D6C">
        <w:rPr>
          <w:rFonts w:ascii="Arial" w:hAnsi="Arial" w:cs="Arial"/>
          <w:sz w:val="24"/>
          <w:szCs w:val="24"/>
        </w:rPr>
        <w:t xml:space="preserve">which should be assessed in light of the risk profile of the Fund and risk appetite of the </w:t>
      </w:r>
      <w:r w:rsidR="009B2027">
        <w:rPr>
          <w:rFonts w:ascii="Arial" w:hAnsi="Arial" w:cs="Arial"/>
          <w:sz w:val="24"/>
          <w:szCs w:val="24"/>
        </w:rPr>
        <w:t>administering authority</w:t>
      </w:r>
      <w:r w:rsidRPr="00981D6C">
        <w:rPr>
          <w:rFonts w:ascii="Arial" w:hAnsi="Arial" w:cs="Arial"/>
          <w:sz w:val="24"/>
          <w:szCs w:val="24"/>
        </w:rPr>
        <w:t xml:space="preserve"> and employers</w:t>
      </w:r>
      <w:r>
        <w:rPr>
          <w:rFonts w:ascii="Arial" w:hAnsi="Arial" w:cs="Arial"/>
          <w:sz w:val="24"/>
          <w:szCs w:val="24"/>
        </w:rPr>
        <w:t>;</w:t>
      </w:r>
    </w:p>
    <w:p w:rsidR="00981D6C" w:rsidRPr="00981D6C" w:rsidRDefault="00981D6C" w:rsidP="00981D6C">
      <w:pPr>
        <w:numPr>
          <w:ilvl w:val="0"/>
          <w:numId w:val="16"/>
        </w:numPr>
        <w:jc w:val="both"/>
        <w:rPr>
          <w:rFonts w:ascii="Arial" w:hAnsi="Arial" w:cs="Arial"/>
          <w:sz w:val="24"/>
          <w:szCs w:val="24"/>
        </w:rPr>
      </w:pPr>
      <w:r w:rsidRPr="00981D6C">
        <w:rPr>
          <w:rFonts w:ascii="Arial" w:hAnsi="Arial" w:cs="Arial"/>
          <w:sz w:val="24"/>
          <w:szCs w:val="24"/>
        </w:rPr>
        <w:t>the requirement that the costs should be reasonable to Scheduled and Admission Bodies, other bodies and to taxpayers (subject to not taking undue risks); and</w:t>
      </w:r>
    </w:p>
    <w:p w:rsidR="00981D6C" w:rsidRDefault="00981D6C" w:rsidP="00981D6C">
      <w:pPr>
        <w:numPr>
          <w:ilvl w:val="0"/>
          <w:numId w:val="16"/>
        </w:numPr>
        <w:jc w:val="both"/>
        <w:rPr>
          <w:rFonts w:ascii="Arial" w:hAnsi="Arial" w:cs="Arial"/>
          <w:sz w:val="24"/>
          <w:szCs w:val="24"/>
        </w:rPr>
      </w:pPr>
      <w:proofErr w:type="gramStart"/>
      <w:r w:rsidRPr="00981D6C">
        <w:rPr>
          <w:rFonts w:ascii="Arial" w:hAnsi="Arial" w:cs="Arial"/>
          <w:sz w:val="24"/>
          <w:szCs w:val="24"/>
        </w:rPr>
        <w:t>maximising</w:t>
      </w:r>
      <w:proofErr w:type="gramEnd"/>
      <w:r w:rsidRPr="00981D6C">
        <w:rPr>
          <w:rFonts w:ascii="Arial" w:hAnsi="Arial" w:cs="Arial"/>
          <w:sz w:val="24"/>
          <w:szCs w:val="24"/>
        </w:rPr>
        <w:t xml:space="preserve"> </w:t>
      </w:r>
      <w:r w:rsidR="008F2744">
        <w:rPr>
          <w:rFonts w:ascii="Arial" w:hAnsi="Arial" w:cs="Arial"/>
          <w:sz w:val="24"/>
          <w:szCs w:val="24"/>
        </w:rPr>
        <w:t>returns</w:t>
      </w:r>
      <w:r w:rsidRPr="00981D6C">
        <w:rPr>
          <w:rFonts w:ascii="Arial" w:hAnsi="Arial" w:cs="Arial"/>
          <w:sz w:val="24"/>
          <w:szCs w:val="24"/>
        </w:rPr>
        <w:t xml:space="preserve"> from investments within reasonable risk parameters (see (</w:t>
      </w:r>
      <w:r w:rsidR="008F2744">
        <w:rPr>
          <w:rFonts w:ascii="Arial" w:hAnsi="Arial" w:cs="Arial"/>
          <w:sz w:val="24"/>
          <w:szCs w:val="24"/>
        </w:rPr>
        <w:t>e</w:t>
      </w:r>
      <w:r w:rsidRPr="00981D6C">
        <w:rPr>
          <w:rFonts w:ascii="Arial" w:hAnsi="Arial" w:cs="Arial"/>
          <w:sz w:val="24"/>
          <w:szCs w:val="24"/>
        </w:rPr>
        <w:t>) below).</w:t>
      </w:r>
    </w:p>
    <w:p w:rsidR="00981D6C" w:rsidRPr="00981D6C" w:rsidRDefault="00981D6C" w:rsidP="00121B2F">
      <w:pPr>
        <w:ind w:left="720"/>
        <w:jc w:val="both"/>
        <w:rPr>
          <w:rFonts w:ascii="Arial" w:hAnsi="Arial" w:cs="Arial"/>
          <w:sz w:val="24"/>
          <w:szCs w:val="24"/>
        </w:rPr>
      </w:pPr>
    </w:p>
    <w:p w:rsidR="00981D6C" w:rsidRPr="00981D6C" w:rsidRDefault="00981D6C" w:rsidP="00981D6C">
      <w:pPr>
        <w:ind w:left="360"/>
        <w:jc w:val="both"/>
        <w:rPr>
          <w:rFonts w:ascii="Arial" w:hAnsi="Arial" w:cs="Arial"/>
          <w:sz w:val="24"/>
          <w:szCs w:val="24"/>
        </w:rPr>
      </w:pPr>
      <w:r w:rsidRPr="00981D6C">
        <w:rPr>
          <w:rFonts w:ascii="Arial" w:hAnsi="Arial" w:cs="Arial"/>
          <w:sz w:val="24"/>
          <w:szCs w:val="24"/>
        </w:rPr>
        <w:t xml:space="preserve">Producing low volatility in employer contribution rates requires material investment in assets which ‘match’ the employers’ liabilities. </w:t>
      </w:r>
      <w:r w:rsidR="00877A4E">
        <w:rPr>
          <w:rFonts w:ascii="Arial" w:hAnsi="Arial" w:cs="Arial"/>
          <w:sz w:val="24"/>
          <w:szCs w:val="24"/>
        </w:rPr>
        <w:t xml:space="preserve"> </w:t>
      </w:r>
      <w:r w:rsidRPr="00981D6C">
        <w:rPr>
          <w:rFonts w:ascii="Arial" w:hAnsi="Arial" w:cs="Arial"/>
          <w:sz w:val="24"/>
          <w:szCs w:val="24"/>
        </w:rPr>
        <w:t xml:space="preserve">In this context, ‘match’ means assets which behave in a similar manner to the liabilities as economic conditions alter.  For the liabilities represented by benefits payable by the Local Government Pension Scheme, such assets would tend to comprise gilt edged investments.  </w:t>
      </w:r>
    </w:p>
    <w:p w:rsidR="00981D6C" w:rsidRDefault="00981D6C" w:rsidP="00F853B7">
      <w:pPr>
        <w:ind w:left="360"/>
        <w:jc w:val="both"/>
        <w:rPr>
          <w:rFonts w:ascii="Arial" w:hAnsi="Arial" w:cs="Arial"/>
          <w:sz w:val="24"/>
          <w:szCs w:val="24"/>
        </w:rPr>
      </w:pPr>
    </w:p>
    <w:p w:rsidR="00BA54BF" w:rsidRPr="00F853B7" w:rsidRDefault="00BA54BF" w:rsidP="00F853B7">
      <w:pPr>
        <w:ind w:left="360"/>
        <w:jc w:val="both"/>
        <w:rPr>
          <w:rFonts w:ascii="Arial" w:hAnsi="Arial" w:cs="Arial"/>
          <w:sz w:val="24"/>
          <w:szCs w:val="24"/>
        </w:rPr>
      </w:pPr>
      <w:r w:rsidRPr="00F853B7">
        <w:rPr>
          <w:rFonts w:ascii="Arial" w:hAnsi="Arial" w:cs="Arial"/>
          <w:sz w:val="24"/>
          <w:szCs w:val="24"/>
        </w:rPr>
        <w:t>Other classes of assets, such as stocks and property, are perceived to offer higher long term rates of return, on average, and consistent with the requirement to maximise the returns from inv</w:t>
      </w:r>
      <w:r w:rsidR="00B46592" w:rsidRPr="00F853B7">
        <w:rPr>
          <w:rFonts w:ascii="Arial" w:hAnsi="Arial" w:cs="Arial"/>
          <w:sz w:val="24"/>
          <w:szCs w:val="24"/>
        </w:rPr>
        <w:t>estments</w:t>
      </w:r>
      <w:r w:rsidR="00F85D23">
        <w:rPr>
          <w:rFonts w:ascii="Arial" w:hAnsi="Arial" w:cs="Arial"/>
          <w:sz w:val="24"/>
          <w:szCs w:val="24"/>
        </w:rPr>
        <w:t xml:space="preserve"> within reasonable risk parameters,</w:t>
      </w:r>
      <w:r w:rsidR="00B46592" w:rsidRPr="00F853B7">
        <w:rPr>
          <w:rFonts w:ascii="Arial" w:hAnsi="Arial" w:cs="Arial"/>
          <w:sz w:val="24"/>
          <w:szCs w:val="24"/>
        </w:rPr>
        <w:t xml:space="preserve"> the </w:t>
      </w:r>
      <w:r w:rsidR="009B2027">
        <w:rPr>
          <w:rFonts w:ascii="Arial" w:hAnsi="Arial" w:cs="Arial"/>
          <w:sz w:val="24"/>
          <w:szCs w:val="24"/>
        </w:rPr>
        <w:t>administering authority</w:t>
      </w:r>
      <w:r w:rsidRPr="00F853B7">
        <w:rPr>
          <w:rFonts w:ascii="Arial" w:hAnsi="Arial" w:cs="Arial"/>
          <w:sz w:val="24"/>
          <w:szCs w:val="24"/>
        </w:rPr>
        <w:t xml:space="preserve"> invests a substantial proportion of the Fund in such assets.</w:t>
      </w:r>
      <w:r w:rsidR="00B46592" w:rsidRPr="00F853B7">
        <w:rPr>
          <w:rFonts w:ascii="Arial" w:hAnsi="Arial" w:cs="Arial"/>
          <w:sz w:val="24"/>
          <w:szCs w:val="24"/>
        </w:rPr>
        <w:t xml:space="preserve"> </w:t>
      </w:r>
      <w:r w:rsidR="00877A4E">
        <w:rPr>
          <w:rFonts w:ascii="Arial" w:hAnsi="Arial" w:cs="Arial"/>
          <w:sz w:val="24"/>
          <w:szCs w:val="24"/>
        </w:rPr>
        <w:t xml:space="preserve"> </w:t>
      </w:r>
      <w:r w:rsidRPr="00F853B7">
        <w:rPr>
          <w:rFonts w:ascii="Arial" w:hAnsi="Arial" w:cs="Arial"/>
          <w:sz w:val="24"/>
          <w:szCs w:val="24"/>
        </w:rPr>
        <w:t>However, these assets are more risky in nature, and that risk can manifest itself in volatile returns over short term periods</w:t>
      </w:r>
      <w:r w:rsidR="00F85D23">
        <w:rPr>
          <w:rFonts w:ascii="Arial" w:hAnsi="Arial" w:cs="Arial"/>
          <w:sz w:val="24"/>
          <w:szCs w:val="24"/>
        </w:rPr>
        <w:t>, and a failure to deliver the anticipated returns in the long term</w:t>
      </w:r>
      <w:r w:rsidRPr="00F853B7">
        <w:rPr>
          <w:rFonts w:ascii="Arial" w:hAnsi="Arial" w:cs="Arial"/>
          <w:sz w:val="24"/>
          <w:szCs w:val="24"/>
        </w:rPr>
        <w:t>.</w:t>
      </w:r>
    </w:p>
    <w:p w:rsidR="00BA54BF" w:rsidRPr="00F853B7" w:rsidRDefault="00BA54BF" w:rsidP="00F853B7">
      <w:pPr>
        <w:jc w:val="both"/>
        <w:rPr>
          <w:rFonts w:ascii="Arial" w:hAnsi="Arial" w:cs="Arial"/>
          <w:sz w:val="24"/>
          <w:szCs w:val="24"/>
        </w:rPr>
      </w:pPr>
    </w:p>
    <w:p w:rsidR="00BA54BF" w:rsidRPr="00F853B7" w:rsidRDefault="00BA54BF" w:rsidP="00F853B7">
      <w:pPr>
        <w:ind w:left="360"/>
        <w:jc w:val="both"/>
        <w:rPr>
          <w:rFonts w:ascii="Arial" w:hAnsi="Arial" w:cs="Arial"/>
          <w:sz w:val="24"/>
          <w:szCs w:val="24"/>
        </w:rPr>
      </w:pPr>
      <w:r w:rsidRPr="00F853B7">
        <w:rPr>
          <w:rFonts w:ascii="Arial" w:hAnsi="Arial" w:cs="Arial"/>
          <w:sz w:val="24"/>
          <w:szCs w:val="24"/>
        </w:rPr>
        <w:t>This short term volatility in investment returns can produce a consequent volatility in the measured funding position of the Fund at successive</w:t>
      </w:r>
      <w:r w:rsidR="00F85D23">
        <w:rPr>
          <w:rFonts w:ascii="Arial" w:hAnsi="Arial" w:cs="Arial"/>
          <w:sz w:val="24"/>
          <w:szCs w:val="24"/>
        </w:rPr>
        <w:t xml:space="preserve"> actuarial</w:t>
      </w:r>
      <w:r w:rsidRPr="00F853B7">
        <w:rPr>
          <w:rFonts w:ascii="Arial" w:hAnsi="Arial" w:cs="Arial"/>
          <w:sz w:val="24"/>
          <w:szCs w:val="24"/>
        </w:rPr>
        <w:t xml:space="preserve"> valuations, with knock on effects </w:t>
      </w:r>
      <w:r w:rsidR="00581EEF">
        <w:rPr>
          <w:rFonts w:ascii="Arial" w:hAnsi="Arial" w:cs="Arial"/>
          <w:sz w:val="24"/>
          <w:szCs w:val="24"/>
        </w:rPr>
        <w:t>to</w:t>
      </w:r>
      <w:r w:rsidR="00581EEF" w:rsidRPr="00F853B7">
        <w:rPr>
          <w:rFonts w:ascii="Arial" w:hAnsi="Arial" w:cs="Arial"/>
          <w:sz w:val="24"/>
          <w:szCs w:val="24"/>
        </w:rPr>
        <w:t xml:space="preserve"> </w:t>
      </w:r>
      <w:r w:rsidRPr="00F853B7">
        <w:rPr>
          <w:rFonts w:ascii="Arial" w:hAnsi="Arial" w:cs="Arial"/>
          <w:sz w:val="24"/>
          <w:szCs w:val="24"/>
        </w:rPr>
        <w:t xml:space="preserve">employer contribution rates. </w:t>
      </w:r>
      <w:r w:rsidR="00877A4E">
        <w:rPr>
          <w:rFonts w:ascii="Arial" w:hAnsi="Arial" w:cs="Arial"/>
          <w:sz w:val="24"/>
          <w:szCs w:val="24"/>
        </w:rPr>
        <w:t xml:space="preserve"> </w:t>
      </w:r>
      <w:r w:rsidRPr="00F853B7">
        <w:rPr>
          <w:rFonts w:ascii="Arial" w:hAnsi="Arial" w:cs="Arial"/>
          <w:sz w:val="24"/>
          <w:szCs w:val="24"/>
        </w:rPr>
        <w:t>The impact on employer rates can be mitigated by use of smoothing adjustments at each valuation.</w:t>
      </w:r>
    </w:p>
    <w:p w:rsidR="00BA54BF" w:rsidRPr="00F853B7" w:rsidRDefault="00BA54BF" w:rsidP="00F853B7">
      <w:pPr>
        <w:jc w:val="both"/>
        <w:rPr>
          <w:rFonts w:ascii="Arial" w:hAnsi="Arial" w:cs="Arial"/>
          <w:sz w:val="24"/>
          <w:szCs w:val="24"/>
        </w:rPr>
      </w:pPr>
    </w:p>
    <w:p w:rsidR="00BA54BF" w:rsidRPr="00F853B7" w:rsidRDefault="00B46592" w:rsidP="00F853B7">
      <w:pPr>
        <w:ind w:left="360"/>
        <w:jc w:val="both"/>
        <w:rPr>
          <w:rFonts w:ascii="Arial" w:hAnsi="Arial" w:cs="Arial"/>
          <w:sz w:val="24"/>
          <w:szCs w:val="24"/>
        </w:rPr>
      </w:pP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recognises that there is a balance to be struck between the investment </w:t>
      </w:r>
      <w:proofErr w:type="gramStart"/>
      <w:r w:rsidR="00BA54BF" w:rsidRPr="00F853B7">
        <w:rPr>
          <w:rFonts w:ascii="Arial" w:hAnsi="Arial" w:cs="Arial"/>
          <w:sz w:val="24"/>
          <w:szCs w:val="24"/>
        </w:rPr>
        <w:t>policy</w:t>
      </w:r>
      <w:proofErr w:type="gramEnd"/>
      <w:r w:rsidR="00BA54BF" w:rsidRPr="00F853B7">
        <w:rPr>
          <w:rFonts w:ascii="Arial" w:hAnsi="Arial" w:cs="Arial"/>
          <w:sz w:val="24"/>
          <w:szCs w:val="24"/>
        </w:rPr>
        <w:t xml:space="preserve"> adopted, the smoothing mechanisms used at valuations, and the resultant </w:t>
      </w:r>
      <w:r w:rsidR="00F85D23">
        <w:rPr>
          <w:rFonts w:ascii="Arial" w:hAnsi="Arial" w:cs="Arial"/>
          <w:sz w:val="24"/>
          <w:szCs w:val="24"/>
        </w:rPr>
        <w:t>stability</w:t>
      </w:r>
      <w:r w:rsidR="00BA54BF" w:rsidRPr="00F853B7">
        <w:rPr>
          <w:rFonts w:ascii="Arial" w:hAnsi="Arial" w:cs="Arial"/>
          <w:sz w:val="24"/>
          <w:szCs w:val="24"/>
        </w:rPr>
        <w:t xml:space="preserve"> of employer contribution rates from one valuation period to the next.</w:t>
      </w:r>
    </w:p>
    <w:p w:rsidR="00BA54BF" w:rsidRPr="00F853B7" w:rsidRDefault="00BA54BF" w:rsidP="00F853B7">
      <w:pPr>
        <w:jc w:val="both"/>
        <w:rPr>
          <w:rFonts w:ascii="Arial" w:hAnsi="Arial" w:cs="Arial"/>
          <w:sz w:val="24"/>
          <w:szCs w:val="24"/>
        </w:rPr>
      </w:pPr>
    </w:p>
    <w:p w:rsidR="00BA54BF" w:rsidRPr="00F853B7" w:rsidRDefault="00B46592" w:rsidP="00F853B7">
      <w:pPr>
        <w:ind w:left="360"/>
        <w:jc w:val="both"/>
        <w:rPr>
          <w:rFonts w:ascii="Arial" w:hAnsi="Arial" w:cs="Arial"/>
          <w:sz w:val="24"/>
          <w:szCs w:val="24"/>
        </w:rPr>
      </w:pP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also recognises that the position is</w:t>
      </w:r>
      <w:r w:rsidRPr="00F853B7">
        <w:rPr>
          <w:rFonts w:ascii="Arial" w:hAnsi="Arial" w:cs="Arial"/>
          <w:sz w:val="24"/>
          <w:szCs w:val="24"/>
        </w:rPr>
        <w:t xml:space="preserve"> potentially more volatile for </w:t>
      </w:r>
      <w:r w:rsidR="00981D6C">
        <w:rPr>
          <w:rFonts w:ascii="Arial" w:hAnsi="Arial" w:cs="Arial"/>
          <w:sz w:val="24"/>
          <w:szCs w:val="24"/>
        </w:rPr>
        <w:t>A</w:t>
      </w:r>
      <w:r w:rsidRPr="00F853B7">
        <w:rPr>
          <w:rFonts w:ascii="Arial" w:hAnsi="Arial" w:cs="Arial"/>
          <w:sz w:val="24"/>
          <w:szCs w:val="24"/>
        </w:rPr>
        <w:t xml:space="preserve">dmission </w:t>
      </w:r>
      <w:r w:rsidR="00981D6C">
        <w:rPr>
          <w:rFonts w:ascii="Arial" w:hAnsi="Arial" w:cs="Arial"/>
          <w:sz w:val="24"/>
          <w:szCs w:val="24"/>
        </w:rPr>
        <w:t>B</w:t>
      </w:r>
      <w:r w:rsidR="00BA54BF" w:rsidRPr="00F853B7">
        <w:rPr>
          <w:rFonts w:ascii="Arial" w:hAnsi="Arial" w:cs="Arial"/>
          <w:sz w:val="24"/>
          <w:szCs w:val="24"/>
        </w:rPr>
        <w:t>odies with short term contracts</w:t>
      </w:r>
      <w:r w:rsidR="00B143AD">
        <w:rPr>
          <w:rFonts w:ascii="Arial" w:hAnsi="Arial" w:cs="Arial"/>
          <w:sz w:val="24"/>
          <w:szCs w:val="24"/>
        </w:rPr>
        <w:t>,</w:t>
      </w:r>
      <w:r w:rsidR="00BA54BF" w:rsidRPr="00F853B7">
        <w:rPr>
          <w:rFonts w:ascii="Arial" w:hAnsi="Arial" w:cs="Arial"/>
          <w:sz w:val="24"/>
          <w:szCs w:val="24"/>
        </w:rPr>
        <w:t xml:space="preserve"> where utilisation of smoothing mechanisms is less appropriate.</w:t>
      </w:r>
    </w:p>
    <w:p w:rsidR="00C4424A" w:rsidRPr="00F853B7" w:rsidRDefault="00C4424A" w:rsidP="00F853B7">
      <w:pPr>
        <w:jc w:val="both"/>
        <w:rPr>
          <w:rFonts w:ascii="Arial" w:hAnsi="Arial" w:cs="Arial"/>
          <w:sz w:val="24"/>
          <w:szCs w:val="24"/>
        </w:rPr>
      </w:pPr>
    </w:p>
    <w:p w:rsidR="00BA54BF" w:rsidRPr="00F853B7" w:rsidRDefault="008F2744" w:rsidP="00F853B7">
      <w:pPr>
        <w:tabs>
          <w:tab w:val="left" w:pos="426"/>
        </w:tabs>
        <w:ind w:left="360" w:hanging="360"/>
        <w:jc w:val="both"/>
        <w:rPr>
          <w:rFonts w:ascii="Arial" w:hAnsi="Arial" w:cs="Arial"/>
          <w:sz w:val="24"/>
          <w:szCs w:val="24"/>
        </w:rPr>
      </w:pPr>
      <w:r>
        <w:rPr>
          <w:rFonts w:ascii="Arial" w:hAnsi="Arial" w:cs="Arial"/>
          <w:sz w:val="24"/>
          <w:szCs w:val="24"/>
        </w:rPr>
        <w:t>c</w:t>
      </w:r>
      <w:r w:rsidR="00F853B7">
        <w:rPr>
          <w:rFonts w:ascii="Arial" w:hAnsi="Arial" w:cs="Arial"/>
          <w:sz w:val="24"/>
          <w:szCs w:val="24"/>
        </w:rPr>
        <w:t>)</w:t>
      </w:r>
      <w:r w:rsidR="00F853B7">
        <w:rPr>
          <w:rFonts w:ascii="Arial" w:hAnsi="Arial" w:cs="Arial"/>
          <w:sz w:val="24"/>
          <w:szCs w:val="24"/>
        </w:rPr>
        <w:tab/>
      </w:r>
      <w:r w:rsidR="00BA54BF" w:rsidRPr="00F853B7">
        <w:rPr>
          <w:rFonts w:ascii="Arial" w:hAnsi="Arial" w:cs="Arial"/>
          <w:sz w:val="24"/>
          <w:szCs w:val="24"/>
          <w:u w:val="single"/>
        </w:rPr>
        <w:t>To ensure that sufficient resources are available to meet all liabilities as they fall due</w:t>
      </w:r>
    </w:p>
    <w:p w:rsidR="00BA54BF" w:rsidRPr="00F853B7" w:rsidRDefault="00BA54BF" w:rsidP="00F853B7">
      <w:pPr>
        <w:jc w:val="both"/>
        <w:rPr>
          <w:rFonts w:ascii="Arial" w:hAnsi="Arial" w:cs="Arial"/>
          <w:sz w:val="24"/>
          <w:szCs w:val="24"/>
        </w:rPr>
      </w:pPr>
    </w:p>
    <w:p w:rsidR="00BA54BF" w:rsidRPr="00F853B7" w:rsidRDefault="00B46592" w:rsidP="00F853B7">
      <w:pPr>
        <w:ind w:left="360"/>
        <w:jc w:val="both"/>
        <w:rPr>
          <w:rFonts w:ascii="Arial" w:hAnsi="Arial" w:cs="Arial"/>
          <w:sz w:val="24"/>
          <w:szCs w:val="24"/>
        </w:rPr>
      </w:pP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recognises the need to ensure that the Fund has, at all times, sufficient liquid assets to be able to pay pensions, transfer values, costs, charges and other</w:t>
      </w:r>
      <w:r w:rsidRPr="00F853B7">
        <w:rPr>
          <w:rFonts w:ascii="Arial" w:hAnsi="Arial" w:cs="Arial"/>
          <w:sz w:val="24"/>
          <w:szCs w:val="24"/>
        </w:rPr>
        <w:t xml:space="preserve"> expenses. </w:t>
      </w:r>
      <w:r w:rsidR="00877A4E">
        <w:rPr>
          <w:rFonts w:ascii="Arial" w:hAnsi="Arial" w:cs="Arial"/>
          <w:sz w:val="24"/>
          <w:szCs w:val="24"/>
        </w:rPr>
        <w:t xml:space="preserve"> </w:t>
      </w:r>
      <w:r w:rsidRPr="00F853B7">
        <w:rPr>
          <w:rFonts w:ascii="Arial" w:hAnsi="Arial" w:cs="Arial"/>
          <w:sz w:val="24"/>
          <w:szCs w:val="24"/>
        </w:rPr>
        <w:t xml:space="preserve">It is the </w:t>
      </w:r>
      <w:r w:rsidR="009B2027">
        <w:rPr>
          <w:rFonts w:ascii="Arial" w:hAnsi="Arial" w:cs="Arial"/>
          <w:sz w:val="24"/>
          <w:szCs w:val="24"/>
        </w:rPr>
        <w:t>administering authority</w:t>
      </w:r>
      <w:r w:rsidR="00BA54BF" w:rsidRPr="00F853B7">
        <w:rPr>
          <w:rFonts w:ascii="Arial" w:hAnsi="Arial" w:cs="Arial"/>
          <w:sz w:val="24"/>
          <w:szCs w:val="24"/>
        </w:rPr>
        <w:t>’s policy that such expenditure is met, in the first instance, from incoming employer and employee contributions to avoid the expense of disinvesting assets.</w:t>
      </w:r>
      <w:r w:rsidRPr="00F853B7">
        <w:rPr>
          <w:rFonts w:ascii="Arial" w:hAnsi="Arial" w:cs="Arial"/>
          <w:sz w:val="24"/>
          <w:szCs w:val="24"/>
        </w:rPr>
        <w:t xml:space="preserve"> </w:t>
      </w:r>
      <w:r w:rsidR="00877A4E">
        <w:rPr>
          <w:rFonts w:ascii="Arial" w:hAnsi="Arial" w:cs="Arial"/>
          <w:sz w:val="24"/>
          <w:szCs w:val="24"/>
        </w:rPr>
        <w:t xml:space="preserve"> </w:t>
      </w: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monitors the position to ensure that all cash requirements can be met.</w:t>
      </w:r>
    </w:p>
    <w:p w:rsidR="00BA54BF" w:rsidRPr="00F853B7" w:rsidRDefault="00BA54BF" w:rsidP="00F853B7">
      <w:pPr>
        <w:jc w:val="both"/>
        <w:rPr>
          <w:rFonts w:ascii="Arial" w:hAnsi="Arial" w:cs="Arial"/>
          <w:sz w:val="24"/>
          <w:szCs w:val="24"/>
        </w:rPr>
      </w:pPr>
    </w:p>
    <w:p w:rsidR="00BA54BF" w:rsidRPr="00F853B7" w:rsidRDefault="008F2744" w:rsidP="00F853B7">
      <w:pPr>
        <w:tabs>
          <w:tab w:val="left" w:pos="426"/>
        </w:tabs>
        <w:jc w:val="both"/>
        <w:rPr>
          <w:rFonts w:ascii="Arial" w:hAnsi="Arial" w:cs="Arial"/>
          <w:sz w:val="24"/>
          <w:szCs w:val="24"/>
        </w:rPr>
      </w:pPr>
      <w:r>
        <w:rPr>
          <w:rFonts w:ascii="Arial" w:hAnsi="Arial" w:cs="Arial"/>
          <w:sz w:val="24"/>
          <w:szCs w:val="24"/>
        </w:rPr>
        <w:t>d</w:t>
      </w:r>
      <w:r w:rsidR="00F853B7">
        <w:rPr>
          <w:rFonts w:ascii="Arial" w:hAnsi="Arial" w:cs="Arial"/>
          <w:sz w:val="24"/>
          <w:szCs w:val="24"/>
        </w:rPr>
        <w:t>)</w:t>
      </w:r>
      <w:r w:rsidR="00F853B7">
        <w:rPr>
          <w:rFonts w:ascii="Arial" w:hAnsi="Arial" w:cs="Arial"/>
          <w:sz w:val="24"/>
          <w:szCs w:val="24"/>
        </w:rPr>
        <w:tab/>
      </w:r>
      <w:r w:rsidR="00BA54BF" w:rsidRPr="00F853B7">
        <w:rPr>
          <w:rFonts w:ascii="Arial" w:hAnsi="Arial" w:cs="Arial"/>
          <w:sz w:val="24"/>
          <w:szCs w:val="24"/>
          <w:u w:val="single"/>
        </w:rPr>
        <w:t>To manage emp</w:t>
      </w:r>
      <w:r w:rsidR="00932054" w:rsidRPr="00F853B7">
        <w:rPr>
          <w:rFonts w:ascii="Arial" w:hAnsi="Arial" w:cs="Arial"/>
          <w:sz w:val="24"/>
          <w:szCs w:val="24"/>
          <w:u w:val="single"/>
        </w:rPr>
        <w:t>loyers’ liabilities effectively</w:t>
      </w:r>
    </w:p>
    <w:p w:rsidR="00BA54BF" w:rsidRPr="00F853B7" w:rsidRDefault="00BA54BF" w:rsidP="00F853B7">
      <w:pPr>
        <w:jc w:val="both"/>
        <w:rPr>
          <w:rFonts w:ascii="Arial" w:hAnsi="Arial" w:cs="Arial"/>
          <w:sz w:val="24"/>
          <w:szCs w:val="24"/>
        </w:rPr>
      </w:pPr>
    </w:p>
    <w:p w:rsidR="00BA54BF" w:rsidRPr="00F853B7" w:rsidRDefault="00B46592" w:rsidP="00F853B7">
      <w:pPr>
        <w:ind w:left="426"/>
        <w:jc w:val="both"/>
        <w:rPr>
          <w:rFonts w:ascii="Arial" w:hAnsi="Arial" w:cs="Arial"/>
          <w:sz w:val="24"/>
          <w:szCs w:val="24"/>
        </w:rPr>
      </w:pP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seeks to ensure that all employers’ liabilities are managed effectively.</w:t>
      </w:r>
      <w:r w:rsidRPr="00F853B7">
        <w:rPr>
          <w:rFonts w:ascii="Arial" w:hAnsi="Arial" w:cs="Arial"/>
          <w:sz w:val="24"/>
          <w:szCs w:val="24"/>
        </w:rPr>
        <w:t xml:space="preserve"> </w:t>
      </w:r>
      <w:r w:rsidR="00877A4E">
        <w:rPr>
          <w:rFonts w:ascii="Arial" w:hAnsi="Arial" w:cs="Arial"/>
          <w:sz w:val="24"/>
          <w:szCs w:val="24"/>
        </w:rPr>
        <w:t xml:space="preserve"> </w:t>
      </w:r>
      <w:r w:rsidR="00BA54BF" w:rsidRPr="00F853B7">
        <w:rPr>
          <w:rFonts w:ascii="Arial" w:hAnsi="Arial" w:cs="Arial"/>
          <w:sz w:val="24"/>
          <w:szCs w:val="24"/>
        </w:rPr>
        <w:t xml:space="preserve">In a funding context, this is achieved by seeking regular actuarial advice, ensuring that employers are </w:t>
      </w:r>
      <w:r w:rsidR="00133D3C" w:rsidRPr="00F853B7">
        <w:rPr>
          <w:rFonts w:ascii="Arial" w:hAnsi="Arial" w:cs="Arial"/>
          <w:sz w:val="24"/>
          <w:szCs w:val="24"/>
        </w:rPr>
        <w:t xml:space="preserve">kept </w:t>
      </w:r>
      <w:r w:rsidR="00BA54BF" w:rsidRPr="00F853B7">
        <w:rPr>
          <w:rFonts w:ascii="Arial" w:hAnsi="Arial" w:cs="Arial"/>
          <w:sz w:val="24"/>
          <w:szCs w:val="24"/>
        </w:rPr>
        <w:t>informed</w:t>
      </w:r>
      <w:r w:rsidR="00533740">
        <w:rPr>
          <w:rFonts w:ascii="Arial" w:hAnsi="Arial" w:cs="Arial"/>
          <w:sz w:val="24"/>
          <w:szCs w:val="24"/>
        </w:rPr>
        <w:t xml:space="preserve"> and consulted</w:t>
      </w:r>
      <w:r w:rsidR="00BA54BF" w:rsidRPr="00F853B7">
        <w:rPr>
          <w:rFonts w:ascii="Arial" w:hAnsi="Arial" w:cs="Arial"/>
          <w:sz w:val="24"/>
          <w:szCs w:val="24"/>
        </w:rPr>
        <w:t>, and through regular monitoring of the funding position</w:t>
      </w:r>
      <w:r w:rsidR="00533740">
        <w:rPr>
          <w:rFonts w:ascii="Arial" w:hAnsi="Arial" w:cs="Arial"/>
          <w:sz w:val="24"/>
          <w:szCs w:val="24"/>
        </w:rPr>
        <w:t xml:space="preserve"> and the outlook for employers' contributions</w:t>
      </w:r>
      <w:r w:rsidR="00BA54BF" w:rsidRPr="00F853B7">
        <w:rPr>
          <w:rFonts w:ascii="Arial" w:hAnsi="Arial" w:cs="Arial"/>
          <w:sz w:val="24"/>
          <w:szCs w:val="24"/>
        </w:rPr>
        <w:t>.</w:t>
      </w:r>
    </w:p>
    <w:p w:rsidR="00BA54BF" w:rsidRPr="00F853B7" w:rsidRDefault="00BA54BF" w:rsidP="00F853B7">
      <w:pPr>
        <w:jc w:val="both"/>
        <w:rPr>
          <w:rFonts w:ascii="Arial" w:hAnsi="Arial" w:cs="Arial"/>
          <w:sz w:val="24"/>
          <w:szCs w:val="24"/>
        </w:rPr>
      </w:pPr>
    </w:p>
    <w:p w:rsidR="00BA54BF" w:rsidRPr="00F853B7" w:rsidRDefault="008F2744" w:rsidP="00F853B7">
      <w:pPr>
        <w:tabs>
          <w:tab w:val="left" w:pos="426"/>
        </w:tabs>
        <w:jc w:val="both"/>
        <w:rPr>
          <w:rFonts w:ascii="Arial" w:hAnsi="Arial" w:cs="Arial"/>
          <w:sz w:val="24"/>
          <w:szCs w:val="24"/>
        </w:rPr>
      </w:pPr>
      <w:r>
        <w:rPr>
          <w:rFonts w:ascii="Arial" w:hAnsi="Arial" w:cs="Arial"/>
          <w:sz w:val="24"/>
          <w:szCs w:val="24"/>
        </w:rPr>
        <w:t>e</w:t>
      </w:r>
      <w:r w:rsidR="00F853B7">
        <w:rPr>
          <w:rFonts w:ascii="Arial" w:hAnsi="Arial" w:cs="Arial"/>
          <w:sz w:val="24"/>
          <w:szCs w:val="24"/>
        </w:rPr>
        <w:t>)</w:t>
      </w:r>
      <w:r w:rsidR="00F853B7">
        <w:rPr>
          <w:rFonts w:ascii="Arial" w:hAnsi="Arial" w:cs="Arial"/>
          <w:sz w:val="24"/>
          <w:szCs w:val="24"/>
        </w:rPr>
        <w:tab/>
      </w:r>
      <w:r w:rsidR="00BA54BF" w:rsidRPr="00F853B7">
        <w:rPr>
          <w:rFonts w:ascii="Arial" w:hAnsi="Arial" w:cs="Arial"/>
          <w:sz w:val="24"/>
          <w:szCs w:val="24"/>
          <w:u w:val="single"/>
        </w:rPr>
        <w:t xml:space="preserve">To maximise the </w:t>
      </w:r>
      <w:r w:rsidR="002B008C">
        <w:rPr>
          <w:rFonts w:ascii="Arial" w:hAnsi="Arial" w:cs="Arial"/>
          <w:sz w:val="24"/>
          <w:szCs w:val="24"/>
          <w:u w:val="single"/>
        </w:rPr>
        <w:t>returns</w:t>
      </w:r>
      <w:r w:rsidR="00BA54BF" w:rsidRPr="00F853B7">
        <w:rPr>
          <w:rFonts w:ascii="Arial" w:hAnsi="Arial" w:cs="Arial"/>
          <w:sz w:val="24"/>
          <w:szCs w:val="24"/>
          <w:u w:val="single"/>
        </w:rPr>
        <w:t xml:space="preserve"> from investments wi</w:t>
      </w:r>
      <w:r w:rsidR="00932054" w:rsidRPr="00F853B7">
        <w:rPr>
          <w:rFonts w:ascii="Arial" w:hAnsi="Arial" w:cs="Arial"/>
          <w:sz w:val="24"/>
          <w:szCs w:val="24"/>
          <w:u w:val="single"/>
        </w:rPr>
        <w:t>thin reasonable risk parameters</w:t>
      </w:r>
    </w:p>
    <w:p w:rsidR="00BA54BF" w:rsidRPr="00F853B7" w:rsidRDefault="00BA54BF" w:rsidP="00F853B7">
      <w:pPr>
        <w:jc w:val="both"/>
        <w:rPr>
          <w:rFonts w:ascii="Arial" w:hAnsi="Arial" w:cs="Arial"/>
          <w:sz w:val="24"/>
          <w:szCs w:val="24"/>
        </w:rPr>
      </w:pPr>
    </w:p>
    <w:p w:rsidR="00BA54BF" w:rsidRPr="00F853B7" w:rsidRDefault="00B46592" w:rsidP="00F853B7">
      <w:pPr>
        <w:ind w:left="426"/>
        <w:jc w:val="both"/>
        <w:rPr>
          <w:rFonts w:ascii="Arial" w:hAnsi="Arial" w:cs="Arial"/>
          <w:sz w:val="24"/>
          <w:szCs w:val="24"/>
        </w:rPr>
      </w:pP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recognises the desirability of maximising investment income within reasonable risk parameters. </w:t>
      </w:r>
      <w:r w:rsidR="00877A4E">
        <w:rPr>
          <w:rFonts w:ascii="Arial" w:hAnsi="Arial" w:cs="Arial"/>
          <w:sz w:val="24"/>
          <w:szCs w:val="24"/>
        </w:rPr>
        <w:t xml:space="preserve"> </w:t>
      </w:r>
      <w:r w:rsidR="00BA54BF" w:rsidRPr="00F853B7">
        <w:rPr>
          <w:rFonts w:ascii="Arial" w:hAnsi="Arial" w:cs="Arial"/>
          <w:sz w:val="24"/>
          <w:szCs w:val="24"/>
        </w:rPr>
        <w:t>Investment returns higher than thos</w:t>
      </w:r>
      <w:r w:rsidR="00932054" w:rsidRPr="00F853B7">
        <w:rPr>
          <w:rFonts w:ascii="Arial" w:hAnsi="Arial" w:cs="Arial"/>
          <w:sz w:val="24"/>
          <w:szCs w:val="24"/>
        </w:rPr>
        <w:t>e available on government bonds</w:t>
      </w:r>
      <w:r w:rsidR="00BA54BF" w:rsidRPr="00F853B7">
        <w:rPr>
          <w:rFonts w:ascii="Arial" w:hAnsi="Arial" w:cs="Arial"/>
          <w:sz w:val="24"/>
          <w:szCs w:val="24"/>
        </w:rPr>
        <w:t xml:space="preserve"> are sought through investment in other asset classes</w:t>
      </w:r>
      <w:r w:rsidR="00B143AD">
        <w:rPr>
          <w:rFonts w:ascii="Arial" w:hAnsi="Arial" w:cs="Arial"/>
          <w:sz w:val="24"/>
          <w:szCs w:val="24"/>
        </w:rPr>
        <w:t>,</w:t>
      </w:r>
      <w:r w:rsidR="00BA54BF" w:rsidRPr="00F853B7">
        <w:rPr>
          <w:rFonts w:ascii="Arial" w:hAnsi="Arial" w:cs="Arial"/>
          <w:sz w:val="24"/>
          <w:szCs w:val="24"/>
        </w:rPr>
        <w:t xml:space="preserve"> such as stocks and property. </w:t>
      </w:r>
      <w:r w:rsidR="00877A4E">
        <w:rPr>
          <w:rFonts w:ascii="Arial" w:hAnsi="Arial" w:cs="Arial"/>
          <w:sz w:val="24"/>
          <w:szCs w:val="24"/>
        </w:rPr>
        <w:t xml:space="preserve"> </w:t>
      </w:r>
      <w:r w:rsidR="00BA54BF"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ensures that risk parameters are reasonable by:</w:t>
      </w:r>
    </w:p>
    <w:p w:rsidR="00BA54BF" w:rsidRDefault="00BA54BF" w:rsidP="00F853B7">
      <w:pPr>
        <w:jc w:val="both"/>
        <w:rPr>
          <w:rFonts w:ascii="Arial" w:hAnsi="Arial" w:cs="Arial"/>
          <w:sz w:val="24"/>
          <w:szCs w:val="24"/>
        </w:rPr>
      </w:pP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 xml:space="preserve">restricting investment to the levels permitted by the Investment Regulations; </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 xml:space="preserve">restricting investment to asset classes generally recognised as appropriate for </w:t>
      </w:r>
      <w:smartTag w:uri="urn:schemas-microsoft-com:office:smarttags" w:element="country-region">
        <w:smartTag w:uri="urn:schemas-microsoft-com:office:smarttags" w:element="place">
          <w:r w:rsidRPr="00877A4E">
            <w:rPr>
              <w:rFonts w:ascii="Arial" w:hAnsi="Arial" w:cs="Arial"/>
              <w:sz w:val="24"/>
              <w:szCs w:val="24"/>
            </w:rPr>
            <w:t>UK</w:t>
          </w:r>
        </w:smartTag>
      </w:smartTag>
      <w:r w:rsidRPr="00877A4E">
        <w:rPr>
          <w:rFonts w:ascii="Arial" w:hAnsi="Arial" w:cs="Arial"/>
          <w:sz w:val="24"/>
          <w:szCs w:val="24"/>
        </w:rPr>
        <w:t xml:space="preserve"> pension funds; </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analysing the volatility and absolute return risks represented by those asset classes in collaboration with the Fund’s actuary, investment advisers and fund managers and ensuring that they remain consistent with the risk and return profiles anticipated in the funding strategy;</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 xml:space="preserve">limiting concentration of risk by developing a </w:t>
      </w:r>
      <w:r>
        <w:rPr>
          <w:rFonts w:ascii="Arial" w:hAnsi="Arial" w:cs="Arial"/>
          <w:sz w:val="24"/>
          <w:szCs w:val="24"/>
        </w:rPr>
        <w:t>diversified investment strategy;</w:t>
      </w:r>
      <w:r w:rsidRPr="00877A4E">
        <w:rPr>
          <w:rFonts w:ascii="Arial" w:hAnsi="Arial" w:cs="Arial"/>
          <w:sz w:val="24"/>
          <w:szCs w:val="24"/>
        </w:rPr>
        <w:t xml:space="preserve"> and </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m</w:t>
      </w:r>
      <w:r>
        <w:rPr>
          <w:rFonts w:ascii="Arial" w:hAnsi="Arial" w:cs="Arial"/>
          <w:sz w:val="24"/>
          <w:szCs w:val="24"/>
        </w:rPr>
        <w:t xml:space="preserve">onitoring the </w:t>
      </w:r>
      <w:proofErr w:type="spellStart"/>
      <w:r>
        <w:rPr>
          <w:rFonts w:ascii="Arial" w:hAnsi="Arial" w:cs="Arial"/>
          <w:sz w:val="24"/>
          <w:szCs w:val="24"/>
        </w:rPr>
        <w:t>mis</w:t>
      </w:r>
      <w:proofErr w:type="spellEnd"/>
      <w:r>
        <w:rPr>
          <w:rFonts w:ascii="Arial" w:hAnsi="Arial" w:cs="Arial"/>
          <w:sz w:val="24"/>
          <w:szCs w:val="24"/>
        </w:rPr>
        <w:t>-matching risk, i.e. the risk</w:t>
      </w:r>
      <w:r w:rsidRPr="00877A4E">
        <w:rPr>
          <w:rFonts w:ascii="Arial" w:hAnsi="Arial" w:cs="Arial"/>
          <w:sz w:val="24"/>
          <w:szCs w:val="24"/>
        </w:rPr>
        <w:t xml:space="preserve"> that the investments do not move in line with the Fund's liabilities.</w:t>
      </w:r>
    </w:p>
    <w:p w:rsidR="00877A4E" w:rsidRDefault="00877A4E" w:rsidP="00F853B7">
      <w:pPr>
        <w:jc w:val="both"/>
        <w:rPr>
          <w:rFonts w:ascii="Arial" w:hAnsi="Arial" w:cs="Arial"/>
          <w:sz w:val="24"/>
          <w:szCs w:val="24"/>
        </w:rPr>
      </w:pPr>
    </w:p>
    <w:p w:rsidR="00C4424A" w:rsidRPr="00A24997" w:rsidRDefault="00BA54BF" w:rsidP="00C4424A">
      <w:pPr>
        <w:tabs>
          <w:tab w:val="right" w:pos="9270"/>
        </w:tabs>
        <w:jc w:val="right"/>
        <w:rPr>
          <w:rFonts w:ascii="Arial" w:hAnsi="Arial" w:cs="Arial"/>
          <w:b/>
          <w:sz w:val="24"/>
          <w:szCs w:val="24"/>
          <w:u w:val="single"/>
        </w:rPr>
      </w:pPr>
      <w:r w:rsidRPr="00A24997">
        <w:rPr>
          <w:rFonts w:ascii="Arial" w:hAnsi="Arial" w:cs="Arial"/>
          <w:sz w:val="24"/>
          <w:szCs w:val="24"/>
        </w:rPr>
        <w:br w:type="page"/>
      </w:r>
    </w:p>
    <w:p w:rsidR="00BA54BF" w:rsidRPr="00681B91" w:rsidRDefault="00256434" w:rsidP="001638F8">
      <w:pPr>
        <w:jc w:val="both"/>
        <w:outlineLvl w:val="0"/>
        <w:rPr>
          <w:rFonts w:ascii="Arial" w:hAnsi="Arial" w:cs="Arial"/>
          <w:b/>
          <w:sz w:val="24"/>
          <w:szCs w:val="24"/>
          <w:u w:val="single"/>
        </w:rPr>
      </w:pPr>
      <w:r w:rsidRPr="00681B91">
        <w:rPr>
          <w:rFonts w:ascii="Arial" w:hAnsi="Arial" w:cs="Arial"/>
          <w:b/>
          <w:sz w:val="24"/>
          <w:szCs w:val="24"/>
          <w:u w:val="single"/>
        </w:rPr>
        <w:lastRenderedPageBreak/>
        <w:t>3. RESPONSIBILITIES OF THE KEY PARTIES</w:t>
      </w:r>
    </w:p>
    <w:p w:rsidR="00BA54BF" w:rsidRPr="00A24997" w:rsidRDefault="00BA54BF">
      <w:pPr>
        <w:jc w:val="both"/>
        <w:rPr>
          <w:rFonts w:ascii="Arial" w:hAnsi="Arial" w:cs="Arial"/>
          <w:sz w:val="24"/>
          <w:szCs w:val="24"/>
        </w:rPr>
      </w:pPr>
    </w:p>
    <w:p w:rsidR="00BA54BF" w:rsidRPr="00A24997" w:rsidRDefault="00BA54BF" w:rsidP="005001C2">
      <w:pPr>
        <w:pStyle w:val="Normalplus"/>
        <w:spacing w:after="0"/>
        <w:jc w:val="both"/>
        <w:rPr>
          <w:rFonts w:ascii="Arial" w:hAnsi="Arial" w:cs="Arial"/>
          <w:sz w:val="24"/>
          <w:szCs w:val="24"/>
        </w:rPr>
      </w:pPr>
      <w:r w:rsidRPr="00A24997">
        <w:rPr>
          <w:rFonts w:ascii="Arial" w:hAnsi="Arial" w:cs="Arial"/>
          <w:sz w:val="24"/>
          <w:szCs w:val="24"/>
        </w:rPr>
        <w:t>The three parties whose responsibilities to the Fund are o</w:t>
      </w:r>
      <w:r w:rsidR="0043499B" w:rsidRPr="00A24997">
        <w:rPr>
          <w:rFonts w:ascii="Arial" w:hAnsi="Arial" w:cs="Arial"/>
          <w:sz w:val="24"/>
          <w:szCs w:val="24"/>
        </w:rPr>
        <w:t xml:space="preserve">f particular relevance are the </w:t>
      </w:r>
      <w:r w:rsidR="009B2027">
        <w:rPr>
          <w:rFonts w:ascii="Arial" w:hAnsi="Arial" w:cs="Arial"/>
          <w:sz w:val="24"/>
          <w:szCs w:val="24"/>
        </w:rPr>
        <w:t>administering authority</w:t>
      </w:r>
      <w:r w:rsidR="0043499B" w:rsidRPr="00A24997">
        <w:rPr>
          <w:rFonts w:ascii="Arial" w:hAnsi="Arial" w:cs="Arial"/>
          <w:sz w:val="24"/>
          <w:szCs w:val="24"/>
        </w:rPr>
        <w:t>, the i</w:t>
      </w:r>
      <w:r w:rsidRPr="00A24997">
        <w:rPr>
          <w:rFonts w:ascii="Arial" w:hAnsi="Arial" w:cs="Arial"/>
          <w:sz w:val="24"/>
          <w:szCs w:val="24"/>
        </w:rPr>
        <w:t>nd</w:t>
      </w:r>
      <w:r w:rsidR="0043499B" w:rsidRPr="00A24997">
        <w:rPr>
          <w:rFonts w:ascii="Arial" w:hAnsi="Arial" w:cs="Arial"/>
          <w:sz w:val="24"/>
          <w:szCs w:val="24"/>
        </w:rPr>
        <w:t xml:space="preserve">ividual employers and the Fund </w:t>
      </w:r>
      <w:r w:rsidR="00492D61">
        <w:rPr>
          <w:rFonts w:ascii="Arial" w:hAnsi="Arial" w:cs="Arial"/>
          <w:sz w:val="24"/>
          <w:szCs w:val="24"/>
        </w:rPr>
        <w:t>A</w:t>
      </w:r>
      <w:r w:rsidRPr="00A24997">
        <w:rPr>
          <w:rFonts w:ascii="Arial" w:hAnsi="Arial" w:cs="Arial"/>
          <w:sz w:val="24"/>
          <w:szCs w:val="24"/>
        </w:rPr>
        <w:t xml:space="preserve">ctuary. </w:t>
      </w:r>
    </w:p>
    <w:p w:rsidR="00BA54BF" w:rsidRPr="00A24997" w:rsidRDefault="00BA54BF">
      <w:pPr>
        <w:rPr>
          <w:rFonts w:ascii="Arial" w:hAnsi="Arial" w:cs="Arial"/>
          <w:sz w:val="24"/>
          <w:szCs w:val="24"/>
        </w:rPr>
      </w:pPr>
    </w:p>
    <w:p w:rsidR="00BA54BF" w:rsidRPr="00A24997" w:rsidRDefault="00BA54BF">
      <w:pPr>
        <w:rPr>
          <w:rFonts w:ascii="Arial" w:hAnsi="Arial" w:cs="Arial"/>
          <w:sz w:val="24"/>
          <w:szCs w:val="24"/>
        </w:rPr>
      </w:pPr>
      <w:r w:rsidRPr="00A24997">
        <w:rPr>
          <w:rFonts w:ascii="Arial" w:hAnsi="Arial" w:cs="Arial"/>
          <w:sz w:val="24"/>
          <w:szCs w:val="24"/>
        </w:rPr>
        <w:t>Their key responsibilities are as follows:</w:t>
      </w:r>
    </w:p>
    <w:p w:rsidR="00BA54BF" w:rsidRPr="00A24997" w:rsidRDefault="00BA54BF">
      <w:pPr>
        <w:rPr>
          <w:rFonts w:ascii="Arial" w:hAnsi="Arial" w:cs="Arial"/>
          <w:sz w:val="24"/>
          <w:szCs w:val="24"/>
        </w:rPr>
      </w:pPr>
    </w:p>
    <w:p w:rsidR="00BA54BF" w:rsidRPr="00F853B7" w:rsidRDefault="00932054" w:rsidP="00F853B7">
      <w:pPr>
        <w:jc w:val="both"/>
        <w:rPr>
          <w:rFonts w:ascii="Arial" w:hAnsi="Arial" w:cs="Arial"/>
          <w:sz w:val="24"/>
          <w:szCs w:val="24"/>
        </w:rPr>
      </w:pPr>
      <w:r w:rsidRPr="00121B2F">
        <w:rPr>
          <w:rFonts w:ascii="Arial" w:hAnsi="Arial" w:cs="Arial"/>
          <w:sz w:val="24"/>
          <w:szCs w:val="24"/>
        </w:rPr>
        <w:t>The</w:t>
      </w:r>
      <w:r w:rsidRPr="00F853B7">
        <w:rPr>
          <w:rFonts w:ascii="Arial" w:hAnsi="Arial" w:cs="Arial"/>
          <w:b/>
          <w:sz w:val="24"/>
          <w:szCs w:val="24"/>
        </w:rPr>
        <w:t xml:space="preserve"> </w:t>
      </w:r>
      <w:r w:rsidR="009B2027">
        <w:rPr>
          <w:rFonts w:ascii="Arial" w:hAnsi="Arial" w:cs="Arial"/>
          <w:b/>
          <w:sz w:val="24"/>
          <w:szCs w:val="24"/>
        </w:rPr>
        <w:t>administering authority</w:t>
      </w:r>
      <w:r w:rsidRPr="00F853B7">
        <w:rPr>
          <w:rFonts w:ascii="Arial" w:hAnsi="Arial" w:cs="Arial"/>
          <w:sz w:val="24"/>
          <w:szCs w:val="24"/>
        </w:rPr>
        <w:t xml:space="preserve"> will</w:t>
      </w:r>
      <w:r w:rsidR="007E1655" w:rsidRPr="00F853B7">
        <w:rPr>
          <w:rFonts w:ascii="Arial" w:hAnsi="Arial" w:cs="Arial"/>
          <w:sz w:val="24"/>
          <w:szCs w:val="24"/>
        </w:rPr>
        <w:t>:</w:t>
      </w:r>
    </w:p>
    <w:p w:rsidR="00BA54BF" w:rsidRPr="00A24997" w:rsidRDefault="00BA54BF">
      <w:pPr>
        <w:rPr>
          <w:rFonts w:ascii="Arial" w:hAnsi="Arial" w:cs="Arial"/>
          <w:sz w:val="24"/>
          <w:szCs w:val="24"/>
        </w:rPr>
      </w:pPr>
    </w:p>
    <w:p w:rsidR="001802A9" w:rsidRDefault="00F853B7" w:rsidP="00F853B7">
      <w:pPr>
        <w:tabs>
          <w:tab w:val="left" w:pos="426"/>
        </w:tabs>
        <w:ind w:left="36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802A9" w:rsidRPr="001802A9">
        <w:rPr>
          <w:rFonts w:ascii="Arial" w:hAnsi="Arial" w:cs="Arial"/>
          <w:sz w:val="24"/>
          <w:szCs w:val="24"/>
          <w:u w:val="single"/>
        </w:rPr>
        <w:t>Administer the Fund</w:t>
      </w:r>
    </w:p>
    <w:p w:rsidR="001802A9" w:rsidRDefault="001802A9" w:rsidP="00F853B7">
      <w:pPr>
        <w:tabs>
          <w:tab w:val="left" w:pos="426"/>
        </w:tabs>
        <w:ind w:left="360" w:hanging="360"/>
        <w:jc w:val="both"/>
        <w:rPr>
          <w:rFonts w:ascii="Arial" w:hAnsi="Arial" w:cs="Arial"/>
          <w:sz w:val="24"/>
          <w:szCs w:val="24"/>
          <w:u w:val="single"/>
        </w:rPr>
      </w:pPr>
    </w:p>
    <w:p w:rsidR="00BA54BF" w:rsidRPr="00F853B7" w:rsidRDefault="001802A9" w:rsidP="00F853B7">
      <w:pPr>
        <w:tabs>
          <w:tab w:val="left" w:pos="426"/>
        </w:tabs>
        <w:ind w:left="360" w:hanging="360"/>
        <w:jc w:val="both"/>
        <w:rPr>
          <w:rFonts w:ascii="Arial" w:hAnsi="Arial" w:cs="Arial"/>
          <w:sz w:val="24"/>
          <w:szCs w:val="24"/>
          <w:u w:val="single"/>
        </w:rPr>
      </w:pPr>
      <w:r w:rsidRPr="00447171">
        <w:rPr>
          <w:rFonts w:ascii="Arial" w:hAnsi="Arial" w:cs="Arial"/>
          <w:sz w:val="24"/>
          <w:szCs w:val="24"/>
        </w:rPr>
        <w:t>b)</w:t>
      </w:r>
      <w:r w:rsidRPr="00447171">
        <w:rPr>
          <w:rFonts w:ascii="Arial" w:hAnsi="Arial" w:cs="Arial"/>
          <w:sz w:val="24"/>
          <w:szCs w:val="24"/>
        </w:rPr>
        <w:tab/>
      </w:r>
      <w:r w:rsidR="00932054" w:rsidRPr="00F853B7">
        <w:rPr>
          <w:rFonts w:ascii="Arial" w:hAnsi="Arial" w:cs="Arial"/>
          <w:sz w:val="24"/>
          <w:szCs w:val="24"/>
          <w:u w:val="single"/>
        </w:rPr>
        <w:t>Collect</w:t>
      </w:r>
      <w:r w:rsidR="00BA54BF" w:rsidRPr="00F853B7">
        <w:rPr>
          <w:rFonts w:ascii="Arial" w:hAnsi="Arial" w:cs="Arial"/>
          <w:sz w:val="24"/>
          <w:szCs w:val="24"/>
          <w:u w:val="single"/>
        </w:rPr>
        <w:t xml:space="preserve"> </w:t>
      </w:r>
      <w:r>
        <w:rPr>
          <w:rFonts w:ascii="Arial" w:hAnsi="Arial" w:cs="Arial"/>
          <w:sz w:val="24"/>
          <w:szCs w:val="24"/>
          <w:u w:val="single"/>
        </w:rPr>
        <w:t>investment income and other amounts due to the Fund as set out in the Regulations</w:t>
      </w:r>
      <w:r w:rsidR="00447171">
        <w:rPr>
          <w:rFonts w:ascii="Arial" w:hAnsi="Arial" w:cs="Arial"/>
          <w:sz w:val="24"/>
          <w:szCs w:val="24"/>
          <w:u w:val="single"/>
        </w:rPr>
        <w:t xml:space="preserve"> including</w:t>
      </w:r>
      <w:r>
        <w:rPr>
          <w:rFonts w:ascii="Arial" w:hAnsi="Arial" w:cs="Arial"/>
          <w:sz w:val="24"/>
          <w:szCs w:val="24"/>
          <w:u w:val="single"/>
        </w:rPr>
        <w:t xml:space="preserve"> </w:t>
      </w:r>
      <w:r w:rsidR="00BA54BF" w:rsidRPr="00F853B7">
        <w:rPr>
          <w:rFonts w:ascii="Arial" w:hAnsi="Arial" w:cs="Arial"/>
          <w:sz w:val="24"/>
          <w:szCs w:val="24"/>
          <w:u w:val="single"/>
        </w:rPr>
        <w:t>employer and employee co</w:t>
      </w:r>
      <w:r w:rsidR="0043499B" w:rsidRPr="00F853B7">
        <w:rPr>
          <w:rFonts w:ascii="Arial" w:hAnsi="Arial" w:cs="Arial"/>
          <w:sz w:val="24"/>
          <w:szCs w:val="24"/>
          <w:u w:val="single"/>
        </w:rPr>
        <w:t xml:space="preserve">ntributions and, as far as </w:t>
      </w:r>
      <w:r w:rsidR="00932054" w:rsidRPr="00F853B7">
        <w:rPr>
          <w:rFonts w:ascii="Arial" w:hAnsi="Arial" w:cs="Arial"/>
          <w:sz w:val="24"/>
          <w:szCs w:val="24"/>
          <w:u w:val="single"/>
        </w:rPr>
        <w:t>it is able,</w:t>
      </w:r>
      <w:r w:rsidR="00BA54BF" w:rsidRPr="00F853B7">
        <w:rPr>
          <w:rFonts w:ascii="Arial" w:hAnsi="Arial" w:cs="Arial"/>
          <w:sz w:val="24"/>
          <w:szCs w:val="24"/>
          <w:u w:val="single"/>
        </w:rPr>
        <w:t xml:space="preserve"> ensure these contributions are paid by the due date</w:t>
      </w:r>
    </w:p>
    <w:p w:rsidR="00BA54BF" w:rsidRPr="00A24997" w:rsidRDefault="00BA54BF">
      <w:pPr>
        <w:rPr>
          <w:rFonts w:ascii="Arial" w:hAnsi="Arial" w:cs="Arial"/>
          <w:sz w:val="24"/>
          <w:szCs w:val="24"/>
        </w:rPr>
      </w:pPr>
    </w:p>
    <w:p w:rsidR="00BA54BF" w:rsidRPr="00F853B7" w:rsidRDefault="00BA54BF" w:rsidP="009B70F9">
      <w:pPr>
        <w:ind w:left="360"/>
        <w:jc w:val="both"/>
        <w:rPr>
          <w:rFonts w:ascii="Arial" w:hAnsi="Arial" w:cs="Arial"/>
          <w:sz w:val="24"/>
          <w:szCs w:val="24"/>
        </w:rPr>
      </w:pPr>
      <w:r w:rsidRPr="00F853B7">
        <w:rPr>
          <w:rFonts w:ascii="Arial" w:hAnsi="Arial" w:cs="Arial"/>
          <w:sz w:val="24"/>
          <w:szCs w:val="24"/>
        </w:rPr>
        <w:t xml:space="preserve">Individual employers must pay contributions </w:t>
      </w:r>
      <w:r w:rsidR="000F4DE4" w:rsidRPr="00F853B7">
        <w:rPr>
          <w:rFonts w:ascii="Arial" w:hAnsi="Arial" w:cs="Arial"/>
          <w:sz w:val="24"/>
          <w:szCs w:val="24"/>
        </w:rPr>
        <w:t xml:space="preserve">in accordance with Regulations </w:t>
      </w:r>
      <w:r w:rsidR="00177431">
        <w:rPr>
          <w:rFonts w:ascii="Arial" w:hAnsi="Arial" w:cs="Arial"/>
          <w:sz w:val="24"/>
          <w:szCs w:val="24"/>
        </w:rPr>
        <w:t>67</w:t>
      </w:r>
      <w:r w:rsidR="001638F8">
        <w:rPr>
          <w:rFonts w:ascii="Arial" w:hAnsi="Arial" w:cs="Arial"/>
          <w:sz w:val="24"/>
          <w:szCs w:val="24"/>
        </w:rPr>
        <w:t xml:space="preserve"> to </w:t>
      </w:r>
      <w:r w:rsidR="00177431">
        <w:rPr>
          <w:rFonts w:ascii="Arial" w:hAnsi="Arial" w:cs="Arial"/>
          <w:sz w:val="24"/>
          <w:szCs w:val="24"/>
        </w:rPr>
        <w:t>70 of the 2013 Regulations</w:t>
      </w:r>
      <w:r w:rsidR="0043499B" w:rsidRPr="00F853B7">
        <w:rPr>
          <w:rFonts w:ascii="Arial" w:hAnsi="Arial" w:cs="Arial"/>
          <w:sz w:val="24"/>
          <w:szCs w:val="24"/>
        </w:rPr>
        <w:t xml:space="preserve">. </w:t>
      </w:r>
      <w:r w:rsidR="00877A4E">
        <w:rPr>
          <w:rFonts w:ascii="Arial" w:hAnsi="Arial" w:cs="Arial"/>
          <w:sz w:val="24"/>
          <w:szCs w:val="24"/>
        </w:rPr>
        <w:t xml:space="preserve"> </w:t>
      </w:r>
      <w:r w:rsidR="0043499B" w:rsidRPr="00F853B7">
        <w:rPr>
          <w:rFonts w:ascii="Arial" w:hAnsi="Arial" w:cs="Arial"/>
          <w:sz w:val="24"/>
          <w:szCs w:val="24"/>
        </w:rPr>
        <w:t xml:space="preserve">The </w:t>
      </w:r>
      <w:r w:rsidR="009B2027">
        <w:rPr>
          <w:rFonts w:ascii="Arial" w:hAnsi="Arial" w:cs="Arial"/>
          <w:sz w:val="24"/>
          <w:szCs w:val="24"/>
        </w:rPr>
        <w:t>administering authority</w:t>
      </w:r>
      <w:r w:rsidRPr="00F853B7">
        <w:rPr>
          <w:rFonts w:ascii="Arial" w:hAnsi="Arial" w:cs="Arial"/>
          <w:sz w:val="24"/>
          <w:szCs w:val="24"/>
        </w:rPr>
        <w:t xml:space="preserve"> will ensure that all employers are aware of these requirements especially the requirement of the Pensions Act 1995 that members’ contributions are paid by the 19th of the month following the month that </w:t>
      </w:r>
      <w:r w:rsidR="0043499B" w:rsidRPr="00F853B7">
        <w:rPr>
          <w:rFonts w:ascii="Arial" w:hAnsi="Arial" w:cs="Arial"/>
          <w:sz w:val="24"/>
          <w:szCs w:val="24"/>
        </w:rPr>
        <w:t xml:space="preserve">it is paid by the member.  The </w:t>
      </w:r>
      <w:r w:rsidR="009B2027">
        <w:rPr>
          <w:rFonts w:ascii="Arial" w:hAnsi="Arial" w:cs="Arial"/>
          <w:sz w:val="24"/>
          <w:szCs w:val="24"/>
        </w:rPr>
        <w:t>administering authority</w:t>
      </w:r>
      <w:r w:rsidRPr="00F853B7">
        <w:rPr>
          <w:rFonts w:ascii="Arial" w:hAnsi="Arial" w:cs="Arial"/>
          <w:sz w:val="24"/>
          <w:szCs w:val="24"/>
        </w:rPr>
        <w:t xml:space="preserve"> may charge interest on late contributions </w:t>
      </w:r>
      <w:r w:rsidR="000F4DE4" w:rsidRPr="00F853B7">
        <w:rPr>
          <w:rFonts w:ascii="Arial" w:hAnsi="Arial" w:cs="Arial"/>
          <w:sz w:val="24"/>
          <w:szCs w:val="24"/>
        </w:rPr>
        <w:t xml:space="preserve">in accordance with </w:t>
      </w:r>
      <w:r w:rsidR="00373E14">
        <w:rPr>
          <w:rFonts w:ascii="Arial" w:hAnsi="Arial" w:cs="Arial"/>
          <w:sz w:val="24"/>
          <w:szCs w:val="24"/>
        </w:rPr>
        <w:t>Regulation 71 of the 2013 Regulations</w:t>
      </w:r>
      <w:r w:rsidRPr="00F853B7">
        <w:rPr>
          <w:rFonts w:ascii="Arial" w:hAnsi="Arial" w:cs="Arial"/>
          <w:sz w:val="24"/>
          <w:szCs w:val="24"/>
        </w:rPr>
        <w:t>.</w:t>
      </w:r>
    </w:p>
    <w:p w:rsidR="009B70F9" w:rsidRDefault="009B70F9" w:rsidP="00F853B7">
      <w:pPr>
        <w:jc w:val="both"/>
        <w:rPr>
          <w:rFonts w:ascii="Arial" w:hAnsi="Arial" w:cs="Arial"/>
          <w:sz w:val="24"/>
          <w:szCs w:val="24"/>
        </w:rPr>
      </w:pPr>
    </w:p>
    <w:p w:rsidR="00BA54BF" w:rsidRPr="00F853B7" w:rsidRDefault="000F4DE4" w:rsidP="009B70F9">
      <w:pPr>
        <w:ind w:left="360"/>
        <w:jc w:val="both"/>
        <w:rPr>
          <w:rFonts w:ascii="Arial" w:hAnsi="Arial" w:cs="Arial"/>
          <w:sz w:val="24"/>
          <w:szCs w:val="24"/>
        </w:rPr>
      </w:pPr>
      <w:r w:rsidRPr="00F853B7">
        <w:rPr>
          <w:rFonts w:ascii="Arial" w:hAnsi="Arial" w:cs="Arial"/>
          <w:sz w:val="24"/>
          <w:szCs w:val="24"/>
        </w:rPr>
        <w:t xml:space="preserve">The </w:t>
      </w:r>
      <w:r w:rsidR="009B2027">
        <w:rPr>
          <w:rFonts w:ascii="Arial" w:hAnsi="Arial" w:cs="Arial"/>
          <w:sz w:val="24"/>
          <w:szCs w:val="24"/>
        </w:rPr>
        <w:t>administering authority</w:t>
      </w:r>
      <w:r w:rsidR="00BA54BF" w:rsidRPr="00F853B7">
        <w:rPr>
          <w:rFonts w:ascii="Arial" w:hAnsi="Arial" w:cs="Arial"/>
          <w:sz w:val="24"/>
          <w:szCs w:val="24"/>
        </w:rPr>
        <w:t xml:space="preserve"> will ensure that action i</w:t>
      </w:r>
      <w:r w:rsidRPr="00F853B7">
        <w:rPr>
          <w:rFonts w:ascii="Arial" w:hAnsi="Arial" w:cs="Arial"/>
          <w:sz w:val="24"/>
          <w:szCs w:val="24"/>
        </w:rPr>
        <w:t xml:space="preserve">s taken to recover assets from </w:t>
      </w:r>
      <w:r w:rsidR="00447171">
        <w:rPr>
          <w:rFonts w:ascii="Arial" w:hAnsi="Arial" w:cs="Arial"/>
          <w:sz w:val="24"/>
          <w:szCs w:val="24"/>
        </w:rPr>
        <w:t>A</w:t>
      </w:r>
      <w:r w:rsidRPr="00F853B7">
        <w:rPr>
          <w:rFonts w:ascii="Arial" w:hAnsi="Arial" w:cs="Arial"/>
          <w:sz w:val="24"/>
          <w:szCs w:val="24"/>
        </w:rPr>
        <w:t xml:space="preserve">dmission </w:t>
      </w:r>
      <w:r w:rsidR="00447171">
        <w:rPr>
          <w:rFonts w:ascii="Arial" w:hAnsi="Arial" w:cs="Arial"/>
          <w:sz w:val="24"/>
          <w:szCs w:val="24"/>
        </w:rPr>
        <w:t>B</w:t>
      </w:r>
      <w:r w:rsidRPr="00F853B7">
        <w:rPr>
          <w:rFonts w:ascii="Arial" w:hAnsi="Arial" w:cs="Arial"/>
          <w:sz w:val="24"/>
          <w:szCs w:val="24"/>
        </w:rPr>
        <w:t>odies whose admission a</w:t>
      </w:r>
      <w:r w:rsidR="00BA54BF" w:rsidRPr="00F853B7">
        <w:rPr>
          <w:rFonts w:ascii="Arial" w:hAnsi="Arial" w:cs="Arial"/>
          <w:sz w:val="24"/>
          <w:szCs w:val="24"/>
        </w:rPr>
        <w:t xml:space="preserve">greement has ceased </w:t>
      </w:r>
      <w:r w:rsidR="00166A8F">
        <w:rPr>
          <w:rFonts w:ascii="Arial" w:hAnsi="Arial" w:cs="Arial"/>
          <w:sz w:val="24"/>
          <w:szCs w:val="24"/>
        </w:rPr>
        <w:t xml:space="preserve">(and from other employers whose participation in the Fund has ceased) </w:t>
      </w:r>
      <w:r w:rsidR="00BA54BF" w:rsidRPr="00F853B7">
        <w:rPr>
          <w:rFonts w:ascii="Arial" w:hAnsi="Arial" w:cs="Arial"/>
          <w:sz w:val="24"/>
          <w:szCs w:val="24"/>
        </w:rPr>
        <w:t>by</w:t>
      </w:r>
      <w:r w:rsidRPr="00F853B7">
        <w:rPr>
          <w:rFonts w:ascii="Arial" w:hAnsi="Arial" w:cs="Arial"/>
          <w:sz w:val="24"/>
          <w:szCs w:val="24"/>
        </w:rPr>
        <w:t>:</w:t>
      </w:r>
      <w:r w:rsidR="00BA54BF" w:rsidRPr="00F853B7">
        <w:rPr>
          <w:rFonts w:ascii="Arial" w:hAnsi="Arial" w:cs="Arial"/>
          <w:sz w:val="24"/>
          <w:szCs w:val="24"/>
        </w:rPr>
        <w:t xml:space="preserve"> </w:t>
      </w:r>
    </w:p>
    <w:p w:rsidR="00BA54BF" w:rsidRDefault="00BA54BF" w:rsidP="00F853B7">
      <w:pPr>
        <w:jc w:val="both"/>
        <w:rPr>
          <w:rFonts w:ascii="Arial" w:hAnsi="Arial" w:cs="Arial"/>
          <w:sz w:val="24"/>
          <w:szCs w:val="24"/>
        </w:rPr>
      </w:pP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 xml:space="preserve">requesting that the Fund Actuary calculates any deficiency at the date of the </w:t>
      </w:r>
      <w:r w:rsidR="00FF08B7">
        <w:rPr>
          <w:rFonts w:ascii="Arial" w:hAnsi="Arial" w:cs="Arial"/>
          <w:sz w:val="24"/>
          <w:szCs w:val="24"/>
        </w:rPr>
        <w:t>exit</w:t>
      </w:r>
      <w:r w:rsidRPr="00877A4E">
        <w:rPr>
          <w:rFonts w:ascii="Arial" w:hAnsi="Arial" w:cs="Arial"/>
          <w:sz w:val="24"/>
          <w:szCs w:val="24"/>
        </w:rPr>
        <w:t>; and</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 xml:space="preserve">notifying the body that it must meet any deficiency at </w:t>
      </w:r>
      <w:r w:rsidR="00FF08B7">
        <w:rPr>
          <w:rFonts w:ascii="Arial" w:hAnsi="Arial" w:cs="Arial"/>
          <w:sz w:val="24"/>
          <w:szCs w:val="24"/>
        </w:rPr>
        <w:t>exit</w:t>
      </w:r>
      <w:r w:rsidRPr="00877A4E">
        <w:rPr>
          <w:rFonts w:ascii="Arial" w:hAnsi="Arial" w:cs="Arial"/>
          <w:sz w:val="24"/>
          <w:szCs w:val="24"/>
        </w:rPr>
        <w:t>.</w:t>
      </w:r>
    </w:p>
    <w:p w:rsidR="00877A4E" w:rsidRDefault="00877A4E" w:rsidP="00877A4E">
      <w:pPr>
        <w:jc w:val="both"/>
        <w:rPr>
          <w:rFonts w:ascii="Arial" w:hAnsi="Arial" w:cs="Arial"/>
          <w:sz w:val="24"/>
          <w:szCs w:val="24"/>
        </w:rPr>
      </w:pPr>
    </w:p>
    <w:p w:rsidR="00877A4E" w:rsidRPr="00877A4E" w:rsidRDefault="00877A4E" w:rsidP="00121B2F">
      <w:pPr>
        <w:ind w:left="426" w:hanging="426"/>
        <w:jc w:val="both"/>
        <w:rPr>
          <w:rFonts w:ascii="Arial" w:hAnsi="Arial" w:cs="Arial"/>
          <w:sz w:val="24"/>
          <w:szCs w:val="24"/>
        </w:rPr>
      </w:pPr>
      <w:r w:rsidRPr="00877A4E">
        <w:rPr>
          <w:rFonts w:ascii="Arial" w:hAnsi="Arial" w:cs="Arial"/>
          <w:sz w:val="24"/>
          <w:szCs w:val="24"/>
        </w:rPr>
        <w:t>c)</w:t>
      </w:r>
      <w:r w:rsidRPr="00877A4E">
        <w:rPr>
          <w:rFonts w:ascii="Arial" w:hAnsi="Arial" w:cs="Arial"/>
          <w:sz w:val="24"/>
          <w:szCs w:val="24"/>
        </w:rPr>
        <w:tab/>
      </w:r>
      <w:r w:rsidRPr="00877A4E">
        <w:rPr>
          <w:rFonts w:ascii="Arial" w:hAnsi="Arial" w:cs="Arial"/>
          <w:sz w:val="24"/>
          <w:szCs w:val="24"/>
          <w:u w:val="single"/>
        </w:rPr>
        <w:t xml:space="preserve">Pay from the Fund the relevant entitlements as set out by </w:t>
      </w:r>
      <w:r w:rsidR="00373E14">
        <w:rPr>
          <w:rFonts w:ascii="Arial" w:hAnsi="Arial" w:cs="Arial"/>
          <w:sz w:val="24"/>
          <w:szCs w:val="24"/>
          <w:u w:val="single"/>
        </w:rPr>
        <w:t>Regulations 22</w:t>
      </w:r>
      <w:r w:rsidR="001638F8">
        <w:rPr>
          <w:rFonts w:ascii="Arial" w:hAnsi="Arial" w:cs="Arial"/>
          <w:sz w:val="24"/>
          <w:szCs w:val="24"/>
          <w:u w:val="single"/>
        </w:rPr>
        <w:t xml:space="preserve"> to </w:t>
      </w:r>
      <w:r w:rsidR="00373E14">
        <w:rPr>
          <w:rFonts w:ascii="Arial" w:hAnsi="Arial" w:cs="Arial"/>
          <w:sz w:val="24"/>
          <w:szCs w:val="24"/>
          <w:u w:val="single"/>
        </w:rPr>
        <w:t>52 of the 2013 Regulations</w:t>
      </w:r>
    </w:p>
    <w:p w:rsidR="00877A4E" w:rsidRPr="00877A4E" w:rsidRDefault="00877A4E" w:rsidP="00877A4E">
      <w:pPr>
        <w:jc w:val="both"/>
        <w:rPr>
          <w:rFonts w:ascii="Arial" w:hAnsi="Arial" w:cs="Arial"/>
          <w:sz w:val="24"/>
          <w:szCs w:val="24"/>
        </w:rPr>
      </w:pPr>
    </w:p>
    <w:p w:rsidR="00877A4E" w:rsidRPr="00877A4E" w:rsidRDefault="00877A4E" w:rsidP="00121B2F">
      <w:pPr>
        <w:tabs>
          <w:tab w:val="left" w:pos="426"/>
        </w:tabs>
        <w:jc w:val="both"/>
        <w:rPr>
          <w:rFonts w:ascii="Arial" w:hAnsi="Arial" w:cs="Arial"/>
          <w:sz w:val="24"/>
          <w:szCs w:val="24"/>
        </w:rPr>
      </w:pPr>
      <w:r w:rsidRPr="00877A4E">
        <w:rPr>
          <w:rFonts w:ascii="Arial" w:hAnsi="Arial" w:cs="Arial"/>
          <w:sz w:val="24"/>
          <w:szCs w:val="24"/>
        </w:rPr>
        <w:t>d)</w:t>
      </w:r>
      <w:r>
        <w:rPr>
          <w:rFonts w:ascii="Arial" w:hAnsi="Arial" w:cs="Arial"/>
          <w:sz w:val="24"/>
          <w:szCs w:val="24"/>
        </w:rPr>
        <w:tab/>
      </w:r>
      <w:r w:rsidRPr="00877A4E">
        <w:rPr>
          <w:rFonts w:ascii="Arial" w:hAnsi="Arial" w:cs="Arial"/>
          <w:sz w:val="24"/>
          <w:szCs w:val="24"/>
          <w:u w:val="single"/>
        </w:rPr>
        <w:t xml:space="preserve">Invest surplus monies in accordance with the </w:t>
      </w:r>
      <w:r w:rsidR="008B5646">
        <w:rPr>
          <w:rFonts w:ascii="Arial" w:hAnsi="Arial" w:cs="Arial"/>
          <w:sz w:val="24"/>
          <w:szCs w:val="24"/>
          <w:u w:val="single"/>
        </w:rPr>
        <w:t>R</w:t>
      </w:r>
      <w:r w:rsidRPr="00877A4E">
        <w:rPr>
          <w:rFonts w:ascii="Arial" w:hAnsi="Arial" w:cs="Arial"/>
          <w:sz w:val="24"/>
          <w:szCs w:val="24"/>
          <w:u w:val="single"/>
        </w:rPr>
        <w:t>egulations</w:t>
      </w:r>
    </w:p>
    <w:p w:rsidR="00877A4E" w:rsidRPr="00877A4E" w:rsidRDefault="00877A4E" w:rsidP="00877A4E">
      <w:pPr>
        <w:jc w:val="both"/>
        <w:rPr>
          <w:rFonts w:ascii="Arial" w:hAnsi="Arial" w:cs="Arial"/>
          <w:sz w:val="24"/>
          <w:szCs w:val="24"/>
        </w:rPr>
      </w:pPr>
    </w:p>
    <w:p w:rsidR="00877A4E" w:rsidRPr="00877A4E" w:rsidRDefault="00877A4E" w:rsidP="00121B2F">
      <w:pPr>
        <w:ind w:left="426"/>
        <w:jc w:val="both"/>
        <w:rPr>
          <w:rFonts w:ascii="Arial" w:hAnsi="Arial" w:cs="Arial"/>
          <w:sz w:val="24"/>
          <w:szCs w:val="24"/>
        </w:rPr>
      </w:pPr>
      <w:r w:rsidRPr="00877A4E">
        <w:rPr>
          <w:rFonts w:ascii="Arial" w:hAnsi="Arial" w:cs="Arial"/>
          <w:sz w:val="24"/>
          <w:szCs w:val="24"/>
        </w:rPr>
        <w:t xml:space="preserve">The </w:t>
      </w:r>
      <w:r w:rsidR="009B2027">
        <w:rPr>
          <w:rFonts w:ascii="Arial" w:hAnsi="Arial" w:cs="Arial"/>
          <w:sz w:val="24"/>
          <w:szCs w:val="24"/>
        </w:rPr>
        <w:t>administering authority</w:t>
      </w:r>
      <w:r w:rsidRPr="00877A4E">
        <w:rPr>
          <w:rFonts w:ascii="Arial" w:hAnsi="Arial" w:cs="Arial"/>
          <w:sz w:val="24"/>
          <w:szCs w:val="24"/>
        </w:rPr>
        <w:t xml:space="preserve"> will comply with Regulation </w:t>
      </w:r>
      <w:r w:rsidR="00284872">
        <w:rPr>
          <w:rFonts w:ascii="Arial" w:hAnsi="Arial" w:cs="Arial"/>
          <w:sz w:val="24"/>
          <w:szCs w:val="24"/>
        </w:rPr>
        <w:t>7</w:t>
      </w:r>
      <w:r w:rsidRPr="00877A4E">
        <w:rPr>
          <w:rFonts w:ascii="Arial" w:hAnsi="Arial" w:cs="Arial"/>
          <w:sz w:val="24"/>
          <w:szCs w:val="24"/>
        </w:rPr>
        <w:t xml:space="preserve"> of the Investment Regulations, which states that surplus fund money, not needed immediately, must be invested in a wide variety of suitable investments, after taking proper advice.</w:t>
      </w:r>
    </w:p>
    <w:p w:rsidR="00877A4E" w:rsidRPr="00877A4E" w:rsidRDefault="00877A4E" w:rsidP="00877A4E">
      <w:pPr>
        <w:jc w:val="both"/>
        <w:rPr>
          <w:rFonts w:ascii="Arial" w:hAnsi="Arial" w:cs="Arial"/>
          <w:sz w:val="24"/>
          <w:szCs w:val="24"/>
        </w:rPr>
      </w:pPr>
    </w:p>
    <w:p w:rsidR="00877A4E" w:rsidRPr="00877A4E" w:rsidRDefault="00877A4E" w:rsidP="00877A4E">
      <w:pPr>
        <w:tabs>
          <w:tab w:val="left" w:pos="426"/>
        </w:tabs>
        <w:jc w:val="both"/>
        <w:rPr>
          <w:rFonts w:ascii="Arial" w:hAnsi="Arial" w:cs="Arial"/>
          <w:sz w:val="24"/>
          <w:szCs w:val="24"/>
        </w:rPr>
      </w:pPr>
      <w:r w:rsidRPr="00877A4E">
        <w:rPr>
          <w:rFonts w:ascii="Arial" w:hAnsi="Arial" w:cs="Arial"/>
          <w:sz w:val="24"/>
          <w:szCs w:val="24"/>
        </w:rPr>
        <w:t>e)</w:t>
      </w:r>
      <w:r w:rsidRPr="00877A4E">
        <w:rPr>
          <w:rFonts w:ascii="Arial" w:hAnsi="Arial" w:cs="Arial"/>
          <w:sz w:val="24"/>
          <w:szCs w:val="24"/>
        </w:rPr>
        <w:tab/>
      </w:r>
      <w:r w:rsidRPr="00877A4E">
        <w:rPr>
          <w:rFonts w:ascii="Arial" w:hAnsi="Arial" w:cs="Arial"/>
          <w:sz w:val="24"/>
          <w:szCs w:val="24"/>
          <w:u w:val="single"/>
        </w:rPr>
        <w:t>Ensure that cash is available to meet liabilities as and when they fall due</w:t>
      </w:r>
    </w:p>
    <w:p w:rsidR="00877A4E" w:rsidRPr="00877A4E" w:rsidRDefault="00877A4E" w:rsidP="00877A4E">
      <w:pPr>
        <w:jc w:val="both"/>
        <w:rPr>
          <w:rFonts w:ascii="Arial" w:hAnsi="Arial" w:cs="Arial"/>
          <w:sz w:val="24"/>
          <w:szCs w:val="24"/>
        </w:rPr>
      </w:pPr>
    </w:p>
    <w:p w:rsidR="00877A4E" w:rsidRPr="00877A4E" w:rsidRDefault="00877A4E" w:rsidP="00121B2F">
      <w:pPr>
        <w:ind w:left="426"/>
        <w:jc w:val="both"/>
        <w:rPr>
          <w:rFonts w:ascii="Arial" w:hAnsi="Arial" w:cs="Arial"/>
          <w:sz w:val="24"/>
          <w:szCs w:val="24"/>
        </w:rPr>
      </w:pPr>
      <w:r w:rsidRPr="00877A4E">
        <w:rPr>
          <w:rFonts w:ascii="Arial" w:hAnsi="Arial" w:cs="Arial"/>
          <w:sz w:val="24"/>
          <w:szCs w:val="24"/>
        </w:rPr>
        <w:t xml:space="preserve">The </w:t>
      </w:r>
      <w:r w:rsidR="009B2027">
        <w:rPr>
          <w:rFonts w:ascii="Arial" w:hAnsi="Arial" w:cs="Arial"/>
          <w:sz w:val="24"/>
          <w:szCs w:val="24"/>
        </w:rPr>
        <w:t>administering authority</w:t>
      </w:r>
      <w:r w:rsidRPr="00877A4E">
        <w:rPr>
          <w:rFonts w:ascii="Arial" w:hAnsi="Arial" w:cs="Arial"/>
          <w:sz w:val="24"/>
          <w:szCs w:val="24"/>
        </w:rPr>
        <w:t xml:space="preserve"> recognises this duty and discharges it in the manner set out in section 2(</w:t>
      </w:r>
      <w:r w:rsidR="00284872">
        <w:rPr>
          <w:rFonts w:ascii="Arial" w:hAnsi="Arial" w:cs="Arial"/>
          <w:sz w:val="24"/>
          <w:szCs w:val="24"/>
        </w:rPr>
        <w:t>c</w:t>
      </w:r>
      <w:r w:rsidRPr="00877A4E">
        <w:rPr>
          <w:rFonts w:ascii="Arial" w:hAnsi="Arial" w:cs="Arial"/>
          <w:sz w:val="24"/>
          <w:szCs w:val="24"/>
        </w:rPr>
        <w:t>) above.</w:t>
      </w:r>
    </w:p>
    <w:p w:rsidR="00877A4E" w:rsidRPr="00877A4E" w:rsidRDefault="00877A4E" w:rsidP="00877A4E">
      <w:pPr>
        <w:jc w:val="both"/>
        <w:rPr>
          <w:rFonts w:ascii="Arial" w:hAnsi="Arial" w:cs="Arial"/>
          <w:sz w:val="24"/>
          <w:szCs w:val="24"/>
        </w:rPr>
      </w:pPr>
    </w:p>
    <w:p w:rsidR="00BA54BF" w:rsidRPr="009B70F9" w:rsidRDefault="00877A4E" w:rsidP="00DB0D92">
      <w:pPr>
        <w:tabs>
          <w:tab w:val="left" w:pos="426"/>
        </w:tabs>
        <w:jc w:val="both"/>
        <w:rPr>
          <w:rFonts w:ascii="Arial" w:hAnsi="Arial" w:cs="Arial"/>
          <w:sz w:val="24"/>
          <w:szCs w:val="24"/>
        </w:rPr>
      </w:pPr>
      <w:r>
        <w:rPr>
          <w:rFonts w:ascii="Arial" w:hAnsi="Arial" w:cs="Arial"/>
          <w:sz w:val="24"/>
          <w:szCs w:val="24"/>
        </w:rPr>
        <w:br w:type="page"/>
      </w:r>
      <w:r w:rsidR="00B9574D">
        <w:rPr>
          <w:rFonts w:ascii="Arial" w:hAnsi="Arial" w:cs="Arial"/>
          <w:sz w:val="24"/>
          <w:szCs w:val="24"/>
        </w:rPr>
        <w:lastRenderedPageBreak/>
        <w:t>f</w:t>
      </w:r>
      <w:r w:rsidR="009B70F9">
        <w:rPr>
          <w:rFonts w:ascii="Arial" w:hAnsi="Arial" w:cs="Arial"/>
          <w:sz w:val="24"/>
          <w:szCs w:val="24"/>
        </w:rPr>
        <w:t>)</w:t>
      </w:r>
      <w:r w:rsidR="009B70F9">
        <w:rPr>
          <w:rFonts w:ascii="Arial" w:hAnsi="Arial" w:cs="Arial"/>
          <w:sz w:val="24"/>
          <w:szCs w:val="24"/>
        </w:rPr>
        <w:tab/>
      </w:r>
      <w:r w:rsidR="00BA54BF" w:rsidRPr="009B70F9">
        <w:rPr>
          <w:rFonts w:ascii="Arial" w:hAnsi="Arial" w:cs="Arial"/>
          <w:sz w:val="24"/>
          <w:szCs w:val="24"/>
          <w:u w:val="single"/>
        </w:rPr>
        <w:t xml:space="preserve">Manage the valuation process in consultation with the Fund </w:t>
      </w:r>
      <w:r w:rsidR="00492D61">
        <w:rPr>
          <w:rFonts w:ascii="Arial" w:hAnsi="Arial" w:cs="Arial"/>
          <w:sz w:val="24"/>
          <w:szCs w:val="24"/>
          <w:u w:val="single"/>
        </w:rPr>
        <w:t>A</w:t>
      </w:r>
      <w:r w:rsidR="00BA54BF" w:rsidRPr="009B70F9">
        <w:rPr>
          <w:rFonts w:ascii="Arial" w:hAnsi="Arial" w:cs="Arial"/>
          <w:sz w:val="24"/>
          <w:szCs w:val="24"/>
          <w:u w:val="single"/>
        </w:rPr>
        <w:t>ctuary</w:t>
      </w:r>
    </w:p>
    <w:p w:rsidR="009B70F9" w:rsidRDefault="009B70F9" w:rsidP="00A67A9A">
      <w:pPr>
        <w:ind w:firstLine="360"/>
        <w:jc w:val="both"/>
        <w:rPr>
          <w:rFonts w:ascii="Arial" w:hAnsi="Arial" w:cs="Arial"/>
          <w:sz w:val="24"/>
          <w:szCs w:val="24"/>
        </w:rPr>
      </w:pPr>
    </w:p>
    <w:p w:rsidR="00BA54BF" w:rsidRPr="009B70F9" w:rsidRDefault="000F4DE4" w:rsidP="00A67A9A">
      <w:pPr>
        <w:ind w:left="360"/>
        <w:jc w:val="both"/>
        <w:rPr>
          <w:rFonts w:ascii="Arial" w:hAnsi="Arial" w:cs="Arial"/>
          <w:sz w:val="24"/>
          <w:szCs w:val="24"/>
        </w:rPr>
      </w:pPr>
      <w:r w:rsidRPr="009B70F9">
        <w:rPr>
          <w:rFonts w:ascii="Arial" w:hAnsi="Arial" w:cs="Arial"/>
          <w:sz w:val="24"/>
          <w:szCs w:val="24"/>
        </w:rPr>
        <w:t xml:space="preserve">The </w:t>
      </w:r>
      <w:r w:rsidR="009B2027">
        <w:rPr>
          <w:rFonts w:ascii="Arial" w:hAnsi="Arial" w:cs="Arial"/>
          <w:sz w:val="24"/>
          <w:szCs w:val="24"/>
        </w:rPr>
        <w:t>administering authority</w:t>
      </w:r>
      <w:r w:rsidR="00BA54BF" w:rsidRPr="009B70F9">
        <w:rPr>
          <w:rFonts w:ascii="Arial" w:hAnsi="Arial" w:cs="Arial"/>
          <w:sz w:val="24"/>
          <w:szCs w:val="24"/>
        </w:rPr>
        <w:t xml:space="preserve"> ensures it communic</w:t>
      </w:r>
      <w:r w:rsidRPr="009B70F9">
        <w:rPr>
          <w:rFonts w:ascii="Arial" w:hAnsi="Arial" w:cs="Arial"/>
          <w:sz w:val="24"/>
          <w:szCs w:val="24"/>
        </w:rPr>
        <w:t xml:space="preserve">ates effectively with the Fund </w:t>
      </w:r>
      <w:r w:rsidR="00492D61">
        <w:rPr>
          <w:rFonts w:ascii="Arial" w:hAnsi="Arial" w:cs="Arial"/>
          <w:sz w:val="24"/>
          <w:szCs w:val="24"/>
        </w:rPr>
        <w:t>A</w:t>
      </w:r>
      <w:r w:rsidR="00BA54BF" w:rsidRPr="009B70F9">
        <w:rPr>
          <w:rFonts w:ascii="Arial" w:hAnsi="Arial" w:cs="Arial"/>
          <w:sz w:val="24"/>
          <w:szCs w:val="24"/>
        </w:rPr>
        <w:t>ctuary to:</w:t>
      </w:r>
    </w:p>
    <w:p w:rsidR="00877A4E" w:rsidRPr="00877A4E" w:rsidRDefault="00877A4E" w:rsidP="00877A4E">
      <w:pPr>
        <w:jc w:val="both"/>
        <w:rPr>
          <w:rFonts w:ascii="Arial" w:hAnsi="Arial" w:cs="Arial"/>
          <w:sz w:val="24"/>
          <w:szCs w:val="24"/>
        </w:rPr>
      </w:pP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 xml:space="preserve">agree timescales for the </w:t>
      </w:r>
      <w:r w:rsidR="00B143AD">
        <w:rPr>
          <w:rFonts w:ascii="Arial" w:hAnsi="Arial" w:cs="Arial"/>
          <w:sz w:val="24"/>
          <w:szCs w:val="24"/>
        </w:rPr>
        <w:t>supply</w:t>
      </w:r>
      <w:r w:rsidR="00B143AD" w:rsidRPr="00877A4E">
        <w:rPr>
          <w:rFonts w:ascii="Arial" w:hAnsi="Arial" w:cs="Arial"/>
          <w:sz w:val="24"/>
          <w:szCs w:val="24"/>
        </w:rPr>
        <w:t xml:space="preserve"> </w:t>
      </w:r>
      <w:r w:rsidRPr="00877A4E">
        <w:rPr>
          <w:rFonts w:ascii="Arial" w:hAnsi="Arial" w:cs="Arial"/>
          <w:sz w:val="24"/>
          <w:szCs w:val="24"/>
        </w:rPr>
        <w:t>of information and provision of valuation results;</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ensure provision of data of suitable accuracy;</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ensure that the Fund Actuary is clear about the content of the Funding Strategy Statement;</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ensure that participating employers receive appropriate communication throughout the process; and</w:t>
      </w:r>
    </w:p>
    <w:p w:rsidR="00877A4E" w:rsidRPr="00877A4E" w:rsidRDefault="00877A4E" w:rsidP="00877A4E">
      <w:pPr>
        <w:numPr>
          <w:ilvl w:val="0"/>
          <w:numId w:val="16"/>
        </w:numPr>
        <w:jc w:val="both"/>
        <w:rPr>
          <w:rFonts w:ascii="Arial" w:hAnsi="Arial" w:cs="Arial"/>
          <w:sz w:val="24"/>
          <w:szCs w:val="24"/>
        </w:rPr>
      </w:pPr>
      <w:r w:rsidRPr="00877A4E">
        <w:rPr>
          <w:rFonts w:ascii="Arial" w:hAnsi="Arial" w:cs="Arial"/>
          <w:sz w:val="24"/>
          <w:szCs w:val="24"/>
        </w:rPr>
        <w:t>ensure that reports are made available as required by guidance and regulation.</w:t>
      </w:r>
    </w:p>
    <w:p w:rsidR="00BA54BF" w:rsidRPr="00A24997" w:rsidRDefault="00BA54BF">
      <w:pPr>
        <w:rPr>
          <w:rFonts w:ascii="Arial" w:hAnsi="Arial" w:cs="Arial"/>
          <w:sz w:val="24"/>
          <w:szCs w:val="24"/>
        </w:rPr>
      </w:pPr>
    </w:p>
    <w:p w:rsidR="00BA54BF" w:rsidRPr="009B70F9" w:rsidRDefault="00B9574D" w:rsidP="009B70F9">
      <w:pPr>
        <w:tabs>
          <w:tab w:val="left" w:pos="426"/>
        </w:tabs>
        <w:ind w:left="360" w:hanging="360"/>
        <w:jc w:val="both"/>
        <w:rPr>
          <w:rFonts w:ascii="Arial" w:hAnsi="Arial" w:cs="Arial"/>
          <w:sz w:val="24"/>
          <w:szCs w:val="24"/>
        </w:rPr>
      </w:pPr>
      <w:r>
        <w:rPr>
          <w:rFonts w:ascii="Arial" w:hAnsi="Arial" w:cs="Arial"/>
          <w:sz w:val="24"/>
          <w:szCs w:val="24"/>
        </w:rPr>
        <w:t>g</w:t>
      </w:r>
      <w:r w:rsidR="009B70F9">
        <w:rPr>
          <w:rFonts w:ascii="Arial" w:hAnsi="Arial" w:cs="Arial"/>
          <w:sz w:val="24"/>
          <w:szCs w:val="24"/>
        </w:rPr>
        <w:t>)</w:t>
      </w:r>
      <w:r w:rsidR="009B70F9">
        <w:rPr>
          <w:rFonts w:ascii="Arial" w:hAnsi="Arial" w:cs="Arial"/>
          <w:sz w:val="24"/>
          <w:szCs w:val="24"/>
        </w:rPr>
        <w:tab/>
      </w:r>
      <w:r w:rsidR="00BA54BF" w:rsidRPr="00BA4A45">
        <w:rPr>
          <w:rFonts w:ascii="Arial" w:hAnsi="Arial" w:cs="Arial"/>
          <w:sz w:val="24"/>
          <w:szCs w:val="24"/>
          <w:u w:val="single"/>
        </w:rPr>
        <w:t>Prepare and maintain a</w:t>
      </w:r>
      <w:r w:rsidR="00B143AD">
        <w:rPr>
          <w:rFonts w:ascii="Arial" w:hAnsi="Arial" w:cs="Arial"/>
          <w:sz w:val="24"/>
          <w:szCs w:val="24"/>
          <w:u w:val="single"/>
        </w:rPr>
        <w:t>n</w:t>
      </w:r>
      <w:r w:rsidR="00BA54BF" w:rsidRPr="00BA4A45">
        <w:rPr>
          <w:rFonts w:ascii="Arial" w:hAnsi="Arial" w:cs="Arial"/>
          <w:sz w:val="24"/>
          <w:szCs w:val="24"/>
          <w:u w:val="single"/>
        </w:rPr>
        <w:t xml:space="preserve"> </w:t>
      </w:r>
      <w:r w:rsidR="007768E0">
        <w:rPr>
          <w:rFonts w:ascii="Arial" w:hAnsi="Arial" w:cs="Arial"/>
          <w:sz w:val="24"/>
          <w:szCs w:val="24"/>
          <w:u w:val="single"/>
        </w:rPr>
        <w:t>Investment Strategy Statement</w:t>
      </w:r>
      <w:r w:rsidR="00BA54BF" w:rsidRPr="00BA4A45">
        <w:rPr>
          <w:rFonts w:ascii="Arial" w:hAnsi="Arial" w:cs="Arial"/>
          <w:sz w:val="24"/>
          <w:szCs w:val="24"/>
          <w:u w:val="single"/>
        </w:rPr>
        <w:t xml:space="preserve"> and a Funding Strategy Statement after due consultation with interested parties</w:t>
      </w:r>
    </w:p>
    <w:p w:rsidR="00BA54BF" w:rsidRPr="009B70F9" w:rsidRDefault="00BA54BF" w:rsidP="009B70F9">
      <w:pPr>
        <w:jc w:val="both"/>
        <w:rPr>
          <w:rFonts w:ascii="Arial" w:hAnsi="Arial" w:cs="Arial"/>
          <w:sz w:val="24"/>
          <w:szCs w:val="24"/>
        </w:rPr>
      </w:pPr>
    </w:p>
    <w:p w:rsidR="00BA54BF" w:rsidRPr="009B70F9" w:rsidRDefault="001149D8" w:rsidP="009E6F94">
      <w:pPr>
        <w:ind w:left="360"/>
        <w:jc w:val="both"/>
        <w:rPr>
          <w:rFonts w:ascii="Arial" w:hAnsi="Arial" w:cs="Arial"/>
          <w:sz w:val="24"/>
          <w:szCs w:val="24"/>
        </w:rPr>
      </w:pPr>
      <w:r w:rsidRPr="009B70F9">
        <w:rPr>
          <w:rFonts w:ascii="Arial" w:hAnsi="Arial" w:cs="Arial"/>
          <w:sz w:val="24"/>
          <w:szCs w:val="24"/>
        </w:rPr>
        <w:t xml:space="preserve">The </w:t>
      </w:r>
      <w:r w:rsidR="009B2027">
        <w:rPr>
          <w:rFonts w:ascii="Arial" w:hAnsi="Arial" w:cs="Arial"/>
          <w:sz w:val="24"/>
          <w:szCs w:val="24"/>
        </w:rPr>
        <w:t>administering authority</w:t>
      </w:r>
      <w:r w:rsidR="00BA54BF" w:rsidRPr="009B70F9">
        <w:rPr>
          <w:rFonts w:ascii="Arial" w:hAnsi="Arial" w:cs="Arial"/>
          <w:sz w:val="24"/>
          <w:szCs w:val="24"/>
        </w:rPr>
        <w:t xml:space="preserve"> will ensure that both documents are prepared and maintained in the required manner.</w:t>
      </w:r>
    </w:p>
    <w:p w:rsidR="00BA54BF" w:rsidRPr="009B70F9" w:rsidRDefault="00BA54BF" w:rsidP="009B70F9">
      <w:pPr>
        <w:jc w:val="both"/>
        <w:rPr>
          <w:rFonts w:ascii="Arial" w:hAnsi="Arial" w:cs="Arial"/>
          <w:sz w:val="24"/>
          <w:szCs w:val="24"/>
        </w:rPr>
      </w:pPr>
    </w:p>
    <w:p w:rsidR="00BA54BF" w:rsidRPr="009B70F9" w:rsidRDefault="00BA4A45" w:rsidP="009B70F9">
      <w:pPr>
        <w:tabs>
          <w:tab w:val="left" w:pos="426"/>
        </w:tabs>
        <w:ind w:left="420" w:hanging="420"/>
        <w:jc w:val="both"/>
        <w:rPr>
          <w:rFonts w:ascii="Arial" w:hAnsi="Arial" w:cs="Arial"/>
          <w:sz w:val="24"/>
          <w:szCs w:val="24"/>
        </w:rPr>
      </w:pPr>
      <w:r>
        <w:rPr>
          <w:rFonts w:ascii="Arial" w:hAnsi="Arial" w:cs="Arial"/>
          <w:sz w:val="24"/>
          <w:szCs w:val="24"/>
        </w:rPr>
        <w:t>h</w:t>
      </w:r>
      <w:r w:rsidR="009B70F9">
        <w:rPr>
          <w:rFonts w:ascii="Arial" w:hAnsi="Arial" w:cs="Arial"/>
          <w:sz w:val="24"/>
          <w:szCs w:val="24"/>
        </w:rPr>
        <w:t>)</w:t>
      </w:r>
      <w:r w:rsidR="009B70F9">
        <w:rPr>
          <w:rFonts w:ascii="Arial" w:hAnsi="Arial" w:cs="Arial"/>
          <w:sz w:val="24"/>
          <w:szCs w:val="24"/>
        </w:rPr>
        <w:tab/>
      </w:r>
      <w:r w:rsidR="00BA54BF" w:rsidRPr="00BA4A45">
        <w:rPr>
          <w:rFonts w:ascii="Arial" w:hAnsi="Arial" w:cs="Arial"/>
          <w:sz w:val="24"/>
          <w:szCs w:val="24"/>
          <w:u w:val="single"/>
        </w:rPr>
        <w:t>Monitor all aspects of the Fund’s performance and funding and amend these two documents if required</w:t>
      </w:r>
    </w:p>
    <w:p w:rsidR="00BA54BF" w:rsidRPr="009B70F9" w:rsidRDefault="00BA54BF" w:rsidP="009B70F9">
      <w:pPr>
        <w:jc w:val="both"/>
        <w:rPr>
          <w:rFonts w:ascii="Arial" w:hAnsi="Arial" w:cs="Arial"/>
          <w:sz w:val="24"/>
          <w:szCs w:val="24"/>
        </w:rPr>
      </w:pPr>
    </w:p>
    <w:p w:rsidR="00681B91" w:rsidRPr="009B70F9" w:rsidRDefault="00681B91" w:rsidP="009B70F9">
      <w:pPr>
        <w:ind w:left="420"/>
        <w:jc w:val="both"/>
        <w:rPr>
          <w:rFonts w:ascii="Arial" w:hAnsi="Arial" w:cs="Arial"/>
          <w:sz w:val="24"/>
          <w:szCs w:val="24"/>
        </w:rPr>
      </w:pPr>
      <w:r w:rsidRPr="009B70F9">
        <w:rPr>
          <w:rFonts w:ascii="Arial" w:hAnsi="Arial" w:cs="Arial"/>
          <w:sz w:val="24"/>
          <w:szCs w:val="24"/>
        </w:rPr>
        <w:t xml:space="preserve">In order to monitor developments, the </w:t>
      </w:r>
      <w:r w:rsidR="009B2027">
        <w:rPr>
          <w:rFonts w:ascii="Arial" w:hAnsi="Arial" w:cs="Arial"/>
          <w:sz w:val="24"/>
          <w:szCs w:val="24"/>
        </w:rPr>
        <w:t>administering authority</w:t>
      </w:r>
      <w:r w:rsidRPr="009B70F9">
        <w:rPr>
          <w:rFonts w:ascii="Arial" w:hAnsi="Arial" w:cs="Arial"/>
          <w:sz w:val="24"/>
          <w:szCs w:val="24"/>
        </w:rPr>
        <w:t xml:space="preserve"> may from time to time request informal valuations or other calculations. </w:t>
      </w:r>
      <w:r w:rsidR="002C1E06">
        <w:rPr>
          <w:rFonts w:ascii="Arial" w:hAnsi="Arial" w:cs="Arial"/>
          <w:sz w:val="24"/>
          <w:szCs w:val="24"/>
        </w:rPr>
        <w:t xml:space="preserve"> </w:t>
      </w:r>
      <w:r w:rsidRPr="009B70F9">
        <w:rPr>
          <w:rFonts w:ascii="Arial" w:hAnsi="Arial" w:cs="Arial"/>
          <w:sz w:val="24"/>
          <w:szCs w:val="24"/>
        </w:rPr>
        <w:t xml:space="preserve">Generally, these are undertaken quarterly and the calculations will be based on an approximate roll forward of asset and liability values, </w:t>
      </w:r>
      <w:r w:rsidR="005046F2" w:rsidRPr="009B70F9">
        <w:rPr>
          <w:rFonts w:ascii="Arial" w:hAnsi="Arial" w:cs="Arial"/>
          <w:sz w:val="24"/>
          <w:szCs w:val="24"/>
        </w:rPr>
        <w:t>with</w:t>
      </w:r>
      <w:r w:rsidRPr="009B70F9">
        <w:rPr>
          <w:rFonts w:ascii="Arial" w:hAnsi="Arial" w:cs="Arial"/>
          <w:sz w:val="24"/>
          <w:szCs w:val="24"/>
        </w:rPr>
        <w:t xml:space="preserve"> liabilities calculated by reference to assumptions consistent with the most recent preceding valuation. </w:t>
      </w:r>
      <w:r w:rsidR="002C1E06">
        <w:rPr>
          <w:rFonts w:ascii="Arial" w:hAnsi="Arial" w:cs="Arial"/>
          <w:sz w:val="24"/>
          <w:szCs w:val="24"/>
        </w:rPr>
        <w:t xml:space="preserve"> </w:t>
      </w:r>
      <w:r w:rsidRPr="009B70F9">
        <w:rPr>
          <w:rFonts w:ascii="Arial" w:hAnsi="Arial" w:cs="Arial"/>
          <w:sz w:val="24"/>
          <w:szCs w:val="24"/>
        </w:rPr>
        <w:t>Specifically, it is unlikely that the liabilities would be calculated using individual membership data, and nor would the assumptions be subject to review</w:t>
      </w:r>
      <w:r w:rsidR="00B143AD">
        <w:rPr>
          <w:rFonts w:ascii="Arial" w:hAnsi="Arial" w:cs="Arial"/>
          <w:sz w:val="24"/>
          <w:szCs w:val="24"/>
        </w:rPr>
        <w:t>,</w:t>
      </w:r>
      <w:r w:rsidRPr="009B70F9">
        <w:rPr>
          <w:rFonts w:ascii="Arial" w:hAnsi="Arial" w:cs="Arial"/>
          <w:sz w:val="24"/>
          <w:szCs w:val="24"/>
        </w:rPr>
        <w:t xml:space="preserve"> as occurs at formal triennial valuations.</w:t>
      </w:r>
    </w:p>
    <w:p w:rsidR="00681B91" w:rsidRPr="009B70F9" w:rsidRDefault="00681B91" w:rsidP="009B70F9">
      <w:pPr>
        <w:jc w:val="both"/>
        <w:rPr>
          <w:rFonts w:ascii="Arial" w:hAnsi="Arial" w:cs="Arial"/>
          <w:sz w:val="24"/>
          <w:szCs w:val="24"/>
        </w:rPr>
      </w:pPr>
    </w:p>
    <w:p w:rsidR="00C325AC" w:rsidRPr="009B70F9" w:rsidRDefault="001149D8" w:rsidP="009B70F9">
      <w:pPr>
        <w:ind w:left="420"/>
        <w:jc w:val="both"/>
        <w:rPr>
          <w:rFonts w:ascii="Arial" w:hAnsi="Arial" w:cs="Arial"/>
          <w:sz w:val="24"/>
          <w:szCs w:val="24"/>
        </w:rPr>
      </w:pPr>
      <w:r w:rsidRPr="009B70F9">
        <w:rPr>
          <w:rFonts w:ascii="Arial" w:hAnsi="Arial" w:cs="Arial"/>
          <w:sz w:val="24"/>
          <w:szCs w:val="24"/>
        </w:rPr>
        <w:t xml:space="preserve">The </w:t>
      </w:r>
      <w:r w:rsidR="009B2027">
        <w:rPr>
          <w:rFonts w:ascii="Arial" w:hAnsi="Arial" w:cs="Arial"/>
          <w:sz w:val="24"/>
          <w:szCs w:val="24"/>
        </w:rPr>
        <w:t>administering authority</w:t>
      </w:r>
      <w:r w:rsidR="00BA54BF" w:rsidRPr="009B70F9">
        <w:rPr>
          <w:rFonts w:ascii="Arial" w:hAnsi="Arial" w:cs="Arial"/>
          <w:sz w:val="24"/>
          <w:szCs w:val="24"/>
        </w:rPr>
        <w:t xml:space="preserve"> monitors investment performance of the Fund on a quarterly basis.</w:t>
      </w:r>
    </w:p>
    <w:p w:rsidR="00C325AC" w:rsidRPr="009B70F9" w:rsidRDefault="00C325AC" w:rsidP="009B70F9">
      <w:pPr>
        <w:jc w:val="both"/>
        <w:rPr>
          <w:rFonts w:ascii="Arial" w:hAnsi="Arial" w:cs="Arial"/>
          <w:sz w:val="24"/>
          <w:szCs w:val="24"/>
        </w:rPr>
      </w:pPr>
    </w:p>
    <w:p w:rsidR="00BA54BF" w:rsidRPr="009B70F9" w:rsidRDefault="00BA54BF" w:rsidP="009B70F9">
      <w:pPr>
        <w:ind w:left="420"/>
        <w:jc w:val="both"/>
        <w:rPr>
          <w:rFonts w:ascii="Arial" w:hAnsi="Arial" w:cs="Arial"/>
          <w:sz w:val="24"/>
          <w:szCs w:val="24"/>
        </w:rPr>
      </w:pPr>
      <w:r w:rsidRPr="009B70F9">
        <w:rPr>
          <w:rFonts w:ascii="Arial" w:hAnsi="Arial" w:cs="Arial"/>
          <w:sz w:val="24"/>
          <w:szCs w:val="24"/>
        </w:rPr>
        <w:t xml:space="preserve">The Investment </w:t>
      </w:r>
      <w:r w:rsidR="007768E0">
        <w:rPr>
          <w:rFonts w:ascii="Arial" w:hAnsi="Arial" w:cs="Arial"/>
          <w:sz w:val="24"/>
          <w:szCs w:val="24"/>
        </w:rPr>
        <w:t>Strategy Statement</w:t>
      </w:r>
      <w:r w:rsidR="009B2027">
        <w:rPr>
          <w:rFonts w:ascii="Arial" w:hAnsi="Arial" w:cs="Arial"/>
          <w:sz w:val="24"/>
          <w:szCs w:val="24"/>
        </w:rPr>
        <w:t xml:space="preserve"> </w:t>
      </w:r>
      <w:r w:rsidRPr="009B70F9">
        <w:rPr>
          <w:rFonts w:ascii="Arial" w:hAnsi="Arial" w:cs="Arial"/>
          <w:sz w:val="24"/>
          <w:szCs w:val="24"/>
        </w:rPr>
        <w:t>will be formally reviewed annually, unless circumstances dictate earlier amendment.</w:t>
      </w:r>
    </w:p>
    <w:p w:rsidR="00C325AC" w:rsidRPr="009B70F9" w:rsidRDefault="00C325AC" w:rsidP="009B70F9">
      <w:pPr>
        <w:jc w:val="both"/>
        <w:rPr>
          <w:rFonts w:ascii="Arial" w:hAnsi="Arial" w:cs="Arial"/>
          <w:sz w:val="24"/>
          <w:szCs w:val="24"/>
        </w:rPr>
      </w:pPr>
    </w:p>
    <w:p w:rsidR="00B143AD" w:rsidRDefault="00C325AC" w:rsidP="009B70F9">
      <w:pPr>
        <w:ind w:left="420"/>
        <w:jc w:val="both"/>
        <w:rPr>
          <w:rFonts w:ascii="Arial" w:hAnsi="Arial" w:cs="Arial"/>
          <w:sz w:val="24"/>
          <w:szCs w:val="24"/>
        </w:rPr>
      </w:pPr>
      <w:r w:rsidRPr="009B70F9">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9B70F9">
        <w:rPr>
          <w:rFonts w:ascii="Arial" w:hAnsi="Arial" w:cs="Arial"/>
          <w:sz w:val="24"/>
          <w:szCs w:val="24"/>
        </w:rPr>
        <w:t xml:space="preserve"> will formally review this Statement as part of each triennial valuation process</w:t>
      </w:r>
      <w:r w:rsidR="00B143AD">
        <w:rPr>
          <w:rFonts w:ascii="Arial" w:hAnsi="Arial" w:cs="Arial"/>
          <w:sz w:val="24"/>
          <w:szCs w:val="24"/>
        </w:rPr>
        <w:t>,</w:t>
      </w:r>
    </w:p>
    <w:p w:rsidR="00C325AC" w:rsidRDefault="00C325AC" w:rsidP="009B70F9">
      <w:pPr>
        <w:ind w:left="420"/>
        <w:jc w:val="both"/>
        <w:rPr>
          <w:rFonts w:ascii="Arial" w:hAnsi="Arial" w:cs="Arial"/>
          <w:sz w:val="24"/>
          <w:szCs w:val="24"/>
        </w:rPr>
      </w:pPr>
      <w:r w:rsidRPr="009B70F9">
        <w:rPr>
          <w:rFonts w:ascii="Arial" w:hAnsi="Arial" w:cs="Arial"/>
          <w:sz w:val="24"/>
          <w:szCs w:val="24"/>
        </w:rPr>
        <w:t xml:space="preserve"> </w:t>
      </w:r>
      <w:proofErr w:type="gramStart"/>
      <w:r w:rsidRPr="009B70F9">
        <w:rPr>
          <w:rFonts w:ascii="Arial" w:hAnsi="Arial" w:cs="Arial"/>
          <w:sz w:val="24"/>
          <w:szCs w:val="24"/>
        </w:rPr>
        <w:t>unless</w:t>
      </w:r>
      <w:proofErr w:type="gramEnd"/>
      <w:r w:rsidRPr="009B70F9">
        <w:rPr>
          <w:rFonts w:ascii="Arial" w:hAnsi="Arial" w:cs="Arial"/>
          <w:sz w:val="24"/>
          <w:szCs w:val="24"/>
        </w:rPr>
        <w:t xml:space="preserve"> circumstances arise which require earlier action.</w:t>
      </w:r>
    </w:p>
    <w:p w:rsidR="00BA4A45" w:rsidRDefault="00BA4A45" w:rsidP="00BA4A45">
      <w:pPr>
        <w:jc w:val="both"/>
        <w:rPr>
          <w:rFonts w:ascii="Arial" w:hAnsi="Arial" w:cs="Arial"/>
          <w:sz w:val="24"/>
          <w:szCs w:val="24"/>
        </w:rPr>
      </w:pPr>
    </w:p>
    <w:p w:rsidR="007768E0" w:rsidRPr="000D24DD" w:rsidRDefault="007768E0" w:rsidP="00E114C4">
      <w:pPr>
        <w:numPr>
          <w:ilvl w:val="0"/>
          <w:numId w:val="30"/>
        </w:numPr>
        <w:ind w:left="420" w:hanging="420"/>
        <w:jc w:val="both"/>
        <w:rPr>
          <w:rFonts w:ascii="Arial" w:hAnsi="Arial" w:cs="Arial"/>
          <w:sz w:val="24"/>
          <w:szCs w:val="24"/>
          <w:u w:val="single"/>
        </w:rPr>
      </w:pPr>
      <w:r w:rsidRPr="000D24DD">
        <w:rPr>
          <w:rFonts w:ascii="Arial" w:hAnsi="Arial" w:cs="Arial"/>
          <w:sz w:val="24"/>
          <w:szCs w:val="24"/>
          <w:u w:val="single"/>
        </w:rPr>
        <w:t>Take measures as set out in the 2013 Regulations to safeguard the Fund against the consequences of employer default</w:t>
      </w:r>
    </w:p>
    <w:p w:rsidR="007768E0" w:rsidRDefault="007768E0" w:rsidP="00BA4A45">
      <w:pPr>
        <w:jc w:val="both"/>
        <w:rPr>
          <w:rFonts w:ascii="Arial" w:hAnsi="Arial" w:cs="Arial"/>
          <w:sz w:val="24"/>
          <w:szCs w:val="24"/>
        </w:rPr>
      </w:pPr>
    </w:p>
    <w:p w:rsidR="00BA4A45" w:rsidRDefault="007768E0" w:rsidP="00BA4A45">
      <w:pPr>
        <w:tabs>
          <w:tab w:val="left" w:pos="426"/>
        </w:tabs>
        <w:ind w:left="420" w:hanging="420"/>
        <w:jc w:val="both"/>
        <w:rPr>
          <w:rFonts w:ascii="Arial" w:hAnsi="Arial" w:cs="Arial"/>
          <w:sz w:val="24"/>
          <w:szCs w:val="24"/>
          <w:u w:val="single"/>
        </w:rPr>
      </w:pPr>
      <w:r>
        <w:rPr>
          <w:rFonts w:ascii="Arial" w:hAnsi="Arial" w:cs="Arial"/>
          <w:sz w:val="24"/>
          <w:szCs w:val="24"/>
        </w:rPr>
        <w:t>j</w:t>
      </w:r>
      <w:r w:rsidR="00BA4A45">
        <w:rPr>
          <w:rFonts w:ascii="Arial" w:hAnsi="Arial" w:cs="Arial"/>
          <w:sz w:val="24"/>
          <w:szCs w:val="24"/>
        </w:rPr>
        <w:t>)</w:t>
      </w:r>
      <w:r w:rsidR="00BA4A45">
        <w:rPr>
          <w:rFonts w:ascii="Arial" w:hAnsi="Arial" w:cs="Arial"/>
          <w:sz w:val="24"/>
          <w:szCs w:val="24"/>
        </w:rPr>
        <w:tab/>
      </w:r>
      <w:r w:rsidR="00BA4A45" w:rsidRPr="00BA4A45">
        <w:rPr>
          <w:rFonts w:ascii="Arial" w:hAnsi="Arial" w:cs="Arial"/>
          <w:sz w:val="24"/>
          <w:szCs w:val="24"/>
          <w:u w:val="single"/>
        </w:rPr>
        <w:t xml:space="preserve">Effectively manage any potential conflicts of interest arising from its dual role as both </w:t>
      </w:r>
      <w:r w:rsidR="00CD42B5">
        <w:rPr>
          <w:rFonts w:ascii="Arial" w:hAnsi="Arial" w:cs="Arial"/>
          <w:sz w:val="24"/>
          <w:szCs w:val="24"/>
          <w:u w:val="single"/>
        </w:rPr>
        <w:t>a</w:t>
      </w:r>
      <w:r w:rsidR="009B2027">
        <w:rPr>
          <w:rFonts w:ascii="Arial" w:hAnsi="Arial" w:cs="Arial"/>
          <w:sz w:val="24"/>
          <w:szCs w:val="24"/>
          <w:u w:val="single"/>
        </w:rPr>
        <w:t>dministering authority</w:t>
      </w:r>
      <w:r w:rsidR="00BA4A45" w:rsidRPr="00BA4A45">
        <w:rPr>
          <w:rFonts w:ascii="Arial" w:hAnsi="Arial" w:cs="Arial"/>
          <w:sz w:val="24"/>
          <w:szCs w:val="24"/>
          <w:u w:val="single"/>
        </w:rPr>
        <w:t xml:space="preserve"> and as a Scheme Employer</w:t>
      </w:r>
    </w:p>
    <w:p w:rsidR="007768E0" w:rsidRDefault="007768E0" w:rsidP="00BA4A45">
      <w:pPr>
        <w:tabs>
          <w:tab w:val="left" w:pos="426"/>
        </w:tabs>
        <w:ind w:left="420" w:hanging="420"/>
        <w:jc w:val="both"/>
        <w:rPr>
          <w:rFonts w:ascii="Arial" w:hAnsi="Arial" w:cs="Arial"/>
          <w:sz w:val="24"/>
          <w:szCs w:val="24"/>
          <w:u w:val="single"/>
        </w:rPr>
      </w:pPr>
    </w:p>
    <w:p w:rsidR="007768E0" w:rsidRDefault="007768E0" w:rsidP="00BA4A45">
      <w:pPr>
        <w:tabs>
          <w:tab w:val="left" w:pos="426"/>
        </w:tabs>
        <w:ind w:left="420" w:hanging="420"/>
        <w:jc w:val="both"/>
        <w:rPr>
          <w:rFonts w:ascii="Arial" w:hAnsi="Arial" w:cs="Arial"/>
          <w:sz w:val="24"/>
          <w:szCs w:val="24"/>
          <w:u w:val="single"/>
        </w:rPr>
      </w:pPr>
      <w:r w:rsidRPr="000D24DD">
        <w:rPr>
          <w:rFonts w:ascii="Arial" w:hAnsi="Arial" w:cs="Arial"/>
          <w:sz w:val="24"/>
          <w:szCs w:val="24"/>
        </w:rPr>
        <w:t>k)</w:t>
      </w:r>
      <w:r w:rsidRPr="000D24DD">
        <w:rPr>
          <w:rFonts w:ascii="Arial" w:hAnsi="Arial" w:cs="Arial"/>
          <w:sz w:val="24"/>
          <w:szCs w:val="24"/>
        </w:rPr>
        <w:tab/>
      </w:r>
      <w:r>
        <w:rPr>
          <w:rFonts w:ascii="Arial" w:hAnsi="Arial" w:cs="Arial"/>
          <w:sz w:val="24"/>
          <w:szCs w:val="24"/>
          <w:u w:val="single"/>
        </w:rPr>
        <w:t>Enable the Local Pension Board to review the valuation process as set out in their terms of reference</w:t>
      </w:r>
    </w:p>
    <w:p w:rsidR="007768E0" w:rsidRPr="009B70F9" w:rsidRDefault="007768E0" w:rsidP="00BA4A45">
      <w:pPr>
        <w:tabs>
          <w:tab w:val="left" w:pos="426"/>
        </w:tabs>
        <w:ind w:left="420" w:hanging="420"/>
        <w:jc w:val="both"/>
        <w:rPr>
          <w:rFonts w:ascii="Arial" w:hAnsi="Arial" w:cs="Arial"/>
          <w:sz w:val="24"/>
          <w:szCs w:val="24"/>
        </w:rPr>
      </w:pPr>
    </w:p>
    <w:p w:rsidR="00C325AC" w:rsidRPr="009B70F9" w:rsidRDefault="00C325AC" w:rsidP="00BA4A45">
      <w:pPr>
        <w:tabs>
          <w:tab w:val="left" w:pos="426"/>
        </w:tabs>
        <w:ind w:left="420" w:hanging="420"/>
        <w:jc w:val="both"/>
        <w:rPr>
          <w:rFonts w:ascii="Arial" w:hAnsi="Arial" w:cs="Arial"/>
          <w:sz w:val="24"/>
          <w:szCs w:val="24"/>
        </w:rPr>
      </w:pPr>
    </w:p>
    <w:p w:rsidR="00BA54BF" w:rsidRPr="00A24997" w:rsidRDefault="001149D8">
      <w:pPr>
        <w:rPr>
          <w:rFonts w:ascii="Arial" w:hAnsi="Arial" w:cs="Arial"/>
          <w:sz w:val="24"/>
          <w:szCs w:val="24"/>
        </w:rPr>
      </w:pPr>
      <w:r w:rsidRPr="00A24997">
        <w:rPr>
          <w:rFonts w:ascii="Arial" w:hAnsi="Arial" w:cs="Arial"/>
          <w:b/>
          <w:sz w:val="24"/>
          <w:szCs w:val="24"/>
        </w:rPr>
        <w:lastRenderedPageBreak/>
        <w:t xml:space="preserve">Individual </w:t>
      </w:r>
      <w:r w:rsidR="002C1E06">
        <w:rPr>
          <w:rFonts w:ascii="Arial" w:hAnsi="Arial" w:cs="Arial"/>
          <w:b/>
          <w:sz w:val="24"/>
          <w:szCs w:val="24"/>
        </w:rPr>
        <w:t>e</w:t>
      </w:r>
      <w:r w:rsidR="00BA54BF" w:rsidRPr="00A24997">
        <w:rPr>
          <w:rFonts w:ascii="Arial" w:hAnsi="Arial" w:cs="Arial"/>
          <w:b/>
          <w:sz w:val="24"/>
          <w:szCs w:val="24"/>
        </w:rPr>
        <w:t>mployers</w:t>
      </w:r>
      <w:r w:rsidR="00BA54BF" w:rsidRPr="00A24997">
        <w:rPr>
          <w:rFonts w:ascii="Arial" w:hAnsi="Arial" w:cs="Arial"/>
          <w:sz w:val="24"/>
          <w:szCs w:val="24"/>
        </w:rPr>
        <w:t xml:space="preserve"> will:</w:t>
      </w:r>
    </w:p>
    <w:p w:rsidR="00BA54BF" w:rsidRDefault="00BA54BF">
      <w:pPr>
        <w:rPr>
          <w:rFonts w:ascii="Arial" w:hAnsi="Arial" w:cs="Arial"/>
          <w:sz w:val="24"/>
          <w:szCs w:val="24"/>
        </w:rPr>
      </w:pPr>
    </w:p>
    <w:p w:rsidR="002C1E06" w:rsidRPr="002C1E06" w:rsidRDefault="002C1E06" w:rsidP="00121B2F">
      <w:pPr>
        <w:numPr>
          <w:ilvl w:val="0"/>
          <w:numId w:val="16"/>
        </w:numPr>
        <w:jc w:val="both"/>
        <w:rPr>
          <w:rFonts w:ascii="Arial" w:hAnsi="Arial" w:cs="Arial"/>
          <w:sz w:val="24"/>
          <w:szCs w:val="24"/>
        </w:rPr>
      </w:pPr>
      <w:r w:rsidRPr="002C1E06">
        <w:rPr>
          <w:rFonts w:ascii="Arial" w:hAnsi="Arial" w:cs="Arial"/>
          <w:sz w:val="24"/>
          <w:szCs w:val="24"/>
        </w:rPr>
        <w:t>deduct contributions from employees’ pay correctly;</w:t>
      </w:r>
    </w:p>
    <w:p w:rsidR="002C1E06" w:rsidRPr="002C1E06" w:rsidRDefault="002C1E06" w:rsidP="00121B2F">
      <w:pPr>
        <w:numPr>
          <w:ilvl w:val="0"/>
          <w:numId w:val="16"/>
        </w:numPr>
        <w:jc w:val="both"/>
        <w:rPr>
          <w:rFonts w:ascii="Arial" w:hAnsi="Arial" w:cs="Arial"/>
          <w:sz w:val="24"/>
          <w:szCs w:val="24"/>
        </w:rPr>
      </w:pPr>
      <w:r w:rsidRPr="002C1E06">
        <w:rPr>
          <w:rFonts w:ascii="Arial" w:hAnsi="Arial" w:cs="Arial"/>
          <w:sz w:val="24"/>
          <w:szCs w:val="24"/>
        </w:rPr>
        <w:t xml:space="preserve">pay all </w:t>
      </w:r>
      <w:r w:rsidR="00CA1680">
        <w:rPr>
          <w:rFonts w:ascii="Arial" w:hAnsi="Arial" w:cs="Arial"/>
          <w:sz w:val="24"/>
          <w:szCs w:val="24"/>
        </w:rPr>
        <w:t xml:space="preserve">ongoing </w:t>
      </w:r>
      <w:r w:rsidRPr="002C1E06">
        <w:rPr>
          <w:rFonts w:ascii="Arial" w:hAnsi="Arial" w:cs="Arial"/>
          <w:sz w:val="24"/>
          <w:szCs w:val="24"/>
        </w:rPr>
        <w:t>contributions, including their employer contribution as determined by the Fund Actuary, promptly by the due date;</w:t>
      </w:r>
    </w:p>
    <w:p w:rsidR="002C1E06" w:rsidRPr="002C1E06" w:rsidRDefault="002C1E06" w:rsidP="00121B2F">
      <w:pPr>
        <w:numPr>
          <w:ilvl w:val="0"/>
          <w:numId w:val="16"/>
        </w:numPr>
        <w:jc w:val="both"/>
        <w:rPr>
          <w:rFonts w:ascii="Arial" w:hAnsi="Arial" w:cs="Arial"/>
          <w:sz w:val="24"/>
          <w:szCs w:val="24"/>
        </w:rPr>
      </w:pPr>
      <w:r w:rsidRPr="002C1E06">
        <w:rPr>
          <w:rFonts w:ascii="Arial" w:hAnsi="Arial" w:cs="Arial"/>
          <w:sz w:val="24"/>
          <w:szCs w:val="24"/>
        </w:rPr>
        <w:t xml:space="preserve">develop a policy on certain discretions and exercise those discretions within the regulatory framework, ensuring that the </w:t>
      </w:r>
      <w:r w:rsidR="00CD42B5">
        <w:rPr>
          <w:rFonts w:ascii="Arial" w:hAnsi="Arial" w:cs="Arial"/>
          <w:sz w:val="24"/>
          <w:szCs w:val="24"/>
        </w:rPr>
        <w:t>a</w:t>
      </w:r>
      <w:r w:rsidR="009B2027">
        <w:rPr>
          <w:rFonts w:ascii="Arial" w:hAnsi="Arial" w:cs="Arial"/>
          <w:sz w:val="24"/>
          <w:szCs w:val="24"/>
        </w:rPr>
        <w:t>dministering authority</w:t>
      </w:r>
      <w:r w:rsidRPr="002C1E06">
        <w:rPr>
          <w:rFonts w:ascii="Arial" w:hAnsi="Arial" w:cs="Arial"/>
          <w:sz w:val="24"/>
          <w:szCs w:val="24"/>
        </w:rPr>
        <w:t xml:space="preserve"> has copies of current policies covering those discretions;</w:t>
      </w:r>
    </w:p>
    <w:p w:rsidR="002C1E06" w:rsidRPr="002C1E06" w:rsidRDefault="002C1E06" w:rsidP="00121B2F">
      <w:pPr>
        <w:numPr>
          <w:ilvl w:val="0"/>
          <w:numId w:val="16"/>
        </w:numPr>
        <w:jc w:val="both"/>
        <w:rPr>
          <w:rFonts w:ascii="Arial" w:hAnsi="Arial" w:cs="Arial"/>
          <w:sz w:val="24"/>
          <w:szCs w:val="24"/>
        </w:rPr>
      </w:pPr>
      <w:r w:rsidRPr="002C1E06">
        <w:rPr>
          <w:rFonts w:ascii="Arial" w:hAnsi="Arial" w:cs="Arial"/>
          <w:sz w:val="24"/>
          <w:szCs w:val="24"/>
        </w:rPr>
        <w:t xml:space="preserve">pay for additional benefits awarded to members, early release of benefits or other one off strain costs  in accordance with agreed arrangements; </w:t>
      </w:r>
    </w:p>
    <w:p w:rsidR="0002676B" w:rsidRDefault="002C1E06" w:rsidP="00121B2F">
      <w:pPr>
        <w:numPr>
          <w:ilvl w:val="0"/>
          <w:numId w:val="16"/>
        </w:numPr>
        <w:jc w:val="both"/>
        <w:rPr>
          <w:rFonts w:ascii="Arial" w:hAnsi="Arial" w:cs="Arial"/>
          <w:sz w:val="24"/>
          <w:szCs w:val="24"/>
        </w:rPr>
      </w:pPr>
      <w:r w:rsidRPr="002C1E06">
        <w:rPr>
          <w:rFonts w:ascii="Arial" w:hAnsi="Arial" w:cs="Arial"/>
          <w:sz w:val="24"/>
          <w:szCs w:val="24"/>
        </w:rPr>
        <w:t xml:space="preserve">notify the </w:t>
      </w:r>
      <w:r w:rsidR="00CD42B5">
        <w:rPr>
          <w:rFonts w:ascii="Arial" w:hAnsi="Arial" w:cs="Arial"/>
          <w:sz w:val="24"/>
          <w:szCs w:val="24"/>
        </w:rPr>
        <w:t>a</w:t>
      </w:r>
      <w:r w:rsidR="009B2027">
        <w:rPr>
          <w:rFonts w:ascii="Arial" w:hAnsi="Arial" w:cs="Arial"/>
          <w:sz w:val="24"/>
          <w:szCs w:val="24"/>
        </w:rPr>
        <w:t>dministering authority</w:t>
      </w:r>
      <w:r w:rsidRPr="002C1E06">
        <w:rPr>
          <w:rFonts w:ascii="Arial" w:hAnsi="Arial" w:cs="Arial"/>
          <w:sz w:val="24"/>
          <w:szCs w:val="24"/>
        </w:rPr>
        <w:t xml:space="preserve"> promptly of all changes to membership, or other changes which affect future funding;</w:t>
      </w:r>
      <w:r w:rsidR="008B5646">
        <w:rPr>
          <w:rFonts w:ascii="Arial" w:hAnsi="Arial" w:cs="Arial"/>
          <w:sz w:val="24"/>
          <w:szCs w:val="24"/>
        </w:rPr>
        <w:t xml:space="preserve"> </w:t>
      </w:r>
    </w:p>
    <w:p w:rsidR="002C1E06" w:rsidRPr="002C1E06" w:rsidRDefault="0002676B" w:rsidP="00121B2F">
      <w:pPr>
        <w:numPr>
          <w:ilvl w:val="0"/>
          <w:numId w:val="16"/>
        </w:numPr>
        <w:jc w:val="both"/>
        <w:rPr>
          <w:rFonts w:ascii="Arial" w:hAnsi="Arial" w:cs="Arial"/>
          <w:sz w:val="24"/>
          <w:szCs w:val="24"/>
        </w:rPr>
      </w:pPr>
      <w:r>
        <w:rPr>
          <w:rFonts w:ascii="Arial" w:hAnsi="Arial" w:cs="Arial"/>
          <w:sz w:val="24"/>
          <w:szCs w:val="24"/>
        </w:rPr>
        <w:t xml:space="preserve">pay any exit payments required in the event of their ceasing participation in the Fund; </w:t>
      </w:r>
      <w:r w:rsidR="008B5646">
        <w:rPr>
          <w:rFonts w:ascii="Arial" w:hAnsi="Arial" w:cs="Arial"/>
          <w:sz w:val="24"/>
          <w:szCs w:val="24"/>
        </w:rPr>
        <w:t>and</w:t>
      </w:r>
    </w:p>
    <w:p w:rsidR="002C1E06" w:rsidRPr="002C1E06" w:rsidRDefault="002C1E06" w:rsidP="00121B2F">
      <w:pPr>
        <w:numPr>
          <w:ilvl w:val="0"/>
          <w:numId w:val="16"/>
        </w:numPr>
        <w:jc w:val="both"/>
        <w:rPr>
          <w:rFonts w:ascii="Arial" w:hAnsi="Arial" w:cs="Arial"/>
          <w:sz w:val="24"/>
          <w:szCs w:val="24"/>
        </w:rPr>
      </w:pPr>
      <w:proofErr w:type="gramStart"/>
      <w:r>
        <w:rPr>
          <w:rFonts w:ascii="Arial" w:hAnsi="Arial" w:cs="Arial"/>
          <w:sz w:val="24"/>
          <w:szCs w:val="24"/>
        </w:rPr>
        <w:t>n</w:t>
      </w:r>
      <w:r w:rsidRPr="002C1E06">
        <w:rPr>
          <w:rFonts w:ascii="Arial" w:hAnsi="Arial" w:cs="Arial"/>
          <w:sz w:val="24"/>
          <w:szCs w:val="24"/>
        </w:rPr>
        <w:t>ote</w:t>
      </w:r>
      <w:proofErr w:type="gramEnd"/>
      <w:r w:rsidRPr="002C1E06">
        <w:rPr>
          <w:rFonts w:ascii="Arial" w:hAnsi="Arial" w:cs="Arial"/>
          <w:sz w:val="24"/>
          <w:szCs w:val="24"/>
        </w:rPr>
        <w:t xml:space="preserve"> and if desired respond to any consultation regarding the Funding Strategy Statement, the Investment </w:t>
      </w:r>
      <w:r w:rsidR="0002676B">
        <w:rPr>
          <w:rFonts w:ascii="Arial" w:hAnsi="Arial" w:cs="Arial"/>
          <w:sz w:val="24"/>
          <w:szCs w:val="24"/>
        </w:rPr>
        <w:t>Strategy Statement</w:t>
      </w:r>
      <w:r w:rsidRPr="002C1E06">
        <w:rPr>
          <w:rFonts w:ascii="Arial" w:hAnsi="Arial" w:cs="Arial"/>
          <w:sz w:val="24"/>
          <w:szCs w:val="24"/>
        </w:rPr>
        <w:t xml:space="preserve"> or other policies.</w:t>
      </w:r>
    </w:p>
    <w:p w:rsidR="00C325AC" w:rsidRDefault="00C325AC">
      <w:pPr>
        <w:rPr>
          <w:rFonts w:ascii="Arial" w:hAnsi="Arial" w:cs="Arial"/>
          <w:b/>
          <w:sz w:val="24"/>
          <w:szCs w:val="24"/>
        </w:rPr>
      </w:pPr>
    </w:p>
    <w:p w:rsidR="00BA54BF" w:rsidRPr="00A24997" w:rsidRDefault="007E1655">
      <w:pPr>
        <w:rPr>
          <w:rFonts w:ascii="Arial" w:hAnsi="Arial" w:cs="Arial"/>
          <w:sz w:val="24"/>
          <w:szCs w:val="24"/>
        </w:rPr>
      </w:pPr>
      <w:r w:rsidRPr="00121B2F">
        <w:rPr>
          <w:rFonts w:ascii="Arial" w:hAnsi="Arial" w:cs="Arial"/>
          <w:sz w:val="24"/>
          <w:szCs w:val="24"/>
        </w:rPr>
        <w:t>The</w:t>
      </w:r>
      <w:r>
        <w:rPr>
          <w:rFonts w:ascii="Arial" w:hAnsi="Arial" w:cs="Arial"/>
          <w:b/>
          <w:sz w:val="24"/>
          <w:szCs w:val="24"/>
        </w:rPr>
        <w:t xml:space="preserve"> Fund A</w:t>
      </w:r>
      <w:r w:rsidR="00BA54BF" w:rsidRPr="00A24997">
        <w:rPr>
          <w:rFonts w:ascii="Arial" w:hAnsi="Arial" w:cs="Arial"/>
          <w:b/>
          <w:sz w:val="24"/>
          <w:szCs w:val="24"/>
        </w:rPr>
        <w:t>ctuary</w:t>
      </w:r>
      <w:r w:rsidR="00BA54BF" w:rsidRPr="00A24997">
        <w:rPr>
          <w:rFonts w:ascii="Arial" w:hAnsi="Arial" w:cs="Arial"/>
          <w:sz w:val="24"/>
          <w:szCs w:val="24"/>
        </w:rPr>
        <w:t xml:space="preserve"> will</w:t>
      </w:r>
      <w:r w:rsidR="00581EEF">
        <w:rPr>
          <w:rFonts w:ascii="Arial" w:hAnsi="Arial" w:cs="Arial"/>
          <w:sz w:val="24"/>
          <w:szCs w:val="24"/>
        </w:rPr>
        <w:t>:</w:t>
      </w:r>
      <w:r w:rsidR="0091425B">
        <w:rPr>
          <w:rFonts w:ascii="Arial" w:hAnsi="Arial" w:cs="Arial"/>
          <w:sz w:val="24"/>
          <w:szCs w:val="24"/>
        </w:rPr>
        <w:t xml:space="preserve"> </w:t>
      </w:r>
    </w:p>
    <w:p w:rsidR="00BA54BF" w:rsidRPr="00A24997" w:rsidRDefault="00BA54BF">
      <w:pPr>
        <w:rPr>
          <w:rFonts w:ascii="Arial" w:hAnsi="Arial" w:cs="Arial"/>
          <w:sz w:val="24"/>
          <w:szCs w:val="24"/>
        </w:rPr>
      </w:pPr>
    </w:p>
    <w:p w:rsidR="002C1E06" w:rsidRPr="00121B2F" w:rsidRDefault="00581EEF" w:rsidP="0034519D">
      <w:pPr>
        <w:numPr>
          <w:ilvl w:val="0"/>
          <w:numId w:val="3"/>
        </w:numPr>
        <w:tabs>
          <w:tab w:val="clear" w:pos="720"/>
          <w:tab w:val="num" w:pos="360"/>
        </w:tabs>
        <w:ind w:left="360"/>
        <w:jc w:val="both"/>
        <w:rPr>
          <w:rFonts w:ascii="Arial" w:hAnsi="Arial" w:cs="Arial"/>
          <w:sz w:val="24"/>
          <w:szCs w:val="24"/>
        </w:rPr>
      </w:pPr>
      <w:r>
        <w:rPr>
          <w:rFonts w:ascii="Arial" w:hAnsi="Arial" w:cs="Arial"/>
          <w:sz w:val="24"/>
          <w:szCs w:val="24"/>
          <w:u w:val="single"/>
        </w:rPr>
        <w:t>P</w:t>
      </w:r>
      <w:r w:rsidR="00BA54BF" w:rsidRPr="001F0B48">
        <w:rPr>
          <w:rFonts w:ascii="Arial" w:hAnsi="Arial" w:cs="Arial"/>
          <w:sz w:val="24"/>
          <w:szCs w:val="24"/>
          <w:u w:val="single"/>
        </w:rPr>
        <w:t>repare</w:t>
      </w:r>
      <w:r w:rsidR="0091425B" w:rsidRPr="001F0B48">
        <w:rPr>
          <w:rFonts w:ascii="Arial" w:hAnsi="Arial" w:cs="Arial"/>
          <w:sz w:val="24"/>
          <w:szCs w:val="24"/>
          <w:u w:val="single"/>
        </w:rPr>
        <w:t xml:space="preserve"> </w:t>
      </w:r>
      <w:r w:rsidR="00F724E3">
        <w:rPr>
          <w:rFonts w:ascii="Arial" w:hAnsi="Arial" w:cs="Arial"/>
          <w:sz w:val="24"/>
          <w:szCs w:val="24"/>
          <w:u w:val="single"/>
        </w:rPr>
        <w:t xml:space="preserve">triennial </w:t>
      </w:r>
      <w:r w:rsidR="0091425B" w:rsidRPr="001F0B48">
        <w:rPr>
          <w:rFonts w:ascii="Arial" w:hAnsi="Arial" w:cs="Arial"/>
          <w:sz w:val="24"/>
          <w:szCs w:val="24"/>
          <w:u w:val="single"/>
        </w:rPr>
        <w:t>actuarial</w:t>
      </w:r>
      <w:r w:rsidR="00BA54BF" w:rsidRPr="001F0B48">
        <w:rPr>
          <w:rFonts w:ascii="Arial" w:hAnsi="Arial" w:cs="Arial"/>
          <w:sz w:val="24"/>
          <w:szCs w:val="24"/>
          <w:u w:val="single"/>
        </w:rPr>
        <w:t xml:space="preserve"> valuations including the setting of employers’ contribution rates </w:t>
      </w:r>
      <w:r w:rsidR="00525C20">
        <w:rPr>
          <w:rFonts w:ascii="Arial" w:hAnsi="Arial" w:cs="Arial"/>
          <w:sz w:val="24"/>
          <w:szCs w:val="24"/>
          <w:u w:val="single"/>
        </w:rPr>
        <w:t xml:space="preserve">at a level to ensure solvency and long term </w:t>
      </w:r>
      <w:r w:rsidR="003C4CD5">
        <w:rPr>
          <w:rFonts w:ascii="Arial" w:hAnsi="Arial" w:cs="Arial"/>
          <w:sz w:val="24"/>
          <w:szCs w:val="24"/>
          <w:u w:val="single"/>
        </w:rPr>
        <w:t xml:space="preserve">cost </w:t>
      </w:r>
      <w:r w:rsidR="00525C20">
        <w:rPr>
          <w:rFonts w:ascii="Arial" w:hAnsi="Arial" w:cs="Arial"/>
          <w:sz w:val="24"/>
          <w:szCs w:val="24"/>
          <w:u w:val="single"/>
        </w:rPr>
        <w:t xml:space="preserve">efficiency </w:t>
      </w:r>
      <w:r w:rsidR="00FD09C9" w:rsidRPr="001F0B48">
        <w:rPr>
          <w:rFonts w:ascii="Arial" w:hAnsi="Arial" w:cs="Arial"/>
          <w:sz w:val="24"/>
          <w:szCs w:val="24"/>
          <w:u w:val="single"/>
        </w:rPr>
        <w:t>and issu</w:t>
      </w:r>
      <w:r w:rsidR="00F724E3">
        <w:rPr>
          <w:rFonts w:ascii="Arial" w:hAnsi="Arial" w:cs="Arial"/>
          <w:sz w:val="24"/>
          <w:szCs w:val="24"/>
          <w:u w:val="single"/>
        </w:rPr>
        <w:t>ing</w:t>
      </w:r>
      <w:r w:rsidR="00FD09C9" w:rsidRPr="001F0B48">
        <w:rPr>
          <w:rFonts w:ascii="Arial" w:hAnsi="Arial" w:cs="Arial"/>
          <w:sz w:val="24"/>
          <w:szCs w:val="24"/>
          <w:u w:val="single"/>
        </w:rPr>
        <w:t xml:space="preserve"> a Rates and Adjustments Certificate, </w:t>
      </w:r>
      <w:r w:rsidR="00BA54BF" w:rsidRPr="001F0B48">
        <w:rPr>
          <w:rFonts w:ascii="Arial" w:hAnsi="Arial" w:cs="Arial"/>
          <w:sz w:val="24"/>
          <w:szCs w:val="24"/>
          <w:u w:val="single"/>
        </w:rPr>
        <w:t xml:space="preserve">after agreeing assumptions with the </w:t>
      </w:r>
      <w:r w:rsidR="00CD42B5">
        <w:rPr>
          <w:rFonts w:ascii="Arial" w:hAnsi="Arial" w:cs="Arial"/>
          <w:sz w:val="24"/>
          <w:szCs w:val="24"/>
          <w:u w:val="single"/>
        </w:rPr>
        <w:t>a</w:t>
      </w:r>
      <w:r w:rsidR="009B2027">
        <w:rPr>
          <w:rFonts w:ascii="Arial" w:hAnsi="Arial" w:cs="Arial"/>
          <w:sz w:val="24"/>
          <w:szCs w:val="24"/>
          <w:u w:val="single"/>
        </w:rPr>
        <w:t>dministering authority</w:t>
      </w:r>
      <w:r w:rsidR="00BA54BF" w:rsidRPr="001F0B48">
        <w:rPr>
          <w:rFonts w:ascii="Arial" w:hAnsi="Arial" w:cs="Arial"/>
          <w:sz w:val="24"/>
          <w:szCs w:val="24"/>
          <w:u w:val="single"/>
        </w:rPr>
        <w:t xml:space="preserve"> and having regard to the Funding Strategy Statement</w:t>
      </w:r>
    </w:p>
    <w:p w:rsidR="002C1E06" w:rsidRDefault="002C1E06" w:rsidP="00121B2F">
      <w:pPr>
        <w:ind w:left="360"/>
        <w:jc w:val="both"/>
        <w:rPr>
          <w:rFonts w:ascii="Arial" w:hAnsi="Arial" w:cs="Arial"/>
          <w:sz w:val="24"/>
          <w:szCs w:val="24"/>
        </w:rPr>
      </w:pPr>
    </w:p>
    <w:p w:rsidR="00BA54BF" w:rsidRPr="00B50765" w:rsidRDefault="00BA54BF" w:rsidP="00121B2F">
      <w:pPr>
        <w:ind w:left="360"/>
        <w:jc w:val="both"/>
        <w:rPr>
          <w:rFonts w:ascii="Arial" w:hAnsi="Arial" w:cs="Arial"/>
          <w:sz w:val="24"/>
          <w:szCs w:val="24"/>
        </w:rPr>
      </w:pPr>
      <w:r w:rsidRPr="001F0B48">
        <w:rPr>
          <w:rFonts w:ascii="Arial" w:hAnsi="Arial" w:cs="Arial"/>
          <w:sz w:val="24"/>
          <w:szCs w:val="24"/>
        </w:rPr>
        <w:t>Valuations will</w:t>
      </w:r>
      <w:r w:rsidR="006326D2">
        <w:rPr>
          <w:rFonts w:ascii="Arial" w:hAnsi="Arial" w:cs="Arial"/>
          <w:sz w:val="24"/>
          <w:szCs w:val="24"/>
        </w:rPr>
        <w:t xml:space="preserve"> </w:t>
      </w:r>
      <w:r w:rsidRPr="001F0B48">
        <w:rPr>
          <w:rFonts w:ascii="Arial" w:hAnsi="Arial" w:cs="Arial"/>
          <w:sz w:val="24"/>
          <w:szCs w:val="24"/>
        </w:rPr>
        <w:t xml:space="preserve">be prepared in accordance with generally accepted actuarial methods and reported on in accordance with </w:t>
      </w:r>
      <w:r w:rsidR="00882BFE" w:rsidRPr="001F0B48">
        <w:rPr>
          <w:rFonts w:ascii="Arial" w:hAnsi="Arial" w:cs="Arial"/>
          <w:sz w:val="24"/>
          <w:szCs w:val="24"/>
        </w:rPr>
        <w:t xml:space="preserve">current </w:t>
      </w:r>
      <w:r w:rsidR="004108F5" w:rsidRPr="00B50765">
        <w:rPr>
          <w:rFonts w:ascii="Arial" w:hAnsi="Arial" w:cs="Arial"/>
          <w:sz w:val="24"/>
          <w:szCs w:val="24"/>
        </w:rPr>
        <w:t xml:space="preserve">actuarial </w:t>
      </w:r>
      <w:r w:rsidR="00882BFE" w:rsidRPr="00B50765">
        <w:rPr>
          <w:rFonts w:ascii="Arial" w:hAnsi="Arial" w:cs="Arial"/>
          <w:sz w:val="24"/>
          <w:szCs w:val="24"/>
        </w:rPr>
        <w:t>reporting Standards</w:t>
      </w:r>
      <w:r w:rsidRPr="000E0D49">
        <w:rPr>
          <w:rFonts w:ascii="Arial" w:hAnsi="Arial" w:cs="Arial"/>
          <w:sz w:val="24"/>
          <w:szCs w:val="24"/>
        </w:rPr>
        <w:t xml:space="preserve"> issued by the </w:t>
      </w:r>
      <w:r w:rsidR="00CA00CD" w:rsidRPr="000E0D49">
        <w:rPr>
          <w:rFonts w:ascii="Arial" w:hAnsi="Arial" w:cs="Arial"/>
          <w:sz w:val="24"/>
          <w:szCs w:val="24"/>
        </w:rPr>
        <w:t>Financial Reporting Council</w:t>
      </w:r>
      <w:r w:rsidRPr="000E0D49">
        <w:rPr>
          <w:rFonts w:ascii="Arial" w:hAnsi="Arial" w:cs="Arial"/>
          <w:sz w:val="24"/>
          <w:szCs w:val="24"/>
        </w:rPr>
        <w:t xml:space="preserve">, to the extent that the </w:t>
      </w:r>
      <w:r w:rsidR="00882BFE" w:rsidRPr="000E0D49">
        <w:rPr>
          <w:rFonts w:ascii="Arial" w:hAnsi="Arial" w:cs="Arial"/>
          <w:sz w:val="24"/>
          <w:szCs w:val="24"/>
        </w:rPr>
        <w:t>Standards</w:t>
      </w:r>
      <w:r w:rsidR="004108F5" w:rsidRPr="000E0D49">
        <w:rPr>
          <w:rFonts w:ascii="Arial" w:hAnsi="Arial" w:cs="Arial"/>
          <w:sz w:val="24"/>
          <w:szCs w:val="24"/>
        </w:rPr>
        <w:t xml:space="preserve"> are</w:t>
      </w:r>
      <w:r w:rsidRPr="000E0D49">
        <w:rPr>
          <w:rFonts w:ascii="Arial" w:hAnsi="Arial" w:cs="Arial"/>
          <w:sz w:val="24"/>
          <w:szCs w:val="24"/>
        </w:rPr>
        <w:t xml:space="preserve"> relevant to the </w:t>
      </w:r>
      <w:r w:rsidR="006326D2">
        <w:rPr>
          <w:rFonts w:ascii="Arial" w:hAnsi="Arial" w:cs="Arial"/>
          <w:sz w:val="24"/>
          <w:szCs w:val="24"/>
        </w:rPr>
        <w:t>Fund</w:t>
      </w:r>
      <w:r w:rsidRPr="000E0D49">
        <w:rPr>
          <w:rFonts w:ascii="Arial" w:hAnsi="Arial" w:cs="Arial"/>
          <w:sz w:val="24"/>
          <w:szCs w:val="24"/>
        </w:rPr>
        <w:t>.</w:t>
      </w:r>
    </w:p>
    <w:p w:rsidR="00BA54BF" w:rsidRPr="00A24997" w:rsidRDefault="00BA54BF" w:rsidP="00256434">
      <w:pPr>
        <w:ind w:left="180" w:hanging="540"/>
        <w:jc w:val="both"/>
        <w:rPr>
          <w:rFonts w:ascii="Arial" w:hAnsi="Arial" w:cs="Arial"/>
          <w:sz w:val="24"/>
          <w:szCs w:val="24"/>
        </w:rPr>
      </w:pPr>
    </w:p>
    <w:p w:rsidR="00F724E3" w:rsidRDefault="00BA54BF" w:rsidP="0034519D">
      <w:pPr>
        <w:numPr>
          <w:ilvl w:val="0"/>
          <w:numId w:val="3"/>
        </w:numPr>
        <w:tabs>
          <w:tab w:val="clear" w:pos="720"/>
          <w:tab w:val="num" w:pos="360"/>
        </w:tabs>
        <w:ind w:left="360"/>
        <w:jc w:val="both"/>
        <w:rPr>
          <w:rFonts w:ascii="Arial" w:hAnsi="Arial" w:cs="Arial"/>
          <w:sz w:val="24"/>
          <w:szCs w:val="24"/>
          <w:u w:val="single"/>
        </w:rPr>
      </w:pPr>
      <w:r w:rsidRPr="00A24997">
        <w:rPr>
          <w:rFonts w:ascii="Arial" w:hAnsi="Arial" w:cs="Arial"/>
          <w:sz w:val="24"/>
          <w:szCs w:val="24"/>
          <w:u w:val="single"/>
        </w:rPr>
        <w:t>Prepare advice and calculations in connection with</w:t>
      </w:r>
    </w:p>
    <w:p w:rsidR="00F724E3" w:rsidRDefault="00F724E3" w:rsidP="00121B2F">
      <w:pPr>
        <w:pStyle w:val="ListParagraph"/>
        <w:ind w:hanging="720"/>
        <w:rPr>
          <w:rFonts w:ascii="Arial" w:hAnsi="Arial" w:cs="Arial"/>
          <w:sz w:val="24"/>
          <w:szCs w:val="24"/>
          <w:u w:val="single"/>
        </w:rPr>
      </w:pPr>
    </w:p>
    <w:p w:rsidR="002C1E06" w:rsidRPr="00121B2F" w:rsidRDefault="002C1E06" w:rsidP="00121B2F">
      <w:pPr>
        <w:pStyle w:val="ListParagraph"/>
        <w:numPr>
          <w:ilvl w:val="0"/>
          <w:numId w:val="16"/>
        </w:numPr>
        <w:jc w:val="both"/>
        <w:rPr>
          <w:rFonts w:ascii="Arial" w:hAnsi="Arial" w:cs="Arial"/>
          <w:sz w:val="24"/>
          <w:szCs w:val="24"/>
        </w:rPr>
      </w:pPr>
      <w:r w:rsidRPr="00121B2F">
        <w:rPr>
          <w:rFonts w:ascii="Arial" w:hAnsi="Arial" w:cs="Arial"/>
          <w:sz w:val="24"/>
          <w:szCs w:val="24"/>
        </w:rPr>
        <w:t>bulk transfers and individual benefit-related matters</w:t>
      </w:r>
      <w:r>
        <w:rPr>
          <w:rFonts w:ascii="Arial" w:hAnsi="Arial" w:cs="Arial"/>
          <w:sz w:val="24"/>
          <w:szCs w:val="24"/>
        </w:rPr>
        <w:t>;</w:t>
      </w:r>
    </w:p>
    <w:p w:rsidR="002C1E06" w:rsidRPr="00121B2F" w:rsidRDefault="002C1E06" w:rsidP="00121B2F">
      <w:pPr>
        <w:pStyle w:val="ListParagraph"/>
        <w:numPr>
          <w:ilvl w:val="0"/>
          <w:numId w:val="16"/>
        </w:numPr>
        <w:jc w:val="both"/>
        <w:rPr>
          <w:rFonts w:ascii="Arial" w:hAnsi="Arial" w:cs="Arial"/>
          <w:sz w:val="24"/>
          <w:szCs w:val="24"/>
        </w:rPr>
      </w:pPr>
      <w:r w:rsidRPr="00121B2F">
        <w:rPr>
          <w:rFonts w:ascii="Arial" w:hAnsi="Arial" w:cs="Arial"/>
          <w:sz w:val="24"/>
          <w:szCs w:val="24"/>
        </w:rPr>
        <w:t xml:space="preserve">valuations on the </w:t>
      </w:r>
      <w:r w:rsidR="002250F1">
        <w:rPr>
          <w:rFonts w:ascii="Arial" w:hAnsi="Arial" w:cs="Arial"/>
          <w:sz w:val="24"/>
          <w:szCs w:val="24"/>
        </w:rPr>
        <w:t>termination</w:t>
      </w:r>
      <w:r w:rsidR="002250F1" w:rsidRPr="00121B2F">
        <w:rPr>
          <w:rFonts w:ascii="Arial" w:hAnsi="Arial" w:cs="Arial"/>
          <w:sz w:val="24"/>
          <w:szCs w:val="24"/>
        </w:rPr>
        <w:t xml:space="preserve"> </w:t>
      </w:r>
      <w:r w:rsidRPr="00121B2F">
        <w:rPr>
          <w:rFonts w:ascii="Arial" w:hAnsi="Arial" w:cs="Arial"/>
          <w:sz w:val="24"/>
          <w:szCs w:val="24"/>
        </w:rPr>
        <w:t>of admission agreements or when an employer ceas</w:t>
      </w:r>
      <w:r w:rsidRPr="00DB0D92">
        <w:rPr>
          <w:rFonts w:ascii="Arial" w:hAnsi="Arial" w:cs="Arial"/>
          <w:sz w:val="24"/>
          <w:szCs w:val="24"/>
        </w:rPr>
        <w:t>es to employ any active members</w:t>
      </w:r>
      <w:r>
        <w:rPr>
          <w:rFonts w:ascii="Arial" w:hAnsi="Arial" w:cs="Arial"/>
          <w:sz w:val="24"/>
          <w:szCs w:val="24"/>
        </w:rPr>
        <w:t>; and</w:t>
      </w:r>
    </w:p>
    <w:p w:rsidR="002C1E06" w:rsidRPr="00121B2F" w:rsidRDefault="002C1E06" w:rsidP="00121B2F">
      <w:pPr>
        <w:pStyle w:val="ListParagraph"/>
        <w:numPr>
          <w:ilvl w:val="0"/>
          <w:numId w:val="16"/>
        </w:numPr>
        <w:jc w:val="both"/>
        <w:rPr>
          <w:rFonts w:ascii="Arial" w:hAnsi="Arial" w:cs="Arial"/>
          <w:sz w:val="24"/>
          <w:szCs w:val="24"/>
        </w:rPr>
      </w:pPr>
      <w:r w:rsidRPr="00121B2F">
        <w:rPr>
          <w:rFonts w:ascii="Arial" w:hAnsi="Arial" w:cs="Arial"/>
          <w:sz w:val="24"/>
          <w:szCs w:val="24"/>
        </w:rPr>
        <w:t>bonds and other forms of security against the financial effect on the Fund of employer's default</w:t>
      </w:r>
      <w:r>
        <w:rPr>
          <w:rFonts w:ascii="Arial" w:hAnsi="Arial" w:cs="Arial"/>
          <w:sz w:val="24"/>
          <w:szCs w:val="24"/>
        </w:rPr>
        <w:t>.</w:t>
      </w:r>
    </w:p>
    <w:p w:rsidR="002C1E06" w:rsidRDefault="002C1E06" w:rsidP="00121B2F">
      <w:pPr>
        <w:pStyle w:val="ListParagraph"/>
        <w:ind w:hanging="720"/>
        <w:rPr>
          <w:rFonts w:ascii="Arial" w:hAnsi="Arial" w:cs="Arial"/>
          <w:sz w:val="24"/>
          <w:szCs w:val="24"/>
        </w:rPr>
      </w:pPr>
    </w:p>
    <w:p w:rsidR="00F724E3" w:rsidRPr="00DB0D92" w:rsidRDefault="002C1E06" w:rsidP="00F724E3">
      <w:pPr>
        <w:numPr>
          <w:ilvl w:val="0"/>
          <w:numId w:val="3"/>
        </w:numPr>
        <w:tabs>
          <w:tab w:val="clear" w:pos="720"/>
          <w:tab w:val="num" w:pos="360"/>
        </w:tabs>
        <w:ind w:left="360"/>
        <w:jc w:val="both"/>
        <w:rPr>
          <w:rFonts w:ascii="Arial" w:hAnsi="Arial" w:cs="Arial"/>
          <w:sz w:val="24"/>
          <w:szCs w:val="24"/>
          <w:u w:val="single"/>
        </w:rPr>
      </w:pPr>
      <w:r w:rsidRPr="00121B2F">
        <w:rPr>
          <w:rFonts w:ascii="Arial" w:hAnsi="Arial" w:cs="Arial"/>
          <w:sz w:val="24"/>
          <w:szCs w:val="24"/>
          <w:u w:val="single"/>
        </w:rPr>
        <w:t>A</w:t>
      </w:r>
      <w:r w:rsidR="00F724E3" w:rsidRPr="00121B2F">
        <w:rPr>
          <w:rFonts w:ascii="Arial" w:hAnsi="Arial" w:cs="Arial"/>
          <w:sz w:val="24"/>
          <w:szCs w:val="24"/>
          <w:u w:val="single"/>
        </w:rPr>
        <w:t xml:space="preserve">ssist the </w:t>
      </w:r>
      <w:r w:rsidR="00CD42B5">
        <w:rPr>
          <w:rFonts w:ascii="Arial" w:hAnsi="Arial" w:cs="Arial"/>
          <w:sz w:val="24"/>
          <w:szCs w:val="24"/>
          <w:u w:val="single"/>
        </w:rPr>
        <w:t>a</w:t>
      </w:r>
      <w:r w:rsidR="009B2027">
        <w:rPr>
          <w:rFonts w:ascii="Arial" w:hAnsi="Arial" w:cs="Arial"/>
          <w:sz w:val="24"/>
          <w:szCs w:val="24"/>
          <w:u w:val="single"/>
        </w:rPr>
        <w:t>dministering authority</w:t>
      </w:r>
      <w:r w:rsidR="00F724E3" w:rsidRPr="00121B2F">
        <w:rPr>
          <w:rFonts w:ascii="Arial" w:hAnsi="Arial" w:cs="Arial"/>
          <w:sz w:val="24"/>
          <w:szCs w:val="24"/>
          <w:u w:val="single"/>
        </w:rPr>
        <w:t xml:space="preserve"> in assessing whether employer contributions need to be revised between actuarial valuations as required </w:t>
      </w:r>
      <w:r w:rsidR="00525C20">
        <w:rPr>
          <w:rFonts w:ascii="Arial" w:hAnsi="Arial" w:cs="Arial"/>
          <w:sz w:val="24"/>
          <w:szCs w:val="24"/>
          <w:u w:val="single"/>
        </w:rPr>
        <w:t xml:space="preserve">or permitted </w:t>
      </w:r>
      <w:r w:rsidR="00F724E3" w:rsidRPr="00121B2F">
        <w:rPr>
          <w:rFonts w:ascii="Arial" w:hAnsi="Arial" w:cs="Arial"/>
          <w:sz w:val="24"/>
          <w:szCs w:val="24"/>
          <w:u w:val="single"/>
        </w:rPr>
        <w:t xml:space="preserve">by the </w:t>
      </w:r>
      <w:r w:rsidR="00373E14">
        <w:rPr>
          <w:rFonts w:ascii="Arial" w:hAnsi="Arial" w:cs="Arial"/>
          <w:sz w:val="24"/>
          <w:szCs w:val="24"/>
          <w:u w:val="single"/>
        </w:rPr>
        <w:t>2013 Regulations</w:t>
      </w:r>
    </w:p>
    <w:p w:rsidR="00F724E3" w:rsidRPr="00F724E3" w:rsidRDefault="00F724E3" w:rsidP="00F724E3">
      <w:pPr>
        <w:jc w:val="both"/>
        <w:rPr>
          <w:rFonts w:ascii="Arial" w:hAnsi="Arial" w:cs="Arial"/>
          <w:sz w:val="24"/>
          <w:szCs w:val="24"/>
          <w:u w:val="single"/>
        </w:rPr>
      </w:pPr>
    </w:p>
    <w:p w:rsidR="00F724E3" w:rsidRDefault="002C1E06" w:rsidP="00F724E3">
      <w:pPr>
        <w:numPr>
          <w:ilvl w:val="0"/>
          <w:numId w:val="3"/>
        </w:numPr>
        <w:tabs>
          <w:tab w:val="clear" w:pos="720"/>
          <w:tab w:val="num" w:pos="360"/>
        </w:tabs>
        <w:ind w:left="360"/>
        <w:jc w:val="both"/>
        <w:rPr>
          <w:rFonts w:ascii="Arial" w:hAnsi="Arial" w:cs="Arial"/>
          <w:sz w:val="24"/>
          <w:szCs w:val="24"/>
          <w:u w:val="single"/>
        </w:rPr>
      </w:pPr>
      <w:r w:rsidRPr="00121B2F">
        <w:rPr>
          <w:rFonts w:ascii="Arial" w:hAnsi="Arial" w:cs="Arial"/>
          <w:sz w:val="24"/>
          <w:szCs w:val="24"/>
          <w:u w:val="single"/>
        </w:rPr>
        <w:t>E</w:t>
      </w:r>
      <w:r w:rsidR="009A41EF" w:rsidRPr="00121B2F">
        <w:rPr>
          <w:rFonts w:ascii="Arial" w:hAnsi="Arial" w:cs="Arial"/>
          <w:sz w:val="24"/>
          <w:szCs w:val="24"/>
          <w:u w:val="single"/>
        </w:rPr>
        <w:t xml:space="preserve">nsure that the </w:t>
      </w:r>
      <w:r w:rsidR="00CD42B5">
        <w:rPr>
          <w:rFonts w:ascii="Arial" w:hAnsi="Arial" w:cs="Arial"/>
          <w:sz w:val="24"/>
          <w:szCs w:val="24"/>
          <w:u w:val="single"/>
        </w:rPr>
        <w:t>a</w:t>
      </w:r>
      <w:r w:rsidR="009B2027">
        <w:rPr>
          <w:rFonts w:ascii="Arial" w:hAnsi="Arial" w:cs="Arial"/>
          <w:sz w:val="24"/>
          <w:szCs w:val="24"/>
          <w:u w:val="single"/>
        </w:rPr>
        <w:t>dministering authority</w:t>
      </w:r>
      <w:r w:rsidR="009A41EF" w:rsidRPr="00121B2F">
        <w:rPr>
          <w:rFonts w:ascii="Arial" w:hAnsi="Arial" w:cs="Arial"/>
          <w:sz w:val="24"/>
          <w:szCs w:val="24"/>
          <w:u w:val="single"/>
        </w:rPr>
        <w:t xml:space="preserve"> is aware of any professional guidance requirements which </w:t>
      </w:r>
      <w:r w:rsidR="009A41EF" w:rsidRPr="008F583F">
        <w:rPr>
          <w:rFonts w:ascii="Arial" w:hAnsi="Arial" w:cs="Arial"/>
          <w:sz w:val="24"/>
          <w:szCs w:val="24"/>
          <w:u w:val="single"/>
        </w:rPr>
        <w:t xml:space="preserve">may be of </w:t>
      </w:r>
      <w:r w:rsidR="009A41EF" w:rsidRPr="00916E73">
        <w:rPr>
          <w:rFonts w:ascii="Arial" w:hAnsi="Arial" w:cs="Arial"/>
          <w:sz w:val="24"/>
          <w:szCs w:val="24"/>
          <w:u w:val="single"/>
        </w:rPr>
        <w:t xml:space="preserve">relevance to </w:t>
      </w:r>
      <w:r w:rsidR="00286E59" w:rsidRPr="00916E73">
        <w:rPr>
          <w:rFonts w:ascii="Arial" w:hAnsi="Arial" w:cs="Arial"/>
          <w:sz w:val="24"/>
          <w:szCs w:val="24"/>
          <w:u w:val="single"/>
        </w:rPr>
        <w:t xml:space="preserve">the </w:t>
      </w:r>
      <w:r w:rsidR="002B5066" w:rsidRPr="00916E73">
        <w:rPr>
          <w:rFonts w:ascii="Arial" w:hAnsi="Arial" w:cs="Arial"/>
          <w:sz w:val="24"/>
          <w:szCs w:val="24"/>
          <w:u w:val="single"/>
        </w:rPr>
        <w:t xml:space="preserve">Fund </w:t>
      </w:r>
      <w:r w:rsidR="00286E59" w:rsidRPr="00916E73">
        <w:rPr>
          <w:rFonts w:ascii="Arial" w:hAnsi="Arial" w:cs="Arial"/>
          <w:sz w:val="24"/>
          <w:szCs w:val="24"/>
          <w:u w:val="single"/>
        </w:rPr>
        <w:t>Actuary's</w:t>
      </w:r>
      <w:r w:rsidR="009A41EF" w:rsidRPr="00916E73">
        <w:rPr>
          <w:rFonts w:ascii="Arial" w:hAnsi="Arial" w:cs="Arial"/>
          <w:sz w:val="24"/>
          <w:szCs w:val="24"/>
          <w:u w:val="single"/>
        </w:rPr>
        <w:t xml:space="preserve"> role</w:t>
      </w:r>
      <w:r w:rsidR="009A41EF" w:rsidRPr="008F583F">
        <w:rPr>
          <w:rFonts w:ascii="Arial" w:hAnsi="Arial" w:cs="Arial"/>
          <w:sz w:val="24"/>
          <w:szCs w:val="24"/>
          <w:u w:val="single"/>
        </w:rPr>
        <w:t xml:space="preserve"> in</w:t>
      </w:r>
      <w:r w:rsidR="009A41EF" w:rsidRPr="00121B2F">
        <w:rPr>
          <w:rFonts w:ascii="Arial" w:hAnsi="Arial" w:cs="Arial"/>
          <w:sz w:val="24"/>
          <w:szCs w:val="24"/>
          <w:u w:val="single"/>
        </w:rPr>
        <w:t xml:space="preserve"> advising the </w:t>
      </w:r>
      <w:r w:rsidR="00CD42B5">
        <w:rPr>
          <w:rFonts w:ascii="Arial" w:hAnsi="Arial" w:cs="Arial"/>
          <w:sz w:val="24"/>
          <w:szCs w:val="24"/>
          <w:u w:val="single"/>
        </w:rPr>
        <w:t>a</w:t>
      </w:r>
      <w:r w:rsidR="009B2027">
        <w:rPr>
          <w:rFonts w:ascii="Arial" w:hAnsi="Arial" w:cs="Arial"/>
          <w:sz w:val="24"/>
          <w:szCs w:val="24"/>
          <w:u w:val="single"/>
        </w:rPr>
        <w:t>dministering authority</w:t>
      </w:r>
    </w:p>
    <w:p w:rsidR="00581EEF" w:rsidRDefault="00581EEF" w:rsidP="009A41EF">
      <w:pPr>
        <w:jc w:val="both"/>
        <w:rPr>
          <w:rFonts w:ascii="Arial" w:hAnsi="Arial" w:cs="Arial"/>
          <w:sz w:val="24"/>
          <w:szCs w:val="24"/>
          <w:u w:val="single"/>
        </w:rPr>
      </w:pPr>
    </w:p>
    <w:p w:rsidR="00BA54BF" w:rsidRDefault="00BA54BF" w:rsidP="00121B2F">
      <w:pPr>
        <w:ind w:left="360"/>
        <w:jc w:val="both"/>
        <w:rPr>
          <w:rFonts w:ascii="Arial" w:hAnsi="Arial" w:cs="Arial"/>
          <w:sz w:val="24"/>
          <w:szCs w:val="24"/>
        </w:rPr>
      </w:pPr>
      <w:r w:rsidRPr="00A24997">
        <w:rPr>
          <w:rFonts w:ascii="Arial" w:hAnsi="Arial" w:cs="Arial"/>
          <w:sz w:val="24"/>
          <w:szCs w:val="24"/>
        </w:rPr>
        <w:t>Such advice will</w:t>
      </w:r>
      <w:r w:rsidR="00B143AD">
        <w:rPr>
          <w:rFonts w:ascii="Arial" w:hAnsi="Arial" w:cs="Arial"/>
          <w:sz w:val="24"/>
          <w:szCs w:val="24"/>
        </w:rPr>
        <w:t>,</w:t>
      </w:r>
      <w:r w:rsidRPr="00A24997">
        <w:rPr>
          <w:rFonts w:ascii="Arial" w:hAnsi="Arial" w:cs="Arial"/>
          <w:sz w:val="24"/>
          <w:szCs w:val="24"/>
        </w:rPr>
        <w:t xml:space="preserve"> </w:t>
      </w:r>
      <w:r w:rsidR="009A41EF">
        <w:rPr>
          <w:rFonts w:ascii="Arial" w:hAnsi="Arial" w:cs="Arial"/>
          <w:sz w:val="24"/>
          <w:szCs w:val="24"/>
        </w:rPr>
        <w:t>where appropriate</w:t>
      </w:r>
      <w:r w:rsidR="00B143AD">
        <w:rPr>
          <w:rFonts w:ascii="Arial" w:hAnsi="Arial" w:cs="Arial"/>
          <w:sz w:val="24"/>
          <w:szCs w:val="24"/>
        </w:rPr>
        <w:t>,</w:t>
      </w:r>
      <w:r w:rsidR="009A41EF">
        <w:rPr>
          <w:rFonts w:ascii="Arial" w:hAnsi="Arial" w:cs="Arial"/>
          <w:sz w:val="24"/>
          <w:szCs w:val="24"/>
        </w:rPr>
        <w:t xml:space="preserve"> </w:t>
      </w:r>
      <w:r w:rsidRPr="00A24997">
        <w:rPr>
          <w:rFonts w:ascii="Arial" w:hAnsi="Arial" w:cs="Arial"/>
          <w:sz w:val="24"/>
          <w:szCs w:val="24"/>
        </w:rPr>
        <w:t>take accou</w:t>
      </w:r>
      <w:r w:rsidR="001149D8" w:rsidRPr="00A24997">
        <w:rPr>
          <w:rFonts w:ascii="Arial" w:hAnsi="Arial" w:cs="Arial"/>
          <w:sz w:val="24"/>
          <w:szCs w:val="24"/>
        </w:rPr>
        <w:t xml:space="preserve">nt of the funding position and </w:t>
      </w:r>
      <w:r w:rsidR="00B13D38">
        <w:rPr>
          <w:rFonts w:ascii="Arial" w:hAnsi="Arial" w:cs="Arial"/>
          <w:sz w:val="24"/>
          <w:szCs w:val="24"/>
        </w:rPr>
        <w:t xml:space="preserve">funding and investment </w:t>
      </w:r>
      <w:r w:rsidR="001149D8" w:rsidRPr="00A24997">
        <w:rPr>
          <w:rFonts w:ascii="Arial" w:hAnsi="Arial" w:cs="Arial"/>
          <w:sz w:val="24"/>
          <w:szCs w:val="24"/>
        </w:rPr>
        <w:t>s</w:t>
      </w:r>
      <w:r w:rsidRPr="00A24997">
        <w:rPr>
          <w:rFonts w:ascii="Arial" w:hAnsi="Arial" w:cs="Arial"/>
          <w:sz w:val="24"/>
          <w:szCs w:val="24"/>
        </w:rPr>
        <w:t>trategy of the Fund, along with other relevant matters.</w:t>
      </w:r>
    </w:p>
    <w:p w:rsidR="0091425B" w:rsidRDefault="0091425B" w:rsidP="00B74C7C">
      <w:pPr>
        <w:jc w:val="both"/>
        <w:rPr>
          <w:rFonts w:ascii="Arial" w:hAnsi="Arial" w:cs="Arial"/>
          <w:sz w:val="24"/>
          <w:szCs w:val="24"/>
        </w:rPr>
      </w:pPr>
    </w:p>
    <w:p w:rsidR="00256434" w:rsidRPr="00681B91" w:rsidRDefault="00256434">
      <w:pPr>
        <w:jc w:val="both"/>
        <w:rPr>
          <w:rFonts w:ascii="Arial" w:hAnsi="Arial" w:cs="Arial"/>
          <w:b/>
          <w:sz w:val="24"/>
          <w:szCs w:val="24"/>
          <w:u w:val="single"/>
        </w:rPr>
      </w:pPr>
      <w:r>
        <w:rPr>
          <w:rFonts w:ascii="Arial" w:hAnsi="Arial" w:cs="Arial"/>
          <w:b/>
          <w:sz w:val="24"/>
          <w:szCs w:val="24"/>
          <w:u w:val="single"/>
        </w:rPr>
        <w:br w:type="page"/>
      </w:r>
      <w:r w:rsidRPr="00681B91">
        <w:rPr>
          <w:rFonts w:ascii="Arial" w:hAnsi="Arial" w:cs="Arial"/>
          <w:b/>
          <w:sz w:val="24"/>
          <w:szCs w:val="24"/>
          <w:u w:val="single"/>
        </w:rPr>
        <w:lastRenderedPageBreak/>
        <w:t xml:space="preserve">4. </w:t>
      </w:r>
      <w:r w:rsidR="007205F8" w:rsidRPr="00681B91">
        <w:rPr>
          <w:rFonts w:ascii="Arial" w:hAnsi="Arial" w:cs="Arial"/>
          <w:b/>
          <w:sz w:val="24"/>
          <w:szCs w:val="24"/>
          <w:u w:val="single"/>
        </w:rPr>
        <w:t xml:space="preserve">FUNDING </w:t>
      </w:r>
      <w:r w:rsidR="00164D19">
        <w:rPr>
          <w:rFonts w:ascii="Arial" w:hAnsi="Arial" w:cs="Arial"/>
          <w:b/>
          <w:sz w:val="24"/>
          <w:szCs w:val="24"/>
          <w:u w:val="single"/>
        </w:rPr>
        <w:t>STRATEGY</w:t>
      </w:r>
    </w:p>
    <w:p w:rsidR="002C1E06" w:rsidRDefault="002C1E06">
      <w:pPr>
        <w:jc w:val="both"/>
        <w:rPr>
          <w:rFonts w:ascii="Arial" w:hAnsi="Arial" w:cs="Arial"/>
          <w:b/>
          <w:sz w:val="24"/>
          <w:szCs w:val="24"/>
          <w:u w:val="single"/>
        </w:rPr>
      </w:pPr>
    </w:p>
    <w:p w:rsidR="002C1E06" w:rsidRPr="00121B2F" w:rsidRDefault="002C1E06" w:rsidP="001638F8">
      <w:pPr>
        <w:jc w:val="both"/>
        <w:outlineLvl w:val="0"/>
        <w:rPr>
          <w:rFonts w:ascii="Arial" w:hAnsi="Arial" w:cs="Arial"/>
          <w:b/>
          <w:sz w:val="24"/>
          <w:szCs w:val="24"/>
        </w:rPr>
      </w:pPr>
      <w:r w:rsidRPr="00DB0D92">
        <w:rPr>
          <w:rFonts w:ascii="Arial" w:hAnsi="Arial" w:cs="Arial"/>
          <w:b/>
          <w:sz w:val="24"/>
          <w:szCs w:val="24"/>
        </w:rPr>
        <w:t xml:space="preserve">Risk </w:t>
      </w:r>
      <w:r>
        <w:rPr>
          <w:rFonts w:ascii="Arial" w:hAnsi="Arial" w:cs="Arial"/>
          <w:b/>
          <w:sz w:val="24"/>
          <w:szCs w:val="24"/>
        </w:rPr>
        <w:t>b</w:t>
      </w:r>
      <w:r w:rsidRPr="00DB0D92">
        <w:rPr>
          <w:rFonts w:ascii="Arial" w:hAnsi="Arial" w:cs="Arial"/>
          <w:b/>
          <w:sz w:val="24"/>
          <w:szCs w:val="24"/>
        </w:rPr>
        <w:t xml:space="preserve">ased </w:t>
      </w:r>
      <w:r>
        <w:rPr>
          <w:rFonts w:ascii="Arial" w:hAnsi="Arial" w:cs="Arial"/>
          <w:b/>
          <w:sz w:val="24"/>
          <w:szCs w:val="24"/>
        </w:rPr>
        <w:t>a</w:t>
      </w:r>
      <w:r w:rsidRPr="00121B2F">
        <w:rPr>
          <w:rFonts w:ascii="Arial" w:hAnsi="Arial" w:cs="Arial"/>
          <w:b/>
          <w:sz w:val="24"/>
          <w:szCs w:val="24"/>
        </w:rPr>
        <w:t>pproach</w:t>
      </w:r>
    </w:p>
    <w:p w:rsidR="002C1E06" w:rsidRDefault="002C1E06">
      <w:pPr>
        <w:jc w:val="both"/>
        <w:rPr>
          <w:rFonts w:ascii="Arial" w:hAnsi="Arial" w:cs="Arial"/>
          <w:b/>
          <w:sz w:val="24"/>
          <w:szCs w:val="24"/>
          <w:u w:val="single"/>
        </w:rPr>
      </w:pPr>
    </w:p>
    <w:p w:rsidR="002C1E06" w:rsidRDefault="002C1E06" w:rsidP="001638F8">
      <w:pPr>
        <w:jc w:val="both"/>
        <w:outlineLvl w:val="0"/>
        <w:rPr>
          <w:rFonts w:ascii="Arial" w:hAnsi="Arial" w:cs="Arial"/>
          <w:sz w:val="24"/>
          <w:szCs w:val="24"/>
        </w:rPr>
      </w:pPr>
      <w:r w:rsidRPr="002C1E06">
        <w:rPr>
          <w:rFonts w:ascii="Arial" w:hAnsi="Arial" w:cs="Arial"/>
          <w:sz w:val="24"/>
          <w:szCs w:val="24"/>
        </w:rPr>
        <w:t xml:space="preserve">The Fund utilises a risk based approach to funding strategy. </w:t>
      </w:r>
    </w:p>
    <w:p w:rsidR="002C1E06" w:rsidRPr="002C1E06" w:rsidRDefault="002C1E06" w:rsidP="002C1E06">
      <w:pPr>
        <w:jc w:val="both"/>
        <w:rPr>
          <w:rFonts w:ascii="Arial" w:hAnsi="Arial" w:cs="Arial"/>
          <w:b/>
          <w:sz w:val="24"/>
          <w:szCs w:val="24"/>
        </w:rPr>
      </w:pPr>
    </w:p>
    <w:p w:rsidR="002C1E06" w:rsidRDefault="002C1E06" w:rsidP="002C1E06">
      <w:pPr>
        <w:jc w:val="both"/>
        <w:rPr>
          <w:rFonts w:ascii="Arial" w:hAnsi="Arial" w:cs="Arial"/>
          <w:sz w:val="24"/>
          <w:szCs w:val="24"/>
        </w:rPr>
      </w:pPr>
      <w:r w:rsidRPr="002C1E06">
        <w:rPr>
          <w:rFonts w:ascii="Arial" w:hAnsi="Arial" w:cs="Arial"/>
          <w:sz w:val="24"/>
          <w:szCs w:val="24"/>
        </w:rPr>
        <w:t xml:space="preserve">A risk based approach entails carrying out the actuarial valuation on the basis of the assessed likelihood of meeting the funding objectives. </w:t>
      </w:r>
      <w:r>
        <w:rPr>
          <w:rFonts w:ascii="Arial" w:hAnsi="Arial" w:cs="Arial"/>
          <w:sz w:val="24"/>
          <w:szCs w:val="24"/>
        </w:rPr>
        <w:t xml:space="preserve"> </w:t>
      </w:r>
      <w:r w:rsidRPr="002C1E06">
        <w:rPr>
          <w:rFonts w:ascii="Arial" w:hAnsi="Arial" w:cs="Arial"/>
          <w:sz w:val="24"/>
          <w:szCs w:val="24"/>
        </w:rPr>
        <w:t xml:space="preserve">In practice, three key decisions are required for the risk based approach: </w:t>
      </w:r>
    </w:p>
    <w:p w:rsidR="002C1E06" w:rsidRPr="002C1E06" w:rsidRDefault="002C1E06" w:rsidP="002C1E06">
      <w:pPr>
        <w:jc w:val="both"/>
        <w:rPr>
          <w:rFonts w:ascii="Arial" w:hAnsi="Arial" w:cs="Arial"/>
          <w:sz w:val="24"/>
          <w:szCs w:val="24"/>
        </w:rPr>
      </w:pPr>
    </w:p>
    <w:p w:rsidR="002C1E06" w:rsidRPr="002C1E06" w:rsidRDefault="002C1E06" w:rsidP="002C1E06">
      <w:pPr>
        <w:numPr>
          <w:ilvl w:val="0"/>
          <w:numId w:val="16"/>
        </w:numPr>
        <w:jc w:val="both"/>
        <w:rPr>
          <w:rFonts w:ascii="Arial" w:hAnsi="Arial" w:cs="Arial"/>
          <w:sz w:val="24"/>
          <w:szCs w:val="24"/>
        </w:rPr>
      </w:pPr>
      <w:r w:rsidRPr="008F583F">
        <w:rPr>
          <w:rFonts w:ascii="Arial" w:hAnsi="Arial" w:cs="Arial"/>
          <w:sz w:val="24"/>
          <w:szCs w:val="24"/>
        </w:rPr>
        <w:t>the Solvency Target</w:t>
      </w:r>
      <w:r w:rsidRPr="00916E73">
        <w:rPr>
          <w:rFonts w:ascii="Arial" w:hAnsi="Arial" w:cs="Arial"/>
          <w:sz w:val="24"/>
          <w:szCs w:val="24"/>
        </w:rPr>
        <w:t xml:space="preserve"> (the value of assets the </w:t>
      </w:r>
      <w:r w:rsidR="00CD42B5">
        <w:rPr>
          <w:rFonts w:ascii="Arial" w:hAnsi="Arial" w:cs="Arial"/>
          <w:sz w:val="24"/>
          <w:szCs w:val="24"/>
        </w:rPr>
        <w:t>a</w:t>
      </w:r>
      <w:r w:rsidR="009B2027">
        <w:rPr>
          <w:rFonts w:ascii="Arial" w:hAnsi="Arial" w:cs="Arial"/>
          <w:sz w:val="24"/>
          <w:szCs w:val="24"/>
        </w:rPr>
        <w:t>dministering authority</w:t>
      </w:r>
      <w:r w:rsidRPr="00916E73">
        <w:rPr>
          <w:rFonts w:ascii="Arial" w:hAnsi="Arial" w:cs="Arial"/>
          <w:sz w:val="24"/>
          <w:szCs w:val="24"/>
        </w:rPr>
        <w:t xml:space="preserve"> </w:t>
      </w:r>
      <w:r w:rsidR="00CA1E24" w:rsidRPr="00916E73">
        <w:rPr>
          <w:rFonts w:ascii="Arial" w:hAnsi="Arial" w:cs="Arial"/>
          <w:sz w:val="24"/>
          <w:szCs w:val="24"/>
        </w:rPr>
        <w:t>requires</w:t>
      </w:r>
      <w:r w:rsidRPr="00916E73">
        <w:rPr>
          <w:rFonts w:ascii="Arial" w:hAnsi="Arial" w:cs="Arial"/>
          <w:sz w:val="24"/>
          <w:szCs w:val="24"/>
        </w:rPr>
        <w:t xml:space="preserve"> the Fund to hold</w:t>
      </w:r>
      <w:r w:rsidR="001638F8">
        <w:rPr>
          <w:rFonts w:ascii="Arial" w:hAnsi="Arial" w:cs="Arial"/>
          <w:sz w:val="24"/>
          <w:szCs w:val="24"/>
        </w:rPr>
        <w:t xml:space="preserve"> to meet the Fund's liabilities</w:t>
      </w:r>
      <w:r w:rsidR="00CA1E24">
        <w:rPr>
          <w:rFonts w:ascii="Arial" w:hAnsi="Arial" w:cs="Arial"/>
          <w:sz w:val="24"/>
          <w:szCs w:val="24"/>
        </w:rPr>
        <w:t>);</w:t>
      </w:r>
    </w:p>
    <w:p w:rsidR="002C1E06" w:rsidRPr="002C1E06" w:rsidRDefault="002C1E06" w:rsidP="002C1E06">
      <w:pPr>
        <w:numPr>
          <w:ilvl w:val="0"/>
          <w:numId w:val="16"/>
        </w:numPr>
        <w:jc w:val="both"/>
        <w:rPr>
          <w:rFonts w:ascii="Arial" w:hAnsi="Arial" w:cs="Arial"/>
          <w:sz w:val="24"/>
          <w:szCs w:val="24"/>
        </w:rPr>
      </w:pPr>
      <w:r w:rsidRPr="002C1E06">
        <w:rPr>
          <w:rFonts w:ascii="Arial" w:hAnsi="Arial" w:cs="Arial"/>
          <w:sz w:val="24"/>
          <w:szCs w:val="24"/>
        </w:rPr>
        <w:t xml:space="preserve">the </w:t>
      </w:r>
      <w:r w:rsidR="00CA1E24">
        <w:rPr>
          <w:rFonts w:ascii="Arial" w:hAnsi="Arial" w:cs="Arial"/>
          <w:sz w:val="24"/>
          <w:szCs w:val="24"/>
        </w:rPr>
        <w:t xml:space="preserve">Trajectory Period (how quickly </w:t>
      </w:r>
      <w:r w:rsidRPr="002C1E06">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Pr>
          <w:rFonts w:ascii="Arial" w:hAnsi="Arial" w:cs="Arial"/>
          <w:sz w:val="24"/>
          <w:szCs w:val="24"/>
        </w:rPr>
        <w:t xml:space="preserve"> </w:t>
      </w:r>
      <w:r w:rsidR="00CA1E24">
        <w:rPr>
          <w:rFonts w:ascii="Arial" w:hAnsi="Arial" w:cs="Arial"/>
          <w:sz w:val="24"/>
          <w:szCs w:val="24"/>
        </w:rPr>
        <w:t>requires</w:t>
      </w:r>
      <w:r>
        <w:rPr>
          <w:rFonts w:ascii="Arial" w:hAnsi="Arial" w:cs="Arial"/>
          <w:sz w:val="24"/>
          <w:szCs w:val="24"/>
        </w:rPr>
        <w:t xml:space="preserve"> the Fund to get there); </w:t>
      </w:r>
      <w:r w:rsidRPr="002C1E06">
        <w:rPr>
          <w:rFonts w:ascii="Arial" w:hAnsi="Arial" w:cs="Arial"/>
          <w:sz w:val="24"/>
          <w:szCs w:val="24"/>
        </w:rPr>
        <w:t>and</w:t>
      </w:r>
    </w:p>
    <w:p w:rsidR="002C1E06" w:rsidRDefault="002C1E06" w:rsidP="002C1E06">
      <w:pPr>
        <w:numPr>
          <w:ilvl w:val="0"/>
          <w:numId w:val="16"/>
        </w:numPr>
        <w:jc w:val="both"/>
        <w:rPr>
          <w:rFonts w:ascii="Arial" w:hAnsi="Arial" w:cs="Arial"/>
          <w:sz w:val="24"/>
          <w:szCs w:val="24"/>
        </w:rPr>
      </w:pPr>
      <w:proofErr w:type="gramStart"/>
      <w:r w:rsidRPr="002C1E06">
        <w:rPr>
          <w:rFonts w:ascii="Arial" w:hAnsi="Arial" w:cs="Arial"/>
          <w:sz w:val="24"/>
          <w:szCs w:val="24"/>
        </w:rPr>
        <w:t>the</w:t>
      </w:r>
      <w:proofErr w:type="gramEnd"/>
      <w:r w:rsidRPr="002C1E06">
        <w:rPr>
          <w:rFonts w:ascii="Arial" w:hAnsi="Arial" w:cs="Arial"/>
          <w:sz w:val="24"/>
          <w:szCs w:val="24"/>
        </w:rPr>
        <w:t xml:space="preserve"> Probability of Funding Success (</w:t>
      </w:r>
      <w:r w:rsidR="005442D1">
        <w:rPr>
          <w:rFonts w:ascii="Arial" w:hAnsi="Arial" w:cs="Arial"/>
          <w:sz w:val="24"/>
          <w:szCs w:val="24"/>
        </w:rPr>
        <w:t xml:space="preserve">the current likelihood as required by the </w:t>
      </w:r>
      <w:r w:rsidR="00CD42B5">
        <w:rPr>
          <w:rFonts w:ascii="Arial" w:hAnsi="Arial" w:cs="Arial"/>
          <w:sz w:val="24"/>
          <w:szCs w:val="24"/>
        </w:rPr>
        <w:t>a</w:t>
      </w:r>
      <w:r w:rsidR="009B2027">
        <w:rPr>
          <w:rFonts w:ascii="Arial" w:hAnsi="Arial" w:cs="Arial"/>
          <w:sz w:val="24"/>
          <w:szCs w:val="24"/>
        </w:rPr>
        <w:t>dministering authority</w:t>
      </w:r>
      <w:r w:rsidR="005442D1">
        <w:rPr>
          <w:rFonts w:ascii="Arial" w:hAnsi="Arial" w:cs="Arial"/>
          <w:sz w:val="24"/>
          <w:szCs w:val="24"/>
        </w:rPr>
        <w:t xml:space="preserve"> that </w:t>
      </w:r>
      <w:r w:rsidRPr="002C1E06">
        <w:rPr>
          <w:rFonts w:ascii="Arial" w:hAnsi="Arial" w:cs="Arial"/>
          <w:sz w:val="24"/>
          <w:szCs w:val="24"/>
        </w:rPr>
        <w:t xml:space="preserve">the Fund will actually achieve the Solvency Target by the end of the Trajectory Period). </w:t>
      </w:r>
    </w:p>
    <w:p w:rsidR="002C1E06" w:rsidRPr="002C1E06" w:rsidRDefault="002C1E06" w:rsidP="00121B2F">
      <w:pPr>
        <w:ind w:left="720"/>
        <w:jc w:val="both"/>
        <w:rPr>
          <w:rFonts w:ascii="Arial" w:hAnsi="Arial" w:cs="Arial"/>
          <w:sz w:val="24"/>
          <w:szCs w:val="24"/>
        </w:rPr>
      </w:pPr>
    </w:p>
    <w:p w:rsidR="002C1E06" w:rsidRDefault="002C1E06" w:rsidP="002C1E06">
      <w:pPr>
        <w:jc w:val="both"/>
        <w:rPr>
          <w:rFonts w:ascii="Arial" w:hAnsi="Arial" w:cs="Arial"/>
          <w:sz w:val="24"/>
          <w:szCs w:val="24"/>
        </w:rPr>
      </w:pPr>
      <w:r w:rsidRPr="002C1E06">
        <w:rPr>
          <w:rFonts w:ascii="Arial" w:hAnsi="Arial" w:cs="Arial"/>
          <w:sz w:val="24"/>
          <w:szCs w:val="24"/>
        </w:rPr>
        <w:t xml:space="preserve">These three choices, supported by risk modelling carried out by the Fund Actuary, define the </w:t>
      </w:r>
      <w:r w:rsidR="00525C20">
        <w:rPr>
          <w:rFonts w:ascii="Arial" w:hAnsi="Arial" w:cs="Arial"/>
          <w:sz w:val="24"/>
          <w:szCs w:val="24"/>
        </w:rPr>
        <w:t>discount rate and</w:t>
      </w:r>
      <w:r w:rsidR="00B143AD">
        <w:rPr>
          <w:rFonts w:ascii="Arial" w:hAnsi="Arial" w:cs="Arial"/>
          <w:sz w:val="24"/>
          <w:szCs w:val="24"/>
        </w:rPr>
        <w:t>,</w:t>
      </w:r>
      <w:r w:rsidR="00525C20">
        <w:rPr>
          <w:rFonts w:ascii="Arial" w:hAnsi="Arial" w:cs="Arial"/>
          <w:sz w:val="24"/>
          <w:szCs w:val="24"/>
        </w:rPr>
        <w:t xml:space="preserve"> by extension</w:t>
      </w:r>
      <w:r w:rsidR="00B143AD">
        <w:rPr>
          <w:rFonts w:ascii="Arial" w:hAnsi="Arial" w:cs="Arial"/>
          <w:sz w:val="24"/>
          <w:szCs w:val="24"/>
        </w:rPr>
        <w:t>,</w:t>
      </w:r>
      <w:r w:rsidR="00525C20">
        <w:rPr>
          <w:rFonts w:ascii="Arial" w:hAnsi="Arial" w:cs="Arial"/>
          <w:sz w:val="24"/>
          <w:szCs w:val="24"/>
        </w:rPr>
        <w:t xml:space="preserve"> the </w:t>
      </w:r>
      <w:r w:rsidRPr="002C1E06">
        <w:rPr>
          <w:rFonts w:ascii="Arial" w:hAnsi="Arial" w:cs="Arial"/>
          <w:sz w:val="24"/>
          <w:szCs w:val="24"/>
        </w:rPr>
        <w:t xml:space="preserve">appropriate levels of contribution payable. </w:t>
      </w:r>
      <w:r w:rsidR="00994275">
        <w:rPr>
          <w:rFonts w:ascii="Arial" w:hAnsi="Arial" w:cs="Arial"/>
          <w:sz w:val="24"/>
          <w:szCs w:val="24"/>
        </w:rPr>
        <w:t xml:space="preserve"> </w:t>
      </w:r>
      <w:r w:rsidRPr="002C1E06">
        <w:rPr>
          <w:rFonts w:ascii="Arial" w:hAnsi="Arial" w:cs="Arial"/>
          <w:sz w:val="24"/>
          <w:szCs w:val="24"/>
        </w:rPr>
        <w:t xml:space="preserve">Together they measure the riskiness of the funding strategy. </w:t>
      </w:r>
    </w:p>
    <w:p w:rsidR="002C1E06" w:rsidRPr="002C1E06" w:rsidRDefault="002C1E06" w:rsidP="002C1E06">
      <w:pPr>
        <w:jc w:val="both"/>
        <w:rPr>
          <w:rFonts w:ascii="Arial" w:hAnsi="Arial" w:cs="Arial"/>
          <w:sz w:val="24"/>
          <w:szCs w:val="24"/>
        </w:rPr>
      </w:pPr>
    </w:p>
    <w:p w:rsidR="002C1E06" w:rsidRPr="002C1E06" w:rsidRDefault="002C1E06" w:rsidP="001638F8">
      <w:pPr>
        <w:jc w:val="both"/>
        <w:outlineLvl w:val="0"/>
        <w:rPr>
          <w:rFonts w:ascii="Arial" w:hAnsi="Arial" w:cs="Arial"/>
          <w:sz w:val="24"/>
          <w:szCs w:val="24"/>
        </w:rPr>
      </w:pPr>
      <w:r w:rsidRPr="002C1E06">
        <w:rPr>
          <w:rFonts w:ascii="Arial" w:hAnsi="Arial" w:cs="Arial"/>
          <w:sz w:val="24"/>
          <w:szCs w:val="24"/>
        </w:rPr>
        <w:t xml:space="preserve">These three terms are considered in more detail below. </w:t>
      </w:r>
    </w:p>
    <w:p w:rsidR="002C1E06" w:rsidRPr="002C1E06" w:rsidRDefault="002C1E06" w:rsidP="002C1E06">
      <w:pPr>
        <w:jc w:val="both"/>
        <w:rPr>
          <w:rFonts w:ascii="Arial" w:hAnsi="Arial" w:cs="Arial"/>
          <w:b/>
          <w:sz w:val="24"/>
          <w:szCs w:val="24"/>
        </w:rPr>
      </w:pPr>
    </w:p>
    <w:p w:rsidR="008B7AE9" w:rsidRPr="001E134A" w:rsidRDefault="008B7AE9" w:rsidP="001638F8">
      <w:pPr>
        <w:jc w:val="both"/>
        <w:outlineLvl w:val="0"/>
        <w:rPr>
          <w:rFonts w:ascii="Arial" w:hAnsi="Arial" w:cs="Arial"/>
          <w:b/>
          <w:sz w:val="24"/>
          <w:szCs w:val="24"/>
        </w:rPr>
      </w:pPr>
      <w:r>
        <w:rPr>
          <w:rFonts w:ascii="Arial" w:hAnsi="Arial" w:cs="Arial"/>
          <w:b/>
          <w:sz w:val="24"/>
          <w:szCs w:val="24"/>
        </w:rPr>
        <w:t xml:space="preserve">Solvency </w:t>
      </w:r>
      <w:r w:rsidR="00727892">
        <w:rPr>
          <w:rFonts w:ascii="Arial" w:hAnsi="Arial" w:cs="Arial"/>
          <w:b/>
          <w:sz w:val="24"/>
          <w:szCs w:val="24"/>
        </w:rPr>
        <w:t>Target</w:t>
      </w:r>
    </w:p>
    <w:p w:rsidR="0045487E" w:rsidRPr="001E134A" w:rsidRDefault="0045487E" w:rsidP="00A67A9A">
      <w:pPr>
        <w:jc w:val="both"/>
        <w:rPr>
          <w:rFonts w:ascii="Arial" w:hAnsi="Arial" w:cs="Arial"/>
          <w:b/>
          <w:sz w:val="24"/>
          <w:szCs w:val="24"/>
        </w:rPr>
      </w:pPr>
    </w:p>
    <w:p w:rsidR="0045487E" w:rsidRPr="001E134A" w:rsidRDefault="0045487E" w:rsidP="00A67A9A">
      <w:pPr>
        <w:pStyle w:val="Normalplus"/>
        <w:spacing w:after="0"/>
        <w:jc w:val="both"/>
        <w:rPr>
          <w:rFonts w:ascii="Arial" w:hAnsi="Arial" w:cs="Arial"/>
          <w:sz w:val="24"/>
          <w:szCs w:val="24"/>
        </w:rPr>
      </w:pPr>
      <w:r w:rsidRPr="001E134A">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1E134A">
        <w:rPr>
          <w:rFonts w:ascii="Arial" w:hAnsi="Arial" w:cs="Arial"/>
          <w:sz w:val="24"/>
          <w:szCs w:val="24"/>
        </w:rPr>
        <w:t xml:space="preserve">'s primary aim is long-term solvency. </w:t>
      </w:r>
      <w:r w:rsidR="00AA65FF">
        <w:rPr>
          <w:rFonts w:ascii="Arial" w:hAnsi="Arial" w:cs="Arial"/>
          <w:sz w:val="24"/>
          <w:szCs w:val="24"/>
        </w:rPr>
        <w:t xml:space="preserve"> </w:t>
      </w:r>
      <w:r w:rsidRPr="001E134A">
        <w:rPr>
          <w:rFonts w:ascii="Arial" w:hAnsi="Arial" w:cs="Arial"/>
          <w:sz w:val="24"/>
          <w:szCs w:val="24"/>
        </w:rPr>
        <w:t>Accordingly, employers’ contributions will be set to ensure that 100% of the liabilities can be met over the long term</w:t>
      </w:r>
      <w:r w:rsidR="00C73328">
        <w:rPr>
          <w:rFonts w:ascii="Arial" w:hAnsi="Arial" w:cs="Arial"/>
          <w:sz w:val="24"/>
          <w:szCs w:val="24"/>
        </w:rPr>
        <w:t xml:space="preserve"> using appropriate actuarial assumptions</w:t>
      </w:r>
      <w:r w:rsidRPr="001E134A">
        <w:rPr>
          <w:rFonts w:ascii="Arial" w:hAnsi="Arial" w:cs="Arial"/>
          <w:sz w:val="24"/>
          <w:szCs w:val="24"/>
        </w:rPr>
        <w:t xml:space="preserve">. </w:t>
      </w:r>
      <w:r w:rsidR="0021364F">
        <w:rPr>
          <w:rFonts w:ascii="Arial" w:hAnsi="Arial" w:cs="Arial"/>
          <w:sz w:val="24"/>
          <w:szCs w:val="24"/>
        </w:rPr>
        <w:t xml:space="preserve"> </w:t>
      </w:r>
      <w:r w:rsidRPr="008F583F">
        <w:rPr>
          <w:rFonts w:ascii="Arial" w:hAnsi="Arial" w:cs="Arial"/>
          <w:sz w:val="24"/>
          <w:szCs w:val="24"/>
        </w:rPr>
        <w:t xml:space="preserve">The Solvency Target is the </w:t>
      </w:r>
      <w:r w:rsidR="0021364F" w:rsidRPr="00916E73">
        <w:rPr>
          <w:rFonts w:ascii="Arial" w:hAnsi="Arial" w:cs="Arial"/>
          <w:sz w:val="24"/>
          <w:szCs w:val="24"/>
        </w:rPr>
        <w:t>value</w:t>
      </w:r>
      <w:r w:rsidR="0021364F" w:rsidRPr="008F583F">
        <w:rPr>
          <w:rFonts w:ascii="Arial" w:hAnsi="Arial" w:cs="Arial"/>
          <w:sz w:val="24"/>
          <w:szCs w:val="24"/>
        </w:rPr>
        <w:t xml:space="preserve"> </w:t>
      </w:r>
      <w:r w:rsidRPr="00916E73">
        <w:rPr>
          <w:rFonts w:ascii="Arial" w:hAnsi="Arial" w:cs="Arial"/>
          <w:sz w:val="24"/>
          <w:szCs w:val="24"/>
        </w:rPr>
        <w:t>of assets which the</w:t>
      </w:r>
      <w:r w:rsidR="00CA1E24" w:rsidRPr="00916E73">
        <w:rPr>
          <w:rFonts w:ascii="Arial" w:hAnsi="Arial" w:cs="Arial"/>
          <w:sz w:val="24"/>
          <w:szCs w:val="24"/>
        </w:rPr>
        <w:t xml:space="preserve"> </w:t>
      </w:r>
      <w:r w:rsidR="00CD42B5">
        <w:rPr>
          <w:rFonts w:ascii="Arial" w:hAnsi="Arial" w:cs="Arial"/>
          <w:sz w:val="24"/>
          <w:szCs w:val="24"/>
        </w:rPr>
        <w:t>a</w:t>
      </w:r>
      <w:r w:rsidR="009B2027">
        <w:rPr>
          <w:rFonts w:ascii="Arial" w:hAnsi="Arial" w:cs="Arial"/>
          <w:sz w:val="24"/>
          <w:szCs w:val="24"/>
        </w:rPr>
        <w:t>dministering authority</w:t>
      </w:r>
      <w:r w:rsidRPr="00916E73">
        <w:rPr>
          <w:rFonts w:ascii="Arial" w:hAnsi="Arial" w:cs="Arial"/>
          <w:sz w:val="24"/>
          <w:szCs w:val="24"/>
        </w:rPr>
        <w:t xml:space="preserve"> wishes </w:t>
      </w:r>
      <w:r w:rsidR="005442D1" w:rsidRPr="00916E73">
        <w:rPr>
          <w:rFonts w:ascii="Arial" w:hAnsi="Arial" w:cs="Arial"/>
          <w:sz w:val="24"/>
          <w:szCs w:val="24"/>
        </w:rPr>
        <w:t xml:space="preserve">the Fund </w:t>
      </w:r>
      <w:r w:rsidRPr="00916E73">
        <w:rPr>
          <w:rFonts w:ascii="Arial" w:hAnsi="Arial" w:cs="Arial"/>
          <w:sz w:val="24"/>
          <w:szCs w:val="24"/>
        </w:rPr>
        <w:t>to hold</w:t>
      </w:r>
      <w:r w:rsidRPr="001E134A">
        <w:rPr>
          <w:rFonts w:ascii="Arial" w:hAnsi="Arial" w:cs="Arial"/>
          <w:sz w:val="24"/>
          <w:szCs w:val="24"/>
        </w:rPr>
        <w:t xml:space="preserve"> at the end of the Trajectory Period (see later) to meet this aim. </w:t>
      </w:r>
    </w:p>
    <w:p w:rsidR="0045487E" w:rsidRPr="001E134A" w:rsidRDefault="0045487E" w:rsidP="00A67A9A">
      <w:pPr>
        <w:pStyle w:val="Normalplus"/>
        <w:spacing w:after="0"/>
        <w:jc w:val="both"/>
        <w:rPr>
          <w:rFonts w:ascii="Arial" w:hAnsi="Arial" w:cs="Arial"/>
          <w:sz w:val="24"/>
          <w:szCs w:val="24"/>
        </w:rPr>
      </w:pPr>
    </w:p>
    <w:p w:rsidR="00C73328" w:rsidRPr="001E134A" w:rsidRDefault="0045487E" w:rsidP="00A67A9A">
      <w:pPr>
        <w:pStyle w:val="Normalplus"/>
        <w:spacing w:after="0"/>
        <w:jc w:val="both"/>
        <w:rPr>
          <w:rFonts w:ascii="Arial" w:hAnsi="Arial" w:cs="Arial"/>
          <w:sz w:val="24"/>
          <w:szCs w:val="24"/>
        </w:rPr>
      </w:pPr>
      <w:r w:rsidRPr="001E134A">
        <w:rPr>
          <w:rFonts w:ascii="Arial" w:hAnsi="Arial" w:cs="Arial"/>
          <w:sz w:val="24"/>
          <w:szCs w:val="24"/>
        </w:rPr>
        <w:t>The Fund is deemed to be solvent when the assets held are equal to or greater than 100% of the Solvency Target</w:t>
      </w:r>
      <w:r w:rsidR="001F0B48">
        <w:rPr>
          <w:rFonts w:ascii="Arial" w:hAnsi="Arial" w:cs="Arial"/>
          <w:sz w:val="24"/>
          <w:szCs w:val="24"/>
        </w:rPr>
        <w:t>, where the Solvency Target is the value of the Fund's liabilities evaluated using appropriate actuarial methods and assumptions.</w:t>
      </w:r>
      <w:r w:rsidRPr="001E134A">
        <w:rPr>
          <w:rFonts w:ascii="Arial" w:hAnsi="Arial" w:cs="Arial"/>
          <w:sz w:val="24"/>
          <w:szCs w:val="24"/>
        </w:rPr>
        <w:t xml:space="preserve"> </w:t>
      </w:r>
      <w:r w:rsidR="00525C20">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525C20">
        <w:rPr>
          <w:rFonts w:ascii="Arial" w:hAnsi="Arial" w:cs="Arial"/>
          <w:sz w:val="24"/>
          <w:szCs w:val="24"/>
        </w:rPr>
        <w:t xml:space="preserve"> believes that its funding strategy will ensure the solvency of the Fund because employers collectively have the financial capacity to increase employer contributions should future circumstances require, in order </w:t>
      </w:r>
      <w:proofErr w:type="gramStart"/>
      <w:r w:rsidR="00525C20">
        <w:rPr>
          <w:rFonts w:ascii="Arial" w:hAnsi="Arial" w:cs="Arial"/>
          <w:sz w:val="24"/>
          <w:szCs w:val="24"/>
        </w:rPr>
        <w:t>to continue</w:t>
      </w:r>
      <w:proofErr w:type="gramEnd"/>
      <w:r w:rsidR="00525C20">
        <w:rPr>
          <w:rFonts w:ascii="Arial" w:hAnsi="Arial" w:cs="Arial"/>
          <w:sz w:val="24"/>
          <w:szCs w:val="24"/>
        </w:rPr>
        <w:t xml:space="preserve"> to target a funding level of 100%.</w:t>
      </w:r>
    </w:p>
    <w:p w:rsidR="0045487E" w:rsidRDefault="0045487E" w:rsidP="00A67A9A">
      <w:pPr>
        <w:pStyle w:val="Normalplus"/>
        <w:spacing w:after="0"/>
        <w:jc w:val="both"/>
        <w:rPr>
          <w:rFonts w:ascii="Arial" w:hAnsi="Arial" w:cs="Arial"/>
          <w:sz w:val="24"/>
          <w:szCs w:val="24"/>
        </w:rPr>
      </w:pPr>
    </w:p>
    <w:p w:rsidR="00727892" w:rsidRDefault="00727892" w:rsidP="001638F8">
      <w:pPr>
        <w:pStyle w:val="Normalplus"/>
        <w:spacing w:after="0"/>
        <w:jc w:val="both"/>
        <w:outlineLvl w:val="0"/>
        <w:rPr>
          <w:rFonts w:ascii="Arial" w:hAnsi="Arial" w:cs="Arial"/>
          <w:sz w:val="24"/>
          <w:szCs w:val="24"/>
        </w:rPr>
      </w:pPr>
      <w:r w:rsidRPr="00727892">
        <w:rPr>
          <w:rFonts w:ascii="Arial" w:hAnsi="Arial" w:cs="Arial"/>
          <w:sz w:val="24"/>
          <w:szCs w:val="24"/>
        </w:rPr>
        <w:t xml:space="preserve">For </w:t>
      </w:r>
      <w:r>
        <w:rPr>
          <w:rFonts w:ascii="Arial" w:hAnsi="Arial" w:cs="Arial"/>
          <w:sz w:val="24"/>
          <w:szCs w:val="24"/>
        </w:rPr>
        <w:t>employers:</w:t>
      </w:r>
      <w:r w:rsidRPr="00727892">
        <w:rPr>
          <w:rFonts w:ascii="Arial" w:hAnsi="Arial" w:cs="Arial"/>
          <w:sz w:val="24"/>
          <w:szCs w:val="24"/>
        </w:rPr>
        <w:t xml:space="preserve"> </w:t>
      </w:r>
    </w:p>
    <w:p w:rsidR="00727892" w:rsidRDefault="00727892" w:rsidP="00727892">
      <w:pPr>
        <w:pStyle w:val="Normalplus"/>
        <w:spacing w:after="0"/>
        <w:jc w:val="both"/>
        <w:rPr>
          <w:rFonts w:ascii="Arial" w:hAnsi="Arial" w:cs="Arial"/>
          <w:sz w:val="24"/>
          <w:szCs w:val="24"/>
        </w:rPr>
      </w:pPr>
    </w:p>
    <w:p w:rsidR="00727892" w:rsidRPr="00727892" w:rsidRDefault="00727892" w:rsidP="00727892">
      <w:pPr>
        <w:pStyle w:val="Normalplus"/>
        <w:numPr>
          <w:ilvl w:val="0"/>
          <w:numId w:val="16"/>
        </w:numPr>
        <w:spacing w:after="0"/>
        <w:jc w:val="both"/>
        <w:rPr>
          <w:rFonts w:ascii="Arial" w:hAnsi="Arial" w:cs="Arial"/>
          <w:sz w:val="24"/>
          <w:szCs w:val="24"/>
        </w:rPr>
      </w:pPr>
      <w:r w:rsidRPr="00727892">
        <w:rPr>
          <w:rFonts w:ascii="Arial" w:hAnsi="Arial" w:cs="Arial"/>
          <w:sz w:val="24"/>
          <w:szCs w:val="24"/>
        </w:rPr>
        <w:t xml:space="preserve">regarded by the </w:t>
      </w:r>
      <w:r w:rsidR="00CD42B5">
        <w:rPr>
          <w:rFonts w:ascii="Arial" w:hAnsi="Arial" w:cs="Arial"/>
          <w:sz w:val="24"/>
          <w:szCs w:val="24"/>
        </w:rPr>
        <w:t>a</w:t>
      </w:r>
      <w:r w:rsidR="009B2027">
        <w:rPr>
          <w:rFonts w:ascii="Arial" w:hAnsi="Arial" w:cs="Arial"/>
          <w:sz w:val="24"/>
          <w:szCs w:val="24"/>
        </w:rPr>
        <w:t>dministering authority</w:t>
      </w:r>
      <w:r w:rsidRPr="00727892">
        <w:rPr>
          <w:rFonts w:ascii="Arial" w:hAnsi="Arial" w:cs="Arial"/>
          <w:sz w:val="24"/>
          <w:szCs w:val="24"/>
        </w:rPr>
        <w:t xml:space="preserve"> as being of sound covenant with an indefinite period to expected </w:t>
      </w:r>
      <w:r w:rsidR="00FF08B7">
        <w:rPr>
          <w:rFonts w:ascii="Arial" w:hAnsi="Arial" w:cs="Arial"/>
          <w:sz w:val="24"/>
          <w:szCs w:val="24"/>
        </w:rPr>
        <w:t>exit</w:t>
      </w:r>
      <w:r>
        <w:rPr>
          <w:rFonts w:ascii="Arial" w:hAnsi="Arial" w:cs="Arial"/>
          <w:sz w:val="24"/>
          <w:szCs w:val="24"/>
        </w:rPr>
        <w:t>; or</w:t>
      </w:r>
    </w:p>
    <w:p w:rsidR="00727892" w:rsidRPr="00727892" w:rsidRDefault="00727892" w:rsidP="00727892">
      <w:pPr>
        <w:pStyle w:val="Normalplus"/>
        <w:numPr>
          <w:ilvl w:val="0"/>
          <w:numId w:val="16"/>
        </w:numPr>
        <w:spacing w:after="0"/>
        <w:jc w:val="both"/>
        <w:rPr>
          <w:rFonts w:ascii="Arial" w:hAnsi="Arial" w:cs="Arial"/>
          <w:sz w:val="24"/>
          <w:szCs w:val="24"/>
        </w:rPr>
      </w:pPr>
      <w:r w:rsidRPr="00727892">
        <w:rPr>
          <w:rFonts w:ascii="Arial" w:hAnsi="Arial" w:cs="Arial"/>
          <w:sz w:val="24"/>
          <w:szCs w:val="24"/>
        </w:rPr>
        <w:t xml:space="preserve">with guarantors of sound covenant agreeing to subsume the employer's assets and liabilities following </w:t>
      </w:r>
      <w:r w:rsidR="00FF08B7">
        <w:rPr>
          <w:rFonts w:ascii="Arial" w:hAnsi="Arial" w:cs="Arial"/>
          <w:sz w:val="24"/>
          <w:szCs w:val="24"/>
        </w:rPr>
        <w:t>exit</w:t>
      </w:r>
      <w:r w:rsidRPr="00727892">
        <w:rPr>
          <w:rFonts w:ascii="Arial" w:hAnsi="Arial" w:cs="Arial"/>
          <w:sz w:val="24"/>
          <w:szCs w:val="24"/>
        </w:rPr>
        <w:t>;</w:t>
      </w:r>
    </w:p>
    <w:p w:rsidR="00727892" w:rsidRDefault="00727892" w:rsidP="00727892">
      <w:pPr>
        <w:pStyle w:val="Normalplus"/>
        <w:spacing w:after="0"/>
        <w:jc w:val="both"/>
        <w:rPr>
          <w:rFonts w:ascii="Arial" w:hAnsi="Arial" w:cs="Arial"/>
          <w:sz w:val="24"/>
          <w:szCs w:val="24"/>
        </w:rPr>
      </w:pPr>
    </w:p>
    <w:p w:rsidR="00286E59" w:rsidRPr="00916E73" w:rsidRDefault="00581EEF" w:rsidP="001638F8">
      <w:pPr>
        <w:pStyle w:val="Normalplus"/>
        <w:spacing w:after="0"/>
        <w:jc w:val="both"/>
        <w:outlineLvl w:val="0"/>
        <w:rPr>
          <w:rFonts w:ascii="Arial" w:hAnsi="Arial" w:cs="Arial"/>
          <w:sz w:val="24"/>
          <w:szCs w:val="24"/>
        </w:rPr>
      </w:pPr>
      <w:r w:rsidRPr="00916E73">
        <w:rPr>
          <w:rFonts w:ascii="Arial" w:hAnsi="Arial" w:cs="Arial"/>
          <w:sz w:val="24"/>
          <w:szCs w:val="24"/>
        </w:rPr>
        <w:t>a</w:t>
      </w:r>
      <w:r w:rsidR="0045487E" w:rsidRPr="00916E73">
        <w:rPr>
          <w:rFonts w:ascii="Arial" w:hAnsi="Arial" w:cs="Arial"/>
          <w:sz w:val="24"/>
          <w:szCs w:val="24"/>
        </w:rPr>
        <w:t>ppropriate actuarial methods and assumptions are taken to be</w:t>
      </w:r>
      <w:r w:rsidR="00376064" w:rsidRPr="00916E73">
        <w:rPr>
          <w:rFonts w:ascii="Arial" w:hAnsi="Arial" w:cs="Arial"/>
          <w:sz w:val="24"/>
          <w:szCs w:val="24"/>
        </w:rPr>
        <w:t xml:space="preserve"> m</w:t>
      </w:r>
      <w:r w:rsidR="0045487E" w:rsidRPr="00916E73">
        <w:rPr>
          <w:rFonts w:ascii="Arial" w:hAnsi="Arial" w:cs="Arial"/>
          <w:sz w:val="24"/>
          <w:szCs w:val="24"/>
        </w:rPr>
        <w:t>easurement by use of the Projected Unit method of valuation, and using ass</w:t>
      </w:r>
      <w:r w:rsidR="001F0B48" w:rsidRPr="00916E73">
        <w:rPr>
          <w:rFonts w:ascii="Arial" w:hAnsi="Arial" w:cs="Arial"/>
          <w:sz w:val="24"/>
          <w:szCs w:val="24"/>
        </w:rPr>
        <w:t>umptions such that, if</w:t>
      </w:r>
      <w:r w:rsidR="00340EA5" w:rsidRPr="00916E73">
        <w:rPr>
          <w:rFonts w:ascii="Arial" w:hAnsi="Arial" w:cs="Arial"/>
          <w:sz w:val="24"/>
          <w:szCs w:val="24"/>
        </w:rPr>
        <w:t>:</w:t>
      </w:r>
    </w:p>
    <w:p w:rsidR="00286E59" w:rsidRPr="00916E73" w:rsidRDefault="001F0B48" w:rsidP="00376064">
      <w:pPr>
        <w:pStyle w:val="Normalplus"/>
        <w:spacing w:after="0"/>
        <w:jc w:val="both"/>
        <w:rPr>
          <w:rFonts w:ascii="Arial" w:hAnsi="Arial" w:cs="Arial"/>
          <w:sz w:val="24"/>
          <w:szCs w:val="24"/>
        </w:rPr>
      </w:pPr>
      <w:r w:rsidRPr="00916E73">
        <w:rPr>
          <w:rFonts w:ascii="Arial" w:hAnsi="Arial" w:cs="Arial"/>
          <w:sz w:val="24"/>
          <w:szCs w:val="24"/>
        </w:rPr>
        <w:t xml:space="preserve"> </w:t>
      </w:r>
    </w:p>
    <w:p w:rsidR="00286E59" w:rsidRPr="008F583F" w:rsidRDefault="001F0B48" w:rsidP="00121B2F">
      <w:pPr>
        <w:pStyle w:val="Normalplus"/>
        <w:numPr>
          <w:ilvl w:val="0"/>
          <w:numId w:val="27"/>
        </w:numPr>
        <w:spacing w:after="0"/>
        <w:jc w:val="both"/>
        <w:rPr>
          <w:rFonts w:ascii="Arial" w:hAnsi="Arial" w:cs="Arial"/>
          <w:sz w:val="24"/>
          <w:szCs w:val="24"/>
        </w:rPr>
      </w:pPr>
      <w:r w:rsidRPr="00916E73">
        <w:rPr>
          <w:rFonts w:ascii="Arial" w:hAnsi="Arial" w:cs="Arial"/>
          <w:sz w:val="24"/>
          <w:szCs w:val="24"/>
        </w:rPr>
        <w:t>the Fund had reached the Solvency Target</w:t>
      </w:r>
      <w:r w:rsidR="00340EA5">
        <w:rPr>
          <w:rFonts w:ascii="Arial" w:hAnsi="Arial" w:cs="Arial"/>
          <w:sz w:val="24"/>
          <w:szCs w:val="24"/>
        </w:rPr>
        <w:t>;</w:t>
      </w:r>
      <w:r w:rsidRPr="00916E73">
        <w:rPr>
          <w:rFonts w:ascii="Arial" w:hAnsi="Arial" w:cs="Arial"/>
          <w:sz w:val="24"/>
          <w:szCs w:val="24"/>
        </w:rPr>
        <w:t xml:space="preserve"> and</w:t>
      </w:r>
    </w:p>
    <w:p w:rsidR="00286E59" w:rsidRPr="00916E73" w:rsidRDefault="001F0B48" w:rsidP="00121B2F">
      <w:pPr>
        <w:pStyle w:val="Normalplus"/>
        <w:numPr>
          <w:ilvl w:val="0"/>
          <w:numId w:val="27"/>
        </w:numPr>
        <w:spacing w:after="0"/>
        <w:jc w:val="both"/>
        <w:rPr>
          <w:rFonts w:ascii="Arial" w:hAnsi="Arial" w:cs="Arial"/>
          <w:sz w:val="24"/>
          <w:szCs w:val="24"/>
        </w:rPr>
      </w:pPr>
      <w:r w:rsidRPr="00916E73">
        <w:rPr>
          <w:rFonts w:ascii="Arial" w:hAnsi="Arial" w:cs="Arial"/>
          <w:sz w:val="24"/>
          <w:szCs w:val="24"/>
        </w:rPr>
        <w:t>it</w:t>
      </w:r>
      <w:r w:rsidR="0045487E" w:rsidRPr="00916E73">
        <w:rPr>
          <w:rFonts w:ascii="Arial" w:hAnsi="Arial" w:cs="Arial"/>
          <w:sz w:val="24"/>
          <w:szCs w:val="24"/>
        </w:rPr>
        <w:t>s financial position continued to be assessed by use of such methods and assumptions</w:t>
      </w:r>
      <w:r w:rsidR="00340EA5">
        <w:rPr>
          <w:rFonts w:ascii="Arial" w:hAnsi="Arial" w:cs="Arial"/>
          <w:sz w:val="24"/>
          <w:szCs w:val="24"/>
        </w:rPr>
        <w:t>;</w:t>
      </w:r>
      <w:r w:rsidR="0045487E" w:rsidRPr="00916E73">
        <w:rPr>
          <w:rFonts w:ascii="Arial" w:hAnsi="Arial" w:cs="Arial"/>
          <w:sz w:val="24"/>
          <w:szCs w:val="24"/>
        </w:rPr>
        <w:t xml:space="preserve"> and</w:t>
      </w:r>
    </w:p>
    <w:p w:rsidR="00286E59" w:rsidRPr="008F583F" w:rsidRDefault="0045487E" w:rsidP="00121B2F">
      <w:pPr>
        <w:pStyle w:val="Normalplus"/>
        <w:numPr>
          <w:ilvl w:val="0"/>
          <w:numId w:val="27"/>
        </w:numPr>
        <w:spacing w:after="0"/>
        <w:jc w:val="both"/>
        <w:rPr>
          <w:rFonts w:ascii="Arial" w:hAnsi="Arial" w:cs="Arial"/>
          <w:sz w:val="24"/>
          <w:szCs w:val="24"/>
        </w:rPr>
      </w:pPr>
      <w:r w:rsidRPr="00916E73">
        <w:rPr>
          <w:rFonts w:ascii="Arial" w:hAnsi="Arial" w:cs="Arial"/>
          <w:sz w:val="24"/>
          <w:szCs w:val="24"/>
        </w:rPr>
        <w:lastRenderedPageBreak/>
        <w:t>contributions were paid in accordance with those methods and assumptions</w:t>
      </w:r>
      <w:r w:rsidR="00340EA5">
        <w:rPr>
          <w:rFonts w:ascii="Arial" w:hAnsi="Arial" w:cs="Arial"/>
          <w:sz w:val="24"/>
          <w:szCs w:val="24"/>
        </w:rPr>
        <w:t>;</w:t>
      </w:r>
    </w:p>
    <w:p w:rsidR="000A17A3" w:rsidRPr="008F583F" w:rsidRDefault="000A17A3" w:rsidP="00121B2F">
      <w:pPr>
        <w:pStyle w:val="Normalplus"/>
        <w:spacing w:after="0"/>
        <w:ind w:left="720"/>
        <w:jc w:val="both"/>
        <w:rPr>
          <w:rFonts w:ascii="Arial" w:hAnsi="Arial" w:cs="Arial"/>
          <w:sz w:val="24"/>
          <w:szCs w:val="24"/>
        </w:rPr>
      </w:pPr>
    </w:p>
    <w:p w:rsidR="0045487E" w:rsidRPr="001E134A" w:rsidRDefault="000A17A3" w:rsidP="005442D1">
      <w:pPr>
        <w:pStyle w:val="Normalplus"/>
        <w:spacing w:after="0"/>
        <w:jc w:val="both"/>
        <w:rPr>
          <w:rFonts w:ascii="Arial" w:hAnsi="Arial" w:cs="Arial"/>
          <w:sz w:val="24"/>
          <w:szCs w:val="24"/>
        </w:rPr>
      </w:pPr>
      <w:r w:rsidRPr="00916E73">
        <w:rPr>
          <w:rFonts w:ascii="Arial" w:hAnsi="Arial" w:cs="Arial"/>
          <w:sz w:val="24"/>
          <w:szCs w:val="24"/>
        </w:rPr>
        <w:t xml:space="preserve">then </w:t>
      </w:r>
      <w:r w:rsidR="0045487E" w:rsidRPr="00916E73">
        <w:rPr>
          <w:rFonts w:ascii="Arial" w:hAnsi="Arial" w:cs="Arial"/>
          <w:sz w:val="24"/>
          <w:szCs w:val="24"/>
        </w:rPr>
        <w:t xml:space="preserve">there would be a chance of at least 80% that the Fund would continue to be 100% funded after a </w:t>
      </w:r>
      <w:r w:rsidR="003474DB" w:rsidRPr="00916E73">
        <w:rPr>
          <w:rFonts w:ascii="Arial" w:hAnsi="Arial" w:cs="Arial"/>
          <w:sz w:val="24"/>
          <w:szCs w:val="24"/>
        </w:rPr>
        <w:t>reasonable timeframe</w:t>
      </w:r>
      <w:r w:rsidR="0045487E" w:rsidRPr="00916E73">
        <w:rPr>
          <w:rFonts w:ascii="Arial" w:hAnsi="Arial" w:cs="Arial"/>
          <w:sz w:val="24"/>
          <w:szCs w:val="24"/>
        </w:rPr>
        <w:t>.</w:t>
      </w:r>
      <w:r w:rsidR="0045487E" w:rsidRPr="008F583F">
        <w:rPr>
          <w:rFonts w:ascii="Arial" w:hAnsi="Arial" w:cs="Arial"/>
          <w:sz w:val="24"/>
          <w:szCs w:val="24"/>
        </w:rPr>
        <w:t xml:space="preserve"> The</w:t>
      </w:r>
      <w:r w:rsidR="0045487E" w:rsidRPr="001E134A">
        <w:rPr>
          <w:rFonts w:ascii="Arial" w:hAnsi="Arial" w:cs="Arial"/>
          <w:sz w:val="24"/>
          <w:szCs w:val="24"/>
        </w:rPr>
        <w:t xml:space="preserve"> level of funding implied by this is the Solvency Target. </w:t>
      </w:r>
      <w:r w:rsidR="0021364F">
        <w:rPr>
          <w:rFonts w:ascii="Arial" w:hAnsi="Arial" w:cs="Arial"/>
          <w:sz w:val="24"/>
          <w:szCs w:val="24"/>
        </w:rPr>
        <w:t xml:space="preserve"> </w:t>
      </w:r>
      <w:r w:rsidR="0045487E" w:rsidRPr="001E134A">
        <w:rPr>
          <w:rFonts w:ascii="Arial" w:hAnsi="Arial" w:cs="Arial"/>
          <w:sz w:val="24"/>
          <w:szCs w:val="24"/>
        </w:rPr>
        <w:t>For the purpose of this Statement, the required level of chance is defined as the Probability of Maintaining Solvency.</w:t>
      </w:r>
    </w:p>
    <w:p w:rsidR="00581EEF" w:rsidRPr="001E134A" w:rsidRDefault="00581EEF" w:rsidP="00A67A9A">
      <w:pPr>
        <w:pStyle w:val="Normalplus"/>
        <w:spacing w:after="0"/>
        <w:jc w:val="both"/>
        <w:rPr>
          <w:rFonts w:ascii="Arial" w:hAnsi="Arial" w:cs="Arial"/>
          <w:sz w:val="24"/>
          <w:szCs w:val="24"/>
        </w:rPr>
      </w:pPr>
    </w:p>
    <w:p w:rsidR="0045487E" w:rsidRPr="00581EEF" w:rsidRDefault="0045487E" w:rsidP="00A67A9A">
      <w:pPr>
        <w:pStyle w:val="Normalplus"/>
        <w:spacing w:after="0"/>
        <w:jc w:val="both"/>
        <w:rPr>
          <w:rFonts w:ascii="Arial" w:hAnsi="Arial" w:cs="Arial"/>
          <w:sz w:val="24"/>
          <w:szCs w:val="24"/>
        </w:rPr>
      </w:pPr>
      <w:r w:rsidRPr="00581EEF">
        <w:rPr>
          <w:rFonts w:ascii="Arial" w:hAnsi="Arial" w:cs="Arial"/>
          <w:sz w:val="24"/>
          <w:szCs w:val="24"/>
        </w:rPr>
        <w:t>For</w:t>
      </w:r>
      <w:r w:rsidR="005D77EC" w:rsidRPr="00581EEF">
        <w:rPr>
          <w:rFonts w:ascii="Arial" w:hAnsi="Arial" w:cs="Arial"/>
          <w:sz w:val="24"/>
          <w:szCs w:val="24"/>
        </w:rPr>
        <w:t xml:space="preserve"> </w:t>
      </w:r>
      <w:r w:rsidR="00376064" w:rsidRPr="005810F5">
        <w:rPr>
          <w:rFonts w:ascii="Arial" w:hAnsi="Arial" w:cs="Arial"/>
          <w:sz w:val="24"/>
          <w:szCs w:val="24"/>
        </w:rPr>
        <w:t>all other employers</w:t>
      </w:r>
      <w:r w:rsidR="005B01EA" w:rsidRPr="005810F5">
        <w:rPr>
          <w:rFonts w:ascii="Arial" w:hAnsi="Arial" w:cs="Arial"/>
          <w:sz w:val="24"/>
          <w:szCs w:val="24"/>
        </w:rPr>
        <w:t xml:space="preserve">, including </w:t>
      </w:r>
      <w:r w:rsidR="0017450E" w:rsidRPr="00581EEF">
        <w:rPr>
          <w:rFonts w:ascii="Arial" w:hAnsi="Arial" w:cs="Arial"/>
          <w:sz w:val="24"/>
          <w:szCs w:val="24"/>
        </w:rPr>
        <w:t xml:space="preserve">bodies </w:t>
      </w:r>
      <w:r w:rsidR="005B01EA" w:rsidRPr="00581EEF">
        <w:rPr>
          <w:rFonts w:ascii="Arial" w:hAnsi="Arial" w:cs="Arial"/>
          <w:sz w:val="24"/>
          <w:szCs w:val="24"/>
        </w:rPr>
        <w:t xml:space="preserve">with limited duration in the Fund or </w:t>
      </w:r>
      <w:r w:rsidR="0017450E" w:rsidRPr="00581EEF">
        <w:rPr>
          <w:rFonts w:ascii="Arial" w:hAnsi="Arial" w:cs="Arial"/>
          <w:sz w:val="24"/>
          <w:szCs w:val="24"/>
        </w:rPr>
        <w:t xml:space="preserve">whose liabilities are expected to be orphaned following </w:t>
      </w:r>
      <w:r w:rsidR="00FF08B7">
        <w:rPr>
          <w:rFonts w:ascii="Arial" w:hAnsi="Arial" w:cs="Arial"/>
          <w:sz w:val="24"/>
          <w:szCs w:val="24"/>
        </w:rPr>
        <w:t>exit</w:t>
      </w:r>
      <w:r w:rsidR="0017450E" w:rsidRPr="00581EEF">
        <w:rPr>
          <w:rFonts w:ascii="Arial" w:hAnsi="Arial" w:cs="Arial"/>
          <w:sz w:val="24"/>
          <w:szCs w:val="24"/>
        </w:rPr>
        <w:t xml:space="preserve">, </w:t>
      </w:r>
      <w:r w:rsidRPr="00581EEF">
        <w:rPr>
          <w:rFonts w:ascii="Arial" w:hAnsi="Arial" w:cs="Arial"/>
          <w:sz w:val="24"/>
          <w:szCs w:val="24"/>
        </w:rPr>
        <w:t xml:space="preserve">the required Probability of Maintaining Solvency will be set at a more prudent level dependent on circumstances. </w:t>
      </w:r>
      <w:r w:rsidR="0021364F">
        <w:rPr>
          <w:rFonts w:ascii="Arial" w:hAnsi="Arial" w:cs="Arial"/>
          <w:sz w:val="24"/>
          <w:szCs w:val="24"/>
        </w:rPr>
        <w:t xml:space="preserve"> </w:t>
      </w:r>
      <w:r w:rsidRPr="00581EEF">
        <w:rPr>
          <w:rFonts w:ascii="Arial" w:hAnsi="Arial" w:cs="Arial"/>
          <w:sz w:val="24"/>
          <w:szCs w:val="24"/>
        </w:rPr>
        <w:t xml:space="preserve">For most such bodies, the chance of achieving solvency will be set commensurate with assumed investment in an appropriate portfolio of Government index linked and fixed interest bonds after </w:t>
      </w:r>
      <w:r w:rsidR="00FF08B7">
        <w:rPr>
          <w:rFonts w:ascii="Arial" w:hAnsi="Arial" w:cs="Arial"/>
          <w:sz w:val="24"/>
          <w:szCs w:val="24"/>
        </w:rPr>
        <w:t>exit</w:t>
      </w:r>
      <w:r w:rsidRPr="00581EEF">
        <w:rPr>
          <w:rFonts w:ascii="Arial" w:hAnsi="Arial" w:cs="Arial"/>
          <w:sz w:val="24"/>
          <w:szCs w:val="24"/>
        </w:rPr>
        <w:t xml:space="preserve">. </w:t>
      </w:r>
    </w:p>
    <w:p w:rsidR="0045487E" w:rsidRPr="00AF0891" w:rsidRDefault="0045487E" w:rsidP="00A67A9A">
      <w:pPr>
        <w:pStyle w:val="Normalplus"/>
        <w:spacing w:after="0"/>
        <w:jc w:val="both"/>
        <w:rPr>
          <w:rFonts w:ascii="Arial" w:hAnsi="Arial" w:cs="Arial"/>
          <w:sz w:val="24"/>
          <w:szCs w:val="24"/>
        </w:rPr>
      </w:pPr>
    </w:p>
    <w:p w:rsidR="0045487E" w:rsidRDefault="0045487E" w:rsidP="001638F8">
      <w:pPr>
        <w:pStyle w:val="Normalplus"/>
        <w:spacing w:after="0"/>
        <w:jc w:val="both"/>
        <w:outlineLvl w:val="0"/>
        <w:rPr>
          <w:rFonts w:ascii="Arial" w:hAnsi="Arial" w:cs="Arial"/>
          <w:b/>
          <w:sz w:val="24"/>
          <w:szCs w:val="24"/>
        </w:rPr>
      </w:pPr>
      <w:r w:rsidRPr="00AF0891">
        <w:rPr>
          <w:rFonts w:ascii="Arial" w:hAnsi="Arial" w:cs="Arial"/>
          <w:b/>
          <w:sz w:val="24"/>
          <w:szCs w:val="24"/>
        </w:rPr>
        <w:t>Probability of Funding Success</w:t>
      </w:r>
    </w:p>
    <w:p w:rsidR="00514E2D" w:rsidRPr="00AF0891" w:rsidRDefault="00514E2D" w:rsidP="00A67A9A">
      <w:pPr>
        <w:pStyle w:val="Normalplus"/>
        <w:spacing w:after="0"/>
        <w:jc w:val="both"/>
        <w:rPr>
          <w:rFonts w:ascii="Arial" w:hAnsi="Arial" w:cs="Arial"/>
          <w:sz w:val="24"/>
          <w:szCs w:val="24"/>
        </w:rPr>
      </w:pPr>
    </w:p>
    <w:p w:rsidR="0045487E" w:rsidRPr="00A976F5" w:rsidRDefault="0045487E" w:rsidP="00A67A9A">
      <w:pPr>
        <w:widowControl w:val="0"/>
        <w:jc w:val="both"/>
        <w:rPr>
          <w:rFonts w:ascii="Arial" w:hAnsi="Arial" w:cs="Arial"/>
          <w:sz w:val="24"/>
          <w:szCs w:val="24"/>
        </w:rPr>
      </w:pPr>
      <w:r w:rsidRPr="00AF0891">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AF0891">
        <w:rPr>
          <w:rFonts w:ascii="Arial" w:hAnsi="Arial" w:cs="Arial"/>
          <w:sz w:val="24"/>
          <w:szCs w:val="24"/>
        </w:rPr>
        <w:t xml:space="preserve"> deems funding success to have been achieved if the Fund, at the end of the Trajectory Period, has achieved the Solvency Target. </w:t>
      </w:r>
      <w:r w:rsidR="0021364F">
        <w:rPr>
          <w:rFonts w:ascii="Arial" w:hAnsi="Arial" w:cs="Arial"/>
          <w:sz w:val="24"/>
          <w:szCs w:val="24"/>
        </w:rPr>
        <w:t xml:space="preserve"> </w:t>
      </w:r>
      <w:r w:rsidRPr="00AF0891">
        <w:rPr>
          <w:rFonts w:ascii="Arial" w:hAnsi="Arial" w:cs="Arial"/>
          <w:sz w:val="24"/>
          <w:szCs w:val="24"/>
        </w:rPr>
        <w:t>The Probability of Funding Success is the assessed chance of this happening based on the level of contributions payable by members</w:t>
      </w:r>
      <w:r w:rsidRPr="00A976F5">
        <w:rPr>
          <w:rFonts w:ascii="Arial" w:hAnsi="Arial" w:cs="Arial"/>
          <w:sz w:val="24"/>
          <w:szCs w:val="24"/>
        </w:rPr>
        <w:t xml:space="preserve"> and employers.</w:t>
      </w:r>
    </w:p>
    <w:p w:rsidR="0045487E" w:rsidRPr="00C90E51" w:rsidRDefault="0045487E" w:rsidP="00C90E51">
      <w:pPr>
        <w:widowControl w:val="0"/>
        <w:jc w:val="both"/>
        <w:rPr>
          <w:rFonts w:ascii="Arial" w:hAnsi="Arial" w:cs="Arial"/>
          <w:sz w:val="24"/>
          <w:szCs w:val="24"/>
        </w:rPr>
      </w:pPr>
    </w:p>
    <w:p w:rsidR="0021364F" w:rsidRPr="00121B2F" w:rsidRDefault="0045487E" w:rsidP="00121B2F">
      <w:pPr>
        <w:pStyle w:val="NoSpacing"/>
        <w:jc w:val="both"/>
        <w:rPr>
          <w:rFonts w:ascii="Arial" w:hAnsi="Arial" w:cs="Arial"/>
          <w:sz w:val="24"/>
          <w:szCs w:val="24"/>
        </w:rPr>
      </w:pPr>
      <w:r w:rsidRPr="00121B2F">
        <w:rPr>
          <w:rFonts w:ascii="Arial" w:hAnsi="Arial" w:cs="Arial"/>
          <w:sz w:val="24"/>
          <w:szCs w:val="24"/>
        </w:rPr>
        <w:t>Co</w:t>
      </w:r>
      <w:r w:rsidRPr="00121B2F">
        <w:rPr>
          <w:rFonts w:ascii="Arial" w:hAnsi="Arial" w:cs="Arial"/>
          <w:spacing w:val="-2"/>
          <w:sz w:val="24"/>
          <w:szCs w:val="24"/>
        </w:rPr>
        <w:t>n</w:t>
      </w:r>
      <w:r w:rsidRPr="00121B2F">
        <w:rPr>
          <w:rFonts w:ascii="Arial" w:hAnsi="Arial" w:cs="Arial"/>
          <w:sz w:val="24"/>
          <w:szCs w:val="24"/>
        </w:rPr>
        <w:t>siste</w:t>
      </w:r>
      <w:r w:rsidRPr="00121B2F">
        <w:rPr>
          <w:rFonts w:ascii="Arial" w:hAnsi="Arial" w:cs="Arial"/>
          <w:spacing w:val="-2"/>
          <w:sz w:val="24"/>
          <w:szCs w:val="24"/>
        </w:rPr>
        <w:t>n</w:t>
      </w:r>
      <w:r w:rsidRPr="00121B2F">
        <w:rPr>
          <w:rFonts w:ascii="Arial" w:hAnsi="Arial" w:cs="Arial"/>
          <w:sz w:val="24"/>
          <w:szCs w:val="24"/>
        </w:rPr>
        <w:t>t</w:t>
      </w:r>
      <w:r w:rsidRPr="00121B2F">
        <w:rPr>
          <w:rFonts w:ascii="Arial" w:hAnsi="Arial" w:cs="Arial"/>
          <w:spacing w:val="19"/>
          <w:sz w:val="24"/>
          <w:szCs w:val="24"/>
        </w:rPr>
        <w:t xml:space="preserve"> </w:t>
      </w:r>
      <w:r w:rsidRPr="00121B2F">
        <w:rPr>
          <w:rFonts w:ascii="Arial" w:hAnsi="Arial" w:cs="Arial"/>
          <w:sz w:val="24"/>
          <w:szCs w:val="24"/>
        </w:rPr>
        <w:t>w</w:t>
      </w:r>
      <w:r w:rsidRPr="00121B2F">
        <w:rPr>
          <w:rFonts w:ascii="Arial" w:hAnsi="Arial" w:cs="Arial"/>
          <w:spacing w:val="-1"/>
          <w:sz w:val="24"/>
          <w:szCs w:val="24"/>
        </w:rPr>
        <w:t>i</w:t>
      </w:r>
      <w:r w:rsidRPr="00121B2F">
        <w:rPr>
          <w:rFonts w:ascii="Arial" w:hAnsi="Arial" w:cs="Arial"/>
          <w:sz w:val="24"/>
          <w:szCs w:val="24"/>
        </w:rPr>
        <w:t>th</w:t>
      </w:r>
      <w:r w:rsidRPr="00121B2F">
        <w:rPr>
          <w:rFonts w:ascii="Arial" w:hAnsi="Arial" w:cs="Arial"/>
          <w:spacing w:val="25"/>
          <w:sz w:val="24"/>
          <w:szCs w:val="24"/>
        </w:rPr>
        <w:t xml:space="preserve"> </w:t>
      </w:r>
      <w:r w:rsidRPr="00121B2F">
        <w:rPr>
          <w:rFonts w:ascii="Arial" w:hAnsi="Arial" w:cs="Arial"/>
          <w:sz w:val="24"/>
          <w:szCs w:val="24"/>
        </w:rPr>
        <w:t>the</w:t>
      </w:r>
      <w:r w:rsidRPr="00121B2F">
        <w:rPr>
          <w:rFonts w:ascii="Arial" w:hAnsi="Arial" w:cs="Arial"/>
          <w:spacing w:val="26"/>
          <w:sz w:val="24"/>
          <w:szCs w:val="24"/>
        </w:rPr>
        <w:t xml:space="preserve"> </w:t>
      </w:r>
      <w:r w:rsidRPr="00121B2F">
        <w:rPr>
          <w:rFonts w:ascii="Arial" w:hAnsi="Arial" w:cs="Arial"/>
          <w:sz w:val="24"/>
          <w:szCs w:val="24"/>
        </w:rPr>
        <w:t>aim</w:t>
      </w:r>
      <w:r w:rsidRPr="00121B2F">
        <w:rPr>
          <w:rFonts w:ascii="Arial" w:hAnsi="Arial" w:cs="Arial"/>
          <w:spacing w:val="25"/>
          <w:sz w:val="24"/>
          <w:szCs w:val="24"/>
        </w:rPr>
        <w:t xml:space="preserve"> </w:t>
      </w:r>
      <w:r w:rsidRPr="00121B2F">
        <w:rPr>
          <w:rFonts w:ascii="Arial" w:hAnsi="Arial" w:cs="Arial"/>
          <w:sz w:val="24"/>
          <w:szCs w:val="24"/>
        </w:rPr>
        <w:t>of</w:t>
      </w:r>
      <w:r w:rsidRPr="00121B2F">
        <w:rPr>
          <w:rFonts w:ascii="Arial" w:hAnsi="Arial" w:cs="Arial"/>
          <w:spacing w:val="26"/>
          <w:sz w:val="24"/>
          <w:szCs w:val="24"/>
        </w:rPr>
        <w:t xml:space="preserve"> </w:t>
      </w:r>
      <w:r w:rsidRPr="00121B2F">
        <w:rPr>
          <w:rFonts w:ascii="Arial" w:hAnsi="Arial" w:cs="Arial"/>
          <w:sz w:val="24"/>
          <w:szCs w:val="24"/>
        </w:rPr>
        <w:t>enab</w:t>
      </w:r>
      <w:r w:rsidRPr="00121B2F">
        <w:rPr>
          <w:rFonts w:ascii="Arial" w:hAnsi="Arial" w:cs="Arial"/>
          <w:spacing w:val="-1"/>
          <w:sz w:val="24"/>
          <w:szCs w:val="24"/>
        </w:rPr>
        <w:t>l</w:t>
      </w:r>
      <w:r w:rsidRPr="00121B2F">
        <w:rPr>
          <w:rFonts w:ascii="Arial" w:hAnsi="Arial" w:cs="Arial"/>
          <w:sz w:val="24"/>
          <w:szCs w:val="24"/>
        </w:rPr>
        <w:t>ing</w:t>
      </w:r>
      <w:r w:rsidRPr="00121B2F">
        <w:rPr>
          <w:rFonts w:ascii="Arial" w:hAnsi="Arial" w:cs="Arial"/>
          <w:spacing w:val="21"/>
          <w:sz w:val="24"/>
          <w:szCs w:val="24"/>
        </w:rPr>
        <w:t xml:space="preserve"> </w:t>
      </w:r>
      <w:r w:rsidRPr="00121B2F">
        <w:rPr>
          <w:rFonts w:ascii="Arial" w:hAnsi="Arial" w:cs="Arial"/>
          <w:sz w:val="24"/>
          <w:szCs w:val="24"/>
        </w:rPr>
        <w:t>em</w:t>
      </w:r>
      <w:r w:rsidRPr="00121B2F">
        <w:rPr>
          <w:rFonts w:ascii="Arial" w:hAnsi="Arial" w:cs="Arial"/>
          <w:spacing w:val="-1"/>
          <w:sz w:val="24"/>
          <w:szCs w:val="24"/>
        </w:rPr>
        <w:t>p</w:t>
      </w:r>
      <w:r w:rsidRPr="00121B2F">
        <w:rPr>
          <w:rFonts w:ascii="Arial" w:hAnsi="Arial" w:cs="Arial"/>
          <w:sz w:val="24"/>
          <w:szCs w:val="24"/>
        </w:rPr>
        <w:t>loyers'</w:t>
      </w:r>
      <w:r w:rsidRPr="00121B2F">
        <w:rPr>
          <w:rFonts w:ascii="Arial" w:hAnsi="Arial" w:cs="Arial"/>
          <w:spacing w:val="19"/>
          <w:sz w:val="24"/>
          <w:szCs w:val="24"/>
        </w:rPr>
        <w:t xml:space="preserve"> </w:t>
      </w:r>
      <w:r w:rsidRPr="00121B2F">
        <w:rPr>
          <w:rFonts w:ascii="Arial" w:hAnsi="Arial" w:cs="Arial"/>
          <w:sz w:val="24"/>
          <w:szCs w:val="24"/>
        </w:rPr>
        <w:t>contr</w:t>
      </w:r>
      <w:r w:rsidRPr="00121B2F">
        <w:rPr>
          <w:rFonts w:ascii="Arial" w:hAnsi="Arial" w:cs="Arial"/>
          <w:spacing w:val="-1"/>
          <w:sz w:val="24"/>
          <w:szCs w:val="24"/>
        </w:rPr>
        <w:t>i</w:t>
      </w:r>
      <w:r w:rsidRPr="00121B2F">
        <w:rPr>
          <w:rFonts w:ascii="Arial" w:hAnsi="Arial" w:cs="Arial"/>
          <w:sz w:val="24"/>
          <w:szCs w:val="24"/>
        </w:rPr>
        <w:t>bu</w:t>
      </w:r>
      <w:r w:rsidRPr="00121B2F">
        <w:rPr>
          <w:rFonts w:ascii="Arial" w:hAnsi="Arial" w:cs="Arial"/>
          <w:spacing w:val="1"/>
          <w:sz w:val="24"/>
          <w:szCs w:val="24"/>
        </w:rPr>
        <w:t>t</w:t>
      </w:r>
      <w:r w:rsidRPr="00121B2F">
        <w:rPr>
          <w:rFonts w:ascii="Arial" w:hAnsi="Arial" w:cs="Arial"/>
          <w:spacing w:val="-1"/>
          <w:sz w:val="24"/>
          <w:szCs w:val="24"/>
        </w:rPr>
        <w:t>i</w:t>
      </w:r>
      <w:r w:rsidRPr="00121B2F">
        <w:rPr>
          <w:rFonts w:ascii="Arial" w:hAnsi="Arial" w:cs="Arial"/>
          <w:sz w:val="24"/>
          <w:szCs w:val="24"/>
        </w:rPr>
        <w:t>on</w:t>
      </w:r>
      <w:r w:rsidRPr="00121B2F">
        <w:rPr>
          <w:rFonts w:ascii="Arial" w:hAnsi="Arial" w:cs="Arial"/>
          <w:spacing w:val="18"/>
          <w:sz w:val="24"/>
          <w:szCs w:val="24"/>
        </w:rPr>
        <w:t xml:space="preserve"> </w:t>
      </w:r>
      <w:r w:rsidRPr="00121B2F">
        <w:rPr>
          <w:rFonts w:ascii="Arial" w:hAnsi="Arial" w:cs="Arial"/>
          <w:spacing w:val="-1"/>
          <w:sz w:val="24"/>
          <w:szCs w:val="24"/>
        </w:rPr>
        <w:t>r</w:t>
      </w:r>
      <w:r w:rsidRPr="00121B2F">
        <w:rPr>
          <w:rFonts w:ascii="Arial" w:hAnsi="Arial" w:cs="Arial"/>
          <w:spacing w:val="1"/>
          <w:sz w:val="24"/>
          <w:szCs w:val="24"/>
        </w:rPr>
        <w:t>a</w:t>
      </w:r>
      <w:r w:rsidRPr="00121B2F">
        <w:rPr>
          <w:rFonts w:ascii="Arial" w:hAnsi="Arial" w:cs="Arial"/>
          <w:sz w:val="24"/>
          <w:szCs w:val="24"/>
        </w:rPr>
        <w:t>tes</w:t>
      </w:r>
      <w:r w:rsidRPr="00121B2F">
        <w:rPr>
          <w:rFonts w:ascii="Arial" w:hAnsi="Arial" w:cs="Arial"/>
          <w:spacing w:val="24"/>
          <w:sz w:val="24"/>
          <w:szCs w:val="24"/>
        </w:rPr>
        <w:t xml:space="preserve"> </w:t>
      </w:r>
      <w:r w:rsidRPr="00121B2F">
        <w:rPr>
          <w:rFonts w:ascii="Arial" w:hAnsi="Arial" w:cs="Arial"/>
          <w:spacing w:val="-1"/>
          <w:sz w:val="24"/>
          <w:szCs w:val="24"/>
        </w:rPr>
        <w:t>t</w:t>
      </w:r>
      <w:r w:rsidRPr="00121B2F">
        <w:rPr>
          <w:rFonts w:ascii="Arial" w:hAnsi="Arial" w:cs="Arial"/>
          <w:sz w:val="24"/>
          <w:szCs w:val="24"/>
        </w:rPr>
        <w:t>o</w:t>
      </w:r>
      <w:r w:rsidRPr="00121B2F">
        <w:rPr>
          <w:rFonts w:ascii="Arial" w:hAnsi="Arial" w:cs="Arial"/>
          <w:spacing w:val="27"/>
          <w:sz w:val="24"/>
          <w:szCs w:val="24"/>
        </w:rPr>
        <w:t xml:space="preserve"> </w:t>
      </w:r>
      <w:r w:rsidRPr="00121B2F">
        <w:rPr>
          <w:rFonts w:ascii="Arial" w:hAnsi="Arial" w:cs="Arial"/>
          <w:sz w:val="24"/>
          <w:szCs w:val="24"/>
        </w:rPr>
        <w:t>be</w:t>
      </w:r>
      <w:r w:rsidRPr="00121B2F">
        <w:rPr>
          <w:rFonts w:ascii="Arial" w:hAnsi="Arial" w:cs="Arial"/>
          <w:spacing w:val="26"/>
          <w:sz w:val="24"/>
          <w:szCs w:val="24"/>
        </w:rPr>
        <w:t xml:space="preserve"> </w:t>
      </w:r>
      <w:r w:rsidRPr="00121B2F">
        <w:rPr>
          <w:rFonts w:ascii="Arial" w:hAnsi="Arial" w:cs="Arial"/>
          <w:spacing w:val="-1"/>
          <w:sz w:val="24"/>
          <w:szCs w:val="24"/>
        </w:rPr>
        <w:t>k</w:t>
      </w:r>
      <w:r w:rsidRPr="00121B2F">
        <w:rPr>
          <w:rFonts w:ascii="Arial" w:hAnsi="Arial" w:cs="Arial"/>
          <w:sz w:val="24"/>
          <w:szCs w:val="24"/>
        </w:rPr>
        <w:t>ept</w:t>
      </w:r>
      <w:r w:rsidRPr="00121B2F">
        <w:rPr>
          <w:rFonts w:ascii="Arial" w:hAnsi="Arial" w:cs="Arial"/>
          <w:spacing w:val="24"/>
          <w:sz w:val="24"/>
          <w:szCs w:val="24"/>
        </w:rPr>
        <w:t xml:space="preserve"> </w:t>
      </w:r>
      <w:r w:rsidRPr="00121B2F">
        <w:rPr>
          <w:rFonts w:ascii="Arial" w:hAnsi="Arial" w:cs="Arial"/>
          <w:sz w:val="24"/>
          <w:szCs w:val="24"/>
        </w:rPr>
        <w:t xml:space="preserve">as </w:t>
      </w:r>
      <w:r w:rsidRPr="00121B2F">
        <w:rPr>
          <w:rFonts w:ascii="Arial" w:hAnsi="Arial" w:cs="Arial"/>
          <w:spacing w:val="-2"/>
          <w:sz w:val="24"/>
          <w:szCs w:val="24"/>
        </w:rPr>
        <w:t>n</w:t>
      </w:r>
      <w:r w:rsidRPr="00121B2F">
        <w:rPr>
          <w:rFonts w:ascii="Arial" w:hAnsi="Arial" w:cs="Arial"/>
          <w:sz w:val="24"/>
          <w:szCs w:val="24"/>
        </w:rPr>
        <w:t>ea</w:t>
      </w:r>
      <w:r w:rsidRPr="00121B2F">
        <w:rPr>
          <w:rFonts w:ascii="Arial" w:hAnsi="Arial" w:cs="Arial"/>
          <w:spacing w:val="-1"/>
          <w:sz w:val="24"/>
          <w:szCs w:val="24"/>
        </w:rPr>
        <w:t>r</w:t>
      </w:r>
      <w:r w:rsidRPr="00121B2F">
        <w:rPr>
          <w:rFonts w:ascii="Arial" w:hAnsi="Arial" w:cs="Arial"/>
          <w:sz w:val="24"/>
          <w:szCs w:val="24"/>
        </w:rPr>
        <w:t>ly</w:t>
      </w:r>
      <w:r w:rsidRPr="00121B2F">
        <w:rPr>
          <w:rFonts w:ascii="Arial" w:hAnsi="Arial" w:cs="Arial"/>
          <w:spacing w:val="-3"/>
          <w:sz w:val="24"/>
          <w:szCs w:val="24"/>
        </w:rPr>
        <w:t xml:space="preserve"> </w:t>
      </w:r>
      <w:r w:rsidRPr="00121B2F">
        <w:rPr>
          <w:rFonts w:ascii="Arial" w:hAnsi="Arial" w:cs="Arial"/>
          <w:sz w:val="24"/>
          <w:szCs w:val="24"/>
        </w:rPr>
        <w:t>constant</w:t>
      </w:r>
      <w:r w:rsidRPr="00121B2F">
        <w:rPr>
          <w:rFonts w:ascii="Arial" w:hAnsi="Arial" w:cs="Arial"/>
          <w:spacing w:val="-5"/>
          <w:sz w:val="24"/>
          <w:szCs w:val="24"/>
        </w:rPr>
        <w:t xml:space="preserve"> </w:t>
      </w:r>
      <w:r w:rsidRPr="00121B2F">
        <w:rPr>
          <w:rFonts w:ascii="Arial" w:hAnsi="Arial" w:cs="Arial"/>
          <w:sz w:val="24"/>
          <w:szCs w:val="24"/>
        </w:rPr>
        <w:t>as</w:t>
      </w:r>
      <w:r w:rsidRPr="00121B2F">
        <w:rPr>
          <w:rFonts w:ascii="Arial" w:hAnsi="Arial" w:cs="Arial"/>
          <w:spacing w:val="1"/>
          <w:sz w:val="24"/>
          <w:szCs w:val="24"/>
        </w:rPr>
        <w:t xml:space="preserve"> </w:t>
      </w:r>
      <w:r w:rsidRPr="00121B2F">
        <w:rPr>
          <w:rFonts w:ascii="Arial" w:hAnsi="Arial" w:cs="Arial"/>
          <w:sz w:val="24"/>
          <w:szCs w:val="24"/>
        </w:rPr>
        <w:t>po</w:t>
      </w:r>
      <w:r w:rsidRPr="00121B2F">
        <w:rPr>
          <w:rFonts w:ascii="Arial" w:hAnsi="Arial" w:cs="Arial"/>
          <w:spacing w:val="-1"/>
          <w:sz w:val="24"/>
          <w:szCs w:val="24"/>
        </w:rPr>
        <w:t>s</w:t>
      </w:r>
      <w:r w:rsidRPr="00121B2F">
        <w:rPr>
          <w:rFonts w:ascii="Arial" w:hAnsi="Arial" w:cs="Arial"/>
          <w:sz w:val="24"/>
          <w:szCs w:val="24"/>
        </w:rPr>
        <w:t>s</w:t>
      </w:r>
      <w:r w:rsidRPr="00121B2F">
        <w:rPr>
          <w:rFonts w:ascii="Arial" w:hAnsi="Arial" w:cs="Arial"/>
          <w:spacing w:val="-1"/>
          <w:sz w:val="24"/>
          <w:szCs w:val="24"/>
        </w:rPr>
        <w:t>i</w:t>
      </w:r>
      <w:r w:rsidRPr="00121B2F">
        <w:rPr>
          <w:rFonts w:ascii="Arial" w:hAnsi="Arial" w:cs="Arial"/>
          <w:sz w:val="24"/>
          <w:szCs w:val="24"/>
        </w:rPr>
        <w:t>b</w:t>
      </w:r>
      <w:r w:rsidRPr="00121B2F">
        <w:rPr>
          <w:rFonts w:ascii="Arial" w:hAnsi="Arial" w:cs="Arial"/>
          <w:spacing w:val="-1"/>
          <w:sz w:val="24"/>
          <w:szCs w:val="24"/>
        </w:rPr>
        <w:t>l</w:t>
      </w:r>
      <w:r w:rsidRPr="00121B2F">
        <w:rPr>
          <w:rFonts w:ascii="Arial" w:hAnsi="Arial" w:cs="Arial"/>
          <w:spacing w:val="2"/>
          <w:sz w:val="24"/>
          <w:szCs w:val="24"/>
        </w:rPr>
        <w:t>e</w:t>
      </w:r>
      <w:r w:rsidRPr="00121B2F">
        <w:rPr>
          <w:rFonts w:ascii="Arial" w:hAnsi="Arial" w:cs="Arial"/>
          <w:sz w:val="24"/>
          <w:szCs w:val="24"/>
        </w:rPr>
        <w:t xml:space="preserve">, the required chance of achieving the Solvency Target at the end of the relevant Trajectory Period for each employer or employer group can be altered at successive valuations within an overall envelope of acceptable </w:t>
      </w:r>
      <w:r w:rsidR="0021364F" w:rsidRPr="00121B2F">
        <w:rPr>
          <w:rFonts w:ascii="Arial" w:hAnsi="Arial" w:cs="Arial"/>
          <w:sz w:val="24"/>
          <w:szCs w:val="24"/>
        </w:rPr>
        <w:t xml:space="preserve">risk. </w:t>
      </w:r>
    </w:p>
    <w:p w:rsidR="0021364F" w:rsidRPr="00121B2F" w:rsidRDefault="0021364F" w:rsidP="00121B2F">
      <w:pPr>
        <w:pStyle w:val="NoSpacing"/>
        <w:jc w:val="both"/>
        <w:rPr>
          <w:rFonts w:ascii="Arial" w:hAnsi="Arial" w:cs="Arial"/>
          <w:sz w:val="24"/>
          <w:szCs w:val="24"/>
        </w:rPr>
      </w:pPr>
    </w:p>
    <w:p w:rsidR="0045487E" w:rsidRPr="00A976F5" w:rsidRDefault="00CA1E24" w:rsidP="001638F8">
      <w:pPr>
        <w:widowControl w:val="0"/>
        <w:jc w:val="both"/>
        <w:outlineLvl w:val="0"/>
        <w:rPr>
          <w:rFonts w:ascii="Arial" w:hAnsi="Arial" w:cs="Arial"/>
          <w:sz w:val="24"/>
          <w:szCs w:val="24"/>
        </w:rPr>
      </w:pPr>
      <w:r>
        <w:rPr>
          <w:rFonts w:ascii="Arial" w:hAnsi="Arial" w:cs="Arial"/>
          <w:sz w:val="24"/>
          <w:szCs w:val="24"/>
        </w:rPr>
        <w:t>F</w:t>
      </w:r>
      <w:r w:rsidRPr="00A976F5">
        <w:rPr>
          <w:rFonts w:ascii="Arial" w:hAnsi="Arial" w:cs="Arial"/>
          <w:sz w:val="24"/>
          <w:szCs w:val="24"/>
        </w:rPr>
        <w:t>ollowing a valuation</w:t>
      </w:r>
      <w:r>
        <w:rPr>
          <w:rFonts w:ascii="Arial" w:hAnsi="Arial" w:cs="Arial"/>
          <w:sz w:val="24"/>
          <w:szCs w:val="24"/>
        </w:rPr>
        <w:t>,</w:t>
      </w:r>
      <w:r w:rsidRPr="00A976F5" w:rsidDel="0021364F">
        <w:rPr>
          <w:rFonts w:ascii="Arial" w:hAnsi="Arial" w:cs="Arial"/>
          <w:sz w:val="24"/>
          <w:szCs w:val="24"/>
        </w:rPr>
        <w:t xml:space="preserve"> </w:t>
      </w:r>
      <w:r>
        <w:rPr>
          <w:rFonts w:ascii="Arial" w:hAnsi="Arial" w:cs="Arial"/>
          <w:sz w:val="24"/>
          <w:szCs w:val="24"/>
        </w:rPr>
        <w:t>t</w:t>
      </w:r>
      <w:r w:rsidR="0045487E" w:rsidRPr="00A976F5">
        <w:rPr>
          <w:rFonts w:ascii="Arial" w:hAnsi="Arial" w:cs="Arial"/>
          <w:sz w:val="24"/>
          <w:szCs w:val="24"/>
        </w:rPr>
        <w:t xml:space="preserve">he </w:t>
      </w:r>
      <w:r w:rsidR="00CD42B5">
        <w:rPr>
          <w:rFonts w:ascii="Arial" w:hAnsi="Arial" w:cs="Arial"/>
          <w:sz w:val="24"/>
          <w:szCs w:val="24"/>
        </w:rPr>
        <w:t>a</w:t>
      </w:r>
      <w:r w:rsidR="009B2027">
        <w:rPr>
          <w:rFonts w:ascii="Arial" w:hAnsi="Arial" w:cs="Arial"/>
          <w:sz w:val="24"/>
          <w:szCs w:val="24"/>
        </w:rPr>
        <w:t>dministering authority</w:t>
      </w:r>
      <w:r w:rsidR="0045487E" w:rsidRPr="00A976F5">
        <w:rPr>
          <w:rFonts w:ascii="Arial" w:hAnsi="Arial" w:cs="Arial"/>
          <w:sz w:val="24"/>
          <w:szCs w:val="24"/>
        </w:rPr>
        <w:t xml:space="preserve"> will not permit contributions to be set that have an unacceptably low chance of achieving the Solvency Target at the end of the relevant Trajectory Period. </w:t>
      </w:r>
    </w:p>
    <w:p w:rsidR="0045487E" w:rsidRPr="00E24CF5" w:rsidRDefault="0045487E" w:rsidP="0045487E">
      <w:pPr>
        <w:rPr>
          <w:rFonts w:ascii="Arial" w:hAnsi="Arial" w:cs="Arial"/>
          <w:b/>
          <w:szCs w:val="22"/>
        </w:rPr>
      </w:pPr>
    </w:p>
    <w:p w:rsidR="0045487E" w:rsidRPr="00181050" w:rsidRDefault="007E1655" w:rsidP="001638F8">
      <w:pPr>
        <w:jc w:val="both"/>
        <w:outlineLvl w:val="0"/>
        <w:rPr>
          <w:rFonts w:ascii="Arial" w:hAnsi="Arial" w:cs="Arial"/>
          <w:b/>
          <w:sz w:val="24"/>
          <w:szCs w:val="24"/>
        </w:rPr>
      </w:pPr>
      <w:r>
        <w:rPr>
          <w:rFonts w:ascii="Arial" w:hAnsi="Arial" w:cs="Arial"/>
          <w:b/>
          <w:sz w:val="24"/>
          <w:szCs w:val="24"/>
        </w:rPr>
        <w:t>Funding Target</w:t>
      </w:r>
    </w:p>
    <w:p w:rsidR="00256434" w:rsidRDefault="00256434">
      <w:pPr>
        <w:jc w:val="both"/>
        <w:rPr>
          <w:rFonts w:ascii="Arial" w:hAnsi="Arial" w:cs="Arial"/>
          <w:b/>
          <w:sz w:val="24"/>
          <w:szCs w:val="24"/>
          <w:u w:val="single"/>
        </w:rPr>
      </w:pPr>
    </w:p>
    <w:p w:rsidR="00C73328" w:rsidRDefault="00C73328" w:rsidP="00A67A9A">
      <w:pPr>
        <w:pStyle w:val="Normalplus"/>
        <w:spacing w:after="0"/>
        <w:jc w:val="both"/>
        <w:rPr>
          <w:rFonts w:ascii="Arial" w:hAnsi="Arial" w:cs="Arial"/>
          <w:sz w:val="24"/>
          <w:szCs w:val="24"/>
        </w:rPr>
      </w:pPr>
      <w:r>
        <w:rPr>
          <w:rFonts w:ascii="Arial" w:hAnsi="Arial" w:cs="Arial"/>
          <w:sz w:val="24"/>
          <w:szCs w:val="24"/>
        </w:rPr>
        <w:t>In order to satisfy the legislative requirement to secure long term cost efficiency</w:t>
      </w:r>
      <w:r w:rsidR="00B143AD">
        <w:rPr>
          <w:rFonts w:ascii="Arial" w:hAnsi="Arial" w:cs="Arial"/>
          <w:sz w:val="24"/>
          <w:szCs w:val="24"/>
        </w:rPr>
        <w:t>,</w:t>
      </w:r>
      <w:r>
        <w:rPr>
          <w:rFonts w:ascii="Arial" w:hAnsi="Arial" w:cs="Arial"/>
          <w:sz w:val="24"/>
          <w:szCs w:val="24"/>
        </w:rPr>
        <w:t xml:space="preserve"> the </w:t>
      </w:r>
      <w:r w:rsidR="00CD42B5">
        <w:rPr>
          <w:rFonts w:ascii="Arial" w:hAnsi="Arial" w:cs="Arial"/>
          <w:sz w:val="24"/>
          <w:szCs w:val="24"/>
        </w:rPr>
        <w:t>a</w:t>
      </w:r>
      <w:r w:rsidR="009B2027">
        <w:rPr>
          <w:rFonts w:ascii="Arial" w:hAnsi="Arial" w:cs="Arial"/>
          <w:sz w:val="24"/>
          <w:szCs w:val="24"/>
        </w:rPr>
        <w:t>dministering authority</w:t>
      </w:r>
      <w:r>
        <w:rPr>
          <w:rFonts w:ascii="Arial" w:hAnsi="Arial" w:cs="Arial"/>
          <w:sz w:val="24"/>
          <w:szCs w:val="24"/>
        </w:rPr>
        <w:t>’s aim is for employer contributions to be set so as to make provision for the cost of benefit accrual, with an appropriate adjustment for any surplus or deficiency. This is achieved through the setting of a Funding Target.</w:t>
      </w:r>
    </w:p>
    <w:p w:rsidR="00C73328" w:rsidRDefault="00C73328" w:rsidP="00A67A9A">
      <w:pPr>
        <w:pStyle w:val="Normalplus"/>
        <w:spacing w:after="0"/>
        <w:jc w:val="both"/>
        <w:rPr>
          <w:rFonts w:ascii="Arial" w:hAnsi="Arial" w:cs="Arial"/>
          <w:sz w:val="24"/>
          <w:szCs w:val="24"/>
        </w:rPr>
      </w:pPr>
    </w:p>
    <w:p w:rsidR="00A976F5" w:rsidRPr="00AF0891" w:rsidRDefault="00256434" w:rsidP="00A67A9A">
      <w:pPr>
        <w:pStyle w:val="Normalplus"/>
        <w:spacing w:after="0"/>
        <w:jc w:val="both"/>
        <w:rPr>
          <w:rFonts w:ascii="Arial" w:hAnsi="Arial" w:cs="Arial"/>
          <w:sz w:val="24"/>
          <w:szCs w:val="24"/>
        </w:rPr>
      </w:pPr>
      <w:r w:rsidRPr="00935734">
        <w:rPr>
          <w:rFonts w:ascii="Arial" w:hAnsi="Arial" w:cs="Arial"/>
          <w:sz w:val="24"/>
          <w:szCs w:val="24"/>
        </w:rPr>
        <w:t xml:space="preserve">The </w:t>
      </w:r>
      <w:r w:rsidR="00C325AC" w:rsidRPr="00935734">
        <w:rPr>
          <w:rFonts w:ascii="Arial" w:hAnsi="Arial" w:cs="Arial"/>
          <w:sz w:val="24"/>
          <w:szCs w:val="24"/>
        </w:rPr>
        <w:t>Funding T</w:t>
      </w:r>
      <w:r w:rsidRPr="00935734">
        <w:rPr>
          <w:rFonts w:ascii="Arial" w:hAnsi="Arial" w:cs="Arial"/>
          <w:sz w:val="24"/>
          <w:szCs w:val="24"/>
        </w:rPr>
        <w:t xml:space="preserve">arget </w:t>
      </w:r>
      <w:r w:rsidRPr="008F583F">
        <w:rPr>
          <w:rFonts w:ascii="Arial" w:hAnsi="Arial" w:cs="Arial"/>
          <w:sz w:val="24"/>
          <w:szCs w:val="24"/>
        </w:rPr>
        <w:t xml:space="preserve">is the </w:t>
      </w:r>
      <w:r w:rsidR="0021364F" w:rsidRPr="00916E73">
        <w:rPr>
          <w:rFonts w:ascii="Arial" w:hAnsi="Arial" w:cs="Arial"/>
          <w:sz w:val="24"/>
          <w:szCs w:val="24"/>
        </w:rPr>
        <w:t>value</w:t>
      </w:r>
      <w:r w:rsidR="0021364F" w:rsidRPr="008F583F">
        <w:rPr>
          <w:rFonts w:ascii="Arial" w:hAnsi="Arial" w:cs="Arial"/>
          <w:sz w:val="24"/>
          <w:szCs w:val="24"/>
        </w:rPr>
        <w:t xml:space="preserve"> </w:t>
      </w:r>
      <w:r w:rsidRPr="00916E73">
        <w:rPr>
          <w:rFonts w:ascii="Arial" w:hAnsi="Arial" w:cs="Arial"/>
          <w:sz w:val="24"/>
          <w:szCs w:val="24"/>
        </w:rPr>
        <w:t>of assets</w:t>
      </w:r>
      <w:r w:rsidRPr="00935734">
        <w:rPr>
          <w:rFonts w:ascii="Arial" w:hAnsi="Arial" w:cs="Arial"/>
          <w:sz w:val="24"/>
          <w:szCs w:val="24"/>
        </w:rPr>
        <w:t xml:space="preserve"> which the Fund needs to hold at </w:t>
      </w:r>
      <w:r w:rsidR="00A976F5" w:rsidRPr="00AF0891">
        <w:rPr>
          <w:rFonts w:ascii="Arial" w:hAnsi="Arial" w:cs="Arial"/>
          <w:sz w:val="24"/>
          <w:szCs w:val="24"/>
        </w:rPr>
        <w:t>the valuation date to pay the liabilities at that date</w:t>
      </w:r>
      <w:r w:rsidR="00B143AD">
        <w:rPr>
          <w:rFonts w:ascii="Arial" w:hAnsi="Arial" w:cs="Arial"/>
          <w:sz w:val="24"/>
          <w:szCs w:val="24"/>
        </w:rPr>
        <w:t>,</w:t>
      </w:r>
      <w:r w:rsidR="00A976F5" w:rsidRPr="00AF0891">
        <w:rPr>
          <w:rFonts w:ascii="Arial" w:hAnsi="Arial" w:cs="Arial"/>
          <w:sz w:val="24"/>
          <w:szCs w:val="24"/>
        </w:rPr>
        <w:t xml:space="preserve"> as indicated by the chosen valuation method and assumptions. </w:t>
      </w:r>
      <w:r w:rsidR="0021364F">
        <w:rPr>
          <w:rFonts w:ascii="Arial" w:hAnsi="Arial" w:cs="Arial"/>
          <w:sz w:val="24"/>
          <w:szCs w:val="24"/>
        </w:rPr>
        <w:t xml:space="preserve"> </w:t>
      </w:r>
      <w:r w:rsidR="00A976F5" w:rsidRPr="00AF0891">
        <w:rPr>
          <w:rFonts w:ascii="Arial" w:hAnsi="Arial" w:cs="Arial"/>
          <w:sz w:val="24"/>
          <w:szCs w:val="24"/>
        </w:rPr>
        <w:t xml:space="preserve">It is a product of the triennial actuarial valuation exercise and is not necessarily the same as the Solvency Target. </w:t>
      </w:r>
      <w:r w:rsidR="0021364F">
        <w:rPr>
          <w:rFonts w:ascii="Arial" w:hAnsi="Arial" w:cs="Arial"/>
          <w:sz w:val="24"/>
          <w:szCs w:val="24"/>
        </w:rPr>
        <w:t xml:space="preserve"> </w:t>
      </w:r>
      <w:r w:rsidR="00A976F5" w:rsidRPr="00AF0891">
        <w:rPr>
          <w:rFonts w:ascii="Arial" w:hAnsi="Arial" w:cs="Arial"/>
          <w:sz w:val="24"/>
          <w:szCs w:val="24"/>
        </w:rPr>
        <w:t xml:space="preserve">It is instead the product of the data, chosen assumptions, and valuation method. </w:t>
      </w:r>
      <w:r w:rsidR="0021364F">
        <w:rPr>
          <w:rFonts w:ascii="Arial" w:hAnsi="Arial" w:cs="Arial"/>
          <w:sz w:val="24"/>
          <w:szCs w:val="24"/>
        </w:rPr>
        <w:t xml:space="preserve"> </w:t>
      </w:r>
      <w:r w:rsidR="00A976F5" w:rsidRPr="00AF0891">
        <w:rPr>
          <w:rFonts w:ascii="Arial" w:hAnsi="Arial" w:cs="Arial"/>
          <w:sz w:val="24"/>
          <w:szCs w:val="24"/>
        </w:rPr>
        <w:t>The valuation method</w:t>
      </w:r>
      <w:r w:rsidR="00B143AD">
        <w:rPr>
          <w:rFonts w:ascii="Arial" w:hAnsi="Arial" w:cs="Arial"/>
          <w:sz w:val="24"/>
          <w:szCs w:val="24"/>
        </w:rPr>
        <w:t>,</w:t>
      </w:r>
      <w:r w:rsidR="00A976F5" w:rsidRPr="00AF0891">
        <w:rPr>
          <w:rFonts w:ascii="Arial" w:hAnsi="Arial" w:cs="Arial"/>
          <w:sz w:val="24"/>
          <w:szCs w:val="24"/>
        </w:rPr>
        <w:t xml:space="preserve"> including the components of Funding Target, future service </w:t>
      </w:r>
      <w:r w:rsidR="001A323E">
        <w:rPr>
          <w:rFonts w:ascii="Arial" w:hAnsi="Arial" w:cs="Arial"/>
          <w:sz w:val="24"/>
          <w:szCs w:val="24"/>
        </w:rPr>
        <w:t>contributions</w:t>
      </w:r>
      <w:r w:rsidR="001A323E" w:rsidRPr="00AF0891">
        <w:rPr>
          <w:rFonts w:ascii="Arial" w:hAnsi="Arial" w:cs="Arial"/>
          <w:sz w:val="24"/>
          <w:szCs w:val="24"/>
        </w:rPr>
        <w:t xml:space="preserve"> </w:t>
      </w:r>
      <w:r w:rsidR="00A976F5" w:rsidRPr="00AF0891">
        <w:rPr>
          <w:rFonts w:ascii="Arial" w:hAnsi="Arial" w:cs="Arial"/>
          <w:sz w:val="24"/>
          <w:szCs w:val="24"/>
        </w:rPr>
        <w:t xml:space="preserve">and any adjustment for surplus or deficiency to set the level of contributions payable, in turn dictates the chance of achieving the Solvency Target at the end of the Trajectory Period (defined below). </w:t>
      </w:r>
      <w:r w:rsidR="0021364F">
        <w:rPr>
          <w:rFonts w:ascii="Arial" w:hAnsi="Arial" w:cs="Arial"/>
          <w:sz w:val="24"/>
          <w:szCs w:val="24"/>
        </w:rPr>
        <w:t xml:space="preserve"> </w:t>
      </w:r>
      <w:r w:rsidR="00A976F5" w:rsidRPr="00AF0891">
        <w:rPr>
          <w:rFonts w:ascii="Arial" w:hAnsi="Arial" w:cs="Arial"/>
          <w:sz w:val="24"/>
          <w:szCs w:val="24"/>
        </w:rPr>
        <w:t>The Funding Target will be the same as the Solvency Target only when the methods and assumptions used to set the Funding Target are the same as the appropriate funding methods and assumptions used to set the Solvency Target (see above).</w:t>
      </w:r>
    </w:p>
    <w:p w:rsidR="00A976F5" w:rsidRPr="00AF0891" w:rsidRDefault="00A976F5" w:rsidP="00A67A9A">
      <w:pPr>
        <w:pStyle w:val="Normalplus"/>
        <w:spacing w:after="0"/>
        <w:jc w:val="both"/>
        <w:rPr>
          <w:rFonts w:ascii="Arial" w:hAnsi="Arial" w:cs="Arial"/>
          <w:sz w:val="24"/>
          <w:szCs w:val="24"/>
        </w:rPr>
      </w:pPr>
    </w:p>
    <w:p w:rsidR="00A976F5" w:rsidRPr="00A976F5" w:rsidRDefault="00A976F5" w:rsidP="00A67A9A">
      <w:pPr>
        <w:widowControl w:val="0"/>
        <w:tabs>
          <w:tab w:val="left" w:pos="800"/>
        </w:tabs>
        <w:ind w:right="-20"/>
        <w:jc w:val="both"/>
        <w:rPr>
          <w:rFonts w:ascii="Arial" w:hAnsi="Arial" w:cs="Verdana"/>
          <w:spacing w:val="2"/>
          <w:sz w:val="24"/>
          <w:szCs w:val="24"/>
        </w:rPr>
      </w:pPr>
      <w:r w:rsidRPr="00AF0891">
        <w:rPr>
          <w:rFonts w:ascii="Arial" w:hAnsi="Arial" w:cs="Arial"/>
          <w:sz w:val="24"/>
          <w:szCs w:val="24"/>
        </w:rPr>
        <w:t>Co</w:t>
      </w:r>
      <w:r w:rsidRPr="00AF0891">
        <w:rPr>
          <w:rFonts w:ascii="Arial" w:hAnsi="Arial" w:cs="Arial"/>
          <w:spacing w:val="-2"/>
          <w:sz w:val="24"/>
          <w:szCs w:val="24"/>
        </w:rPr>
        <w:t>n</w:t>
      </w:r>
      <w:r w:rsidRPr="00AF0891">
        <w:rPr>
          <w:rFonts w:ascii="Arial" w:hAnsi="Arial" w:cs="Arial"/>
          <w:sz w:val="24"/>
          <w:szCs w:val="24"/>
        </w:rPr>
        <w:t>siste</w:t>
      </w:r>
      <w:r w:rsidRPr="00AF0891">
        <w:rPr>
          <w:rFonts w:ascii="Arial" w:hAnsi="Arial" w:cs="Arial"/>
          <w:spacing w:val="-2"/>
          <w:sz w:val="24"/>
          <w:szCs w:val="24"/>
        </w:rPr>
        <w:t>n</w:t>
      </w:r>
      <w:r w:rsidRPr="00AF0891">
        <w:rPr>
          <w:rFonts w:ascii="Arial" w:hAnsi="Arial" w:cs="Arial"/>
          <w:sz w:val="24"/>
          <w:szCs w:val="24"/>
        </w:rPr>
        <w:t>t</w:t>
      </w:r>
      <w:r w:rsidRPr="00AF0891">
        <w:rPr>
          <w:rFonts w:ascii="Arial" w:hAnsi="Arial" w:cs="Arial"/>
          <w:spacing w:val="19"/>
          <w:sz w:val="24"/>
          <w:szCs w:val="24"/>
        </w:rPr>
        <w:t xml:space="preserve"> </w:t>
      </w:r>
      <w:r w:rsidRPr="00AF0891">
        <w:rPr>
          <w:rFonts w:ascii="Arial" w:hAnsi="Arial" w:cs="Arial"/>
          <w:sz w:val="24"/>
          <w:szCs w:val="24"/>
        </w:rPr>
        <w:t>w</w:t>
      </w:r>
      <w:r w:rsidRPr="00AF0891">
        <w:rPr>
          <w:rFonts w:ascii="Arial" w:hAnsi="Arial" w:cs="Arial"/>
          <w:spacing w:val="-1"/>
          <w:sz w:val="24"/>
          <w:szCs w:val="24"/>
        </w:rPr>
        <w:t>i</w:t>
      </w:r>
      <w:r w:rsidRPr="00AF0891">
        <w:rPr>
          <w:rFonts w:ascii="Arial" w:hAnsi="Arial" w:cs="Arial"/>
          <w:sz w:val="24"/>
          <w:szCs w:val="24"/>
        </w:rPr>
        <w:t>th</w:t>
      </w:r>
      <w:r w:rsidRPr="00AF0891">
        <w:rPr>
          <w:rFonts w:ascii="Arial" w:hAnsi="Arial" w:cs="Arial"/>
          <w:spacing w:val="25"/>
          <w:sz w:val="24"/>
          <w:szCs w:val="24"/>
        </w:rPr>
        <w:t xml:space="preserve"> </w:t>
      </w:r>
      <w:r w:rsidRPr="00AF0891">
        <w:rPr>
          <w:rFonts w:ascii="Arial" w:hAnsi="Arial" w:cs="Arial"/>
          <w:sz w:val="24"/>
          <w:szCs w:val="24"/>
        </w:rPr>
        <w:t>the</w:t>
      </w:r>
      <w:r w:rsidRPr="00AF0891">
        <w:rPr>
          <w:rFonts w:ascii="Arial" w:hAnsi="Arial" w:cs="Arial"/>
          <w:spacing w:val="26"/>
          <w:sz w:val="24"/>
          <w:szCs w:val="24"/>
        </w:rPr>
        <w:t xml:space="preserve"> </w:t>
      </w:r>
      <w:r w:rsidRPr="00AF0891">
        <w:rPr>
          <w:rFonts w:ascii="Arial" w:hAnsi="Arial" w:cs="Arial"/>
          <w:sz w:val="24"/>
          <w:szCs w:val="24"/>
        </w:rPr>
        <w:t>aim</w:t>
      </w:r>
      <w:r w:rsidRPr="00AF0891">
        <w:rPr>
          <w:rFonts w:ascii="Arial" w:hAnsi="Arial" w:cs="Arial"/>
          <w:spacing w:val="25"/>
          <w:sz w:val="24"/>
          <w:szCs w:val="24"/>
        </w:rPr>
        <w:t xml:space="preserve"> </w:t>
      </w:r>
      <w:r w:rsidRPr="00AF0891">
        <w:rPr>
          <w:rFonts w:ascii="Arial" w:hAnsi="Arial" w:cs="Arial"/>
          <w:sz w:val="24"/>
          <w:szCs w:val="24"/>
        </w:rPr>
        <w:t>of</w:t>
      </w:r>
      <w:r w:rsidRPr="00AF0891">
        <w:rPr>
          <w:rFonts w:ascii="Arial" w:hAnsi="Arial" w:cs="Arial"/>
          <w:spacing w:val="26"/>
          <w:sz w:val="24"/>
          <w:szCs w:val="24"/>
        </w:rPr>
        <w:t xml:space="preserve"> </w:t>
      </w:r>
      <w:r w:rsidRPr="00AF0891">
        <w:rPr>
          <w:rFonts w:ascii="Arial" w:hAnsi="Arial" w:cs="Arial"/>
          <w:sz w:val="24"/>
          <w:szCs w:val="24"/>
        </w:rPr>
        <w:t>enab</w:t>
      </w:r>
      <w:r w:rsidRPr="00AF0891">
        <w:rPr>
          <w:rFonts w:ascii="Arial" w:hAnsi="Arial" w:cs="Arial"/>
          <w:spacing w:val="-1"/>
          <w:sz w:val="24"/>
          <w:szCs w:val="24"/>
        </w:rPr>
        <w:t>l</w:t>
      </w:r>
      <w:r w:rsidRPr="00AF0891">
        <w:rPr>
          <w:rFonts w:ascii="Arial" w:hAnsi="Arial" w:cs="Arial"/>
          <w:sz w:val="24"/>
          <w:szCs w:val="24"/>
        </w:rPr>
        <w:t>ing</w:t>
      </w:r>
      <w:r w:rsidRPr="00AF0891">
        <w:rPr>
          <w:rFonts w:ascii="Arial" w:hAnsi="Arial" w:cs="Arial"/>
          <w:spacing w:val="21"/>
          <w:sz w:val="24"/>
          <w:szCs w:val="24"/>
        </w:rPr>
        <w:t xml:space="preserve"> </w:t>
      </w:r>
      <w:r w:rsidRPr="00AF0891">
        <w:rPr>
          <w:rFonts w:ascii="Arial" w:hAnsi="Arial" w:cs="Arial"/>
          <w:sz w:val="24"/>
          <w:szCs w:val="24"/>
        </w:rPr>
        <w:t>em</w:t>
      </w:r>
      <w:r w:rsidRPr="00AF0891">
        <w:rPr>
          <w:rFonts w:ascii="Arial" w:hAnsi="Arial" w:cs="Arial"/>
          <w:spacing w:val="-1"/>
          <w:sz w:val="24"/>
          <w:szCs w:val="24"/>
        </w:rPr>
        <w:t>p</w:t>
      </w:r>
      <w:r w:rsidRPr="00AF0891">
        <w:rPr>
          <w:rFonts w:ascii="Arial" w:hAnsi="Arial" w:cs="Arial"/>
          <w:sz w:val="24"/>
          <w:szCs w:val="24"/>
        </w:rPr>
        <w:t>loyers'</w:t>
      </w:r>
      <w:r w:rsidRPr="00AF0891">
        <w:rPr>
          <w:rFonts w:ascii="Arial" w:hAnsi="Arial" w:cs="Arial"/>
          <w:spacing w:val="19"/>
          <w:sz w:val="24"/>
          <w:szCs w:val="24"/>
        </w:rPr>
        <w:t xml:space="preserve"> </w:t>
      </w:r>
      <w:r w:rsidR="001A323E">
        <w:rPr>
          <w:rFonts w:ascii="Arial" w:hAnsi="Arial" w:cs="Arial"/>
          <w:spacing w:val="19"/>
          <w:sz w:val="24"/>
          <w:szCs w:val="24"/>
        </w:rPr>
        <w:t xml:space="preserve">primary </w:t>
      </w:r>
      <w:r w:rsidRPr="00AF0891">
        <w:rPr>
          <w:rFonts w:ascii="Arial" w:hAnsi="Arial" w:cs="Arial"/>
          <w:sz w:val="24"/>
          <w:szCs w:val="24"/>
        </w:rPr>
        <w:t>contr</w:t>
      </w:r>
      <w:r w:rsidRPr="00AF0891">
        <w:rPr>
          <w:rFonts w:ascii="Arial" w:hAnsi="Arial" w:cs="Arial"/>
          <w:spacing w:val="-1"/>
          <w:sz w:val="24"/>
          <w:szCs w:val="24"/>
        </w:rPr>
        <w:t>i</w:t>
      </w:r>
      <w:r w:rsidRPr="00AF0891">
        <w:rPr>
          <w:rFonts w:ascii="Arial" w:hAnsi="Arial" w:cs="Arial"/>
          <w:sz w:val="24"/>
          <w:szCs w:val="24"/>
        </w:rPr>
        <w:t>bu</w:t>
      </w:r>
      <w:r w:rsidRPr="00AF0891">
        <w:rPr>
          <w:rFonts w:ascii="Arial" w:hAnsi="Arial" w:cs="Arial"/>
          <w:spacing w:val="1"/>
          <w:sz w:val="24"/>
          <w:szCs w:val="24"/>
        </w:rPr>
        <w:t>t</w:t>
      </w:r>
      <w:r w:rsidRPr="00AF0891">
        <w:rPr>
          <w:rFonts w:ascii="Arial" w:hAnsi="Arial" w:cs="Arial"/>
          <w:spacing w:val="-1"/>
          <w:sz w:val="24"/>
          <w:szCs w:val="24"/>
        </w:rPr>
        <w:t>i</w:t>
      </w:r>
      <w:r w:rsidRPr="00AF0891">
        <w:rPr>
          <w:rFonts w:ascii="Arial" w:hAnsi="Arial" w:cs="Arial"/>
          <w:sz w:val="24"/>
          <w:szCs w:val="24"/>
        </w:rPr>
        <w:t>on</w:t>
      </w:r>
      <w:r w:rsidRPr="00AF0891">
        <w:rPr>
          <w:rFonts w:ascii="Arial" w:hAnsi="Arial" w:cs="Arial"/>
          <w:spacing w:val="18"/>
          <w:sz w:val="24"/>
          <w:szCs w:val="24"/>
        </w:rPr>
        <w:t xml:space="preserve"> </w:t>
      </w:r>
      <w:r w:rsidRPr="00AF0891">
        <w:rPr>
          <w:rFonts w:ascii="Arial" w:hAnsi="Arial" w:cs="Arial"/>
          <w:spacing w:val="-1"/>
          <w:sz w:val="24"/>
          <w:szCs w:val="24"/>
        </w:rPr>
        <w:t>r</w:t>
      </w:r>
      <w:r w:rsidRPr="00AF0891">
        <w:rPr>
          <w:rFonts w:ascii="Arial" w:hAnsi="Arial" w:cs="Arial"/>
          <w:spacing w:val="1"/>
          <w:sz w:val="24"/>
          <w:szCs w:val="24"/>
        </w:rPr>
        <w:t>a</w:t>
      </w:r>
      <w:r w:rsidRPr="00AF0891">
        <w:rPr>
          <w:rFonts w:ascii="Arial" w:hAnsi="Arial" w:cs="Arial"/>
          <w:sz w:val="24"/>
          <w:szCs w:val="24"/>
        </w:rPr>
        <w:t>tes</w:t>
      </w:r>
      <w:r w:rsidRPr="00AF0891">
        <w:rPr>
          <w:rFonts w:ascii="Arial" w:hAnsi="Arial" w:cs="Arial"/>
          <w:spacing w:val="24"/>
          <w:sz w:val="24"/>
          <w:szCs w:val="24"/>
        </w:rPr>
        <w:t xml:space="preserve"> </w:t>
      </w:r>
      <w:r w:rsidRPr="00AF0891">
        <w:rPr>
          <w:rFonts w:ascii="Arial" w:hAnsi="Arial" w:cs="Arial"/>
          <w:spacing w:val="-1"/>
          <w:sz w:val="24"/>
          <w:szCs w:val="24"/>
        </w:rPr>
        <w:t>t</w:t>
      </w:r>
      <w:r w:rsidRPr="00AF0891">
        <w:rPr>
          <w:rFonts w:ascii="Arial" w:hAnsi="Arial" w:cs="Arial"/>
          <w:sz w:val="24"/>
          <w:szCs w:val="24"/>
        </w:rPr>
        <w:t>o</w:t>
      </w:r>
      <w:r w:rsidRPr="00AF0891">
        <w:rPr>
          <w:rFonts w:ascii="Arial" w:hAnsi="Arial" w:cs="Arial"/>
          <w:spacing w:val="27"/>
          <w:sz w:val="24"/>
          <w:szCs w:val="24"/>
        </w:rPr>
        <w:t xml:space="preserve"> </w:t>
      </w:r>
      <w:r w:rsidRPr="00AF0891">
        <w:rPr>
          <w:rFonts w:ascii="Arial" w:hAnsi="Arial" w:cs="Arial"/>
          <w:sz w:val="24"/>
          <w:szCs w:val="24"/>
        </w:rPr>
        <w:t>be</w:t>
      </w:r>
      <w:r w:rsidRPr="00AF0891">
        <w:rPr>
          <w:rFonts w:ascii="Arial" w:hAnsi="Arial" w:cs="Arial"/>
          <w:spacing w:val="26"/>
          <w:sz w:val="24"/>
          <w:szCs w:val="24"/>
        </w:rPr>
        <w:t xml:space="preserve"> </w:t>
      </w:r>
      <w:r w:rsidRPr="00AF0891">
        <w:rPr>
          <w:rFonts w:ascii="Arial" w:hAnsi="Arial" w:cs="Arial"/>
          <w:spacing w:val="-1"/>
          <w:sz w:val="24"/>
          <w:szCs w:val="24"/>
        </w:rPr>
        <w:t>k</w:t>
      </w:r>
      <w:r w:rsidRPr="00AF0891">
        <w:rPr>
          <w:rFonts w:ascii="Arial" w:hAnsi="Arial" w:cs="Arial"/>
          <w:sz w:val="24"/>
          <w:szCs w:val="24"/>
        </w:rPr>
        <w:t>ept</w:t>
      </w:r>
      <w:r w:rsidRPr="00AF0891">
        <w:rPr>
          <w:rFonts w:ascii="Arial" w:hAnsi="Arial" w:cs="Arial"/>
          <w:spacing w:val="24"/>
          <w:sz w:val="24"/>
          <w:szCs w:val="24"/>
        </w:rPr>
        <w:t xml:space="preserve"> </w:t>
      </w:r>
      <w:r w:rsidRPr="00AF0891">
        <w:rPr>
          <w:rFonts w:ascii="Arial" w:hAnsi="Arial" w:cs="Arial"/>
          <w:sz w:val="24"/>
          <w:szCs w:val="24"/>
        </w:rPr>
        <w:t xml:space="preserve">as </w:t>
      </w:r>
      <w:r w:rsidRPr="00A976F5">
        <w:rPr>
          <w:rFonts w:ascii="Arial" w:hAnsi="Arial" w:cs="Verdana"/>
          <w:spacing w:val="-2"/>
          <w:sz w:val="24"/>
          <w:szCs w:val="24"/>
        </w:rPr>
        <w:t>n</w:t>
      </w:r>
      <w:r w:rsidRPr="00A976F5">
        <w:rPr>
          <w:rFonts w:ascii="Arial" w:hAnsi="Arial" w:cs="Verdana"/>
          <w:sz w:val="24"/>
          <w:szCs w:val="24"/>
        </w:rPr>
        <w:t>ea</w:t>
      </w:r>
      <w:r w:rsidRPr="00A976F5">
        <w:rPr>
          <w:rFonts w:ascii="Arial" w:hAnsi="Arial" w:cs="Verdana"/>
          <w:spacing w:val="-1"/>
          <w:sz w:val="24"/>
          <w:szCs w:val="24"/>
        </w:rPr>
        <w:t>r</w:t>
      </w:r>
      <w:r w:rsidRPr="00A976F5">
        <w:rPr>
          <w:rFonts w:ascii="Arial" w:hAnsi="Arial" w:cs="Verdana"/>
          <w:sz w:val="24"/>
          <w:szCs w:val="24"/>
        </w:rPr>
        <w:t>ly</w:t>
      </w:r>
      <w:r w:rsidRPr="00A976F5">
        <w:rPr>
          <w:rFonts w:ascii="Arial" w:hAnsi="Arial" w:cs="Verdana"/>
          <w:spacing w:val="-3"/>
          <w:sz w:val="24"/>
          <w:szCs w:val="24"/>
        </w:rPr>
        <w:t xml:space="preserve"> </w:t>
      </w:r>
      <w:r w:rsidRPr="00A976F5">
        <w:rPr>
          <w:rFonts w:ascii="Arial" w:hAnsi="Arial" w:cs="Verdana"/>
          <w:sz w:val="24"/>
          <w:szCs w:val="24"/>
        </w:rPr>
        <w:t>constant</w:t>
      </w:r>
      <w:r w:rsidRPr="00A976F5">
        <w:rPr>
          <w:rFonts w:ascii="Arial" w:hAnsi="Arial" w:cs="Verdana"/>
          <w:spacing w:val="-5"/>
          <w:sz w:val="24"/>
          <w:szCs w:val="24"/>
        </w:rPr>
        <w:t xml:space="preserve"> </w:t>
      </w:r>
      <w:r w:rsidRPr="00A976F5">
        <w:rPr>
          <w:rFonts w:ascii="Arial" w:hAnsi="Arial" w:cs="Verdana"/>
          <w:sz w:val="24"/>
          <w:szCs w:val="24"/>
        </w:rPr>
        <w:t>as</w:t>
      </w:r>
      <w:r w:rsidRPr="00A976F5">
        <w:rPr>
          <w:rFonts w:ascii="Arial" w:hAnsi="Arial" w:cs="Verdana"/>
          <w:spacing w:val="1"/>
          <w:sz w:val="24"/>
          <w:szCs w:val="24"/>
        </w:rPr>
        <w:t xml:space="preserve"> </w:t>
      </w:r>
      <w:r w:rsidRPr="00A976F5">
        <w:rPr>
          <w:rFonts w:ascii="Arial" w:hAnsi="Arial" w:cs="Verdana"/>
          <w:sz w:val="24"/>
          <w:szCs w:val="24"/>
        </w:rPr>
        <w:t>po</w:t>
      </w:r>
      <w:r w:rsidRPr="00A976F5">
        <w:rPr>
          <w:rFonts w:ascii="Arial" w:hAnsi="Arial" w:cs="Verdana"/>
          <w:spacing w:val="-1"/>
          <w:sz w:val="24"/>
          <w:szCs w:val="24"/>
        </w:rPr>
        <w:t>s</w:t>
      </w:r>
      <w:r w:rsidRPr="00A976F5">
        <w:rPr>
          <w:rFonts w:ascii="Arial" w:hAnsi="Arial" w:cs="Verdana"/>
          <w:sz w:val="24"/>
          <w:szCs w:val="24"/>
        </w:rPr>
        <w:t>s</w:t>
      </w:r>
      <w:r w:rsidRPr="00A976F5">
        <w:rPr>
          <w:rFonts w:ascii="Arial" w:hAnsi="Arial" w:cs="Verdana"/>
          <w:spacing w:val="-1"/>
          <w:sz w:val="24"/>
          <w:szCs w:val="24"/>
        </w:rPr>
        <w:t>i</w:t>
      </w:r>
      <w:r w:rsidRPr="00A976F5">
        <w:rPr>
          <w:rFonts w:ascii="Arial" w:hAnsi="Arial" w:cs="Verdana"/>
          <w:sz w:val="24"/>
          <w:szCs w:val="24"/>
        </w:rPr>
        <w:t>b</w:t>
      </w:r>
      <w:r w:rsidRPr="00A976F5">
        <w:rPr>
          <w:rFonts w:ascii="Arial" w:hAnsi="Arial" w:cs="Verdana"/>
          <w:spacing w:val="-1"/>
          <w:sz w:val="24"/>
          <w:szCs w:val="24"/>
        </w:rPr>
        <w:t>l</w:t>
      </w:r>
      <w:r w:rsidRPr="00A976F5">
        <w:rPr>
          <w:rFonts w:ascii="Arial" w:hAnsi="Arial" w:cs="Verdana"/>
          <w:spacing w:val="2"/>
          <w:sz w:val="24"/>
          <w:szCs w:val="24"/>
        </w:rPr>
        <w:t>e</w:t>
      </w:r>
      <w:r w:rsidRPr="00A976F5">
        <w:rPr>
          <w:rFonts w:ascii="Arial" w:hAnsi="Arial" w:cs="Verdana"/>
          <w:sz w:val="24"/>
          <w:szCs w:val="24"/>
        </w:rPr>
        <w:t>:</w:t>
      </w:r>
    </w:p>
    <w:p w:rsidR="00A976F5" w:rsidRDefault="00A976F5" w:rsidP="00A67A9A">
      <w:pPr>
        <w:widowControl w:val="0"/>
        <w:spacing w:line="237" w:lineRule="auto"/>
        <w:ind w:right="73"/>
        <w:jc w:val="both"/>
        <w:rPr>
          <w:rFonts w:ascii="Arial" w:hAnsi="Arial" w:cs="Verdana"/>
          <w:spacing w:val="2"/>
          <w:sz w:val="24"/>
          <w:szCs w:val="24"/>
        </w:rPr>
      </w:pPr>
    </w:p>
    <w:p w:rsidR="00113C20" w:rsidRDefault="00113C20" w:rsidP="00113C20">
      <w:pPr>
        <w:widowControl w:val="0"/>
        <w:numPr>
          <w:ilvl w:val="0"/>
          <w:numId w:val="16"/>
        </w:numPr>
        <w:spacing w:line="237" w:lineRule="auto"/>
        <w:ind w:right="73"/>
        <w:jc w:val="both"/>
        <w:rPr>
          <w:rFonts w:ascii="Arial" w:hAnsi="Arial" w:cs="Verdana"/>
          <w:spacing w:val="2"/>
          <w:sz w:val="24"/>
          <w:szCs w:val="24"/>
        </w:rPr>
      </w:pPr>
      <w:r w:rsidRPr="00113C20">
        <w:rPr>
          <w:rFonts w:ascii="Arial" w:hAnsi="Arial" w:cs="Verdana"/>
          <w:spacing w:val="2"/>
          <w:sz w:val="24"/>
          <w:szCs w:val="24"/>
        </w:rPr>
        <w:t xml:space="preserve">Contribution rates are set by use of the Projected Unit valuation method for </w:t>
      </w:r>
      <w:r w:rsidRPr="00113C20">
        <w:rPr>
          <w:rFonts w:ascii="Arial" w:hAnsi="Arial" w:cs="Verdana"/>
          <w:spacing w:val="2"/>
          <w:sz w:val="24"/>
          <w:szCs w:val="24"/>
        </w:rPr>
        <w:lastRenderedPageBreak/>
        <w:t xml:space="preserve">most employers. </w:t>
      </w:r>
      <w:r>
        <w:rPr>
          <w:rFonts w:ascii="Arial" w:hAnsi="Arial" w:cs="Verdana"/>
          <w:spacing w:val="2"/>
          <w:sz w:val="24"/>
          <w:szCs w:val="24"/>
        </w:rPr>
        <w:t xml:space="preserve"> </w:t>
      </w:r>
      <w:r w:rsidRPr="00113C20">
        <w:rPr>
          <w:rFonts w:ascii="Arial" w:hAnsi="Arial" w:cs="Verdana"/>
          <w:spacing w:val="2"/>
          <w:sz w:val="24"/>
          <w:szCs w:val="24"/>
        </w:rPr>
        <w:t xml:space="preserve">The Projected Unit method is used in the actuarial valuation to determine the cost of benefits accruing to the Fund as a whole and for employers who continue to admit new members. </w:t>
      </w:r>
      <w:r>
        <w:rPr>
          <w:rFonts w:ascii="Arial" w:hAnsi="Arial" w:cs="Verdana"/>
          <w:spacing w:val="2"/>
          <w:sz w:val="24"/>
          <w:szCs w:val="24"/>
        </w:rPr>
        <w:t xml:space="preserve"> </w:t>
      </w:r>
      <w:r w:rsidRPr="00113C20">
        <w:rPr>
          <w:rFonts w:ascii="Arial" w:hAnsi="Arial" w:cs="Verdana"/>
          <w:spacing w:val="2"/>
          <w:sz w:val="24"/>
          <w:szCs w:val="24"/>
        </w:rPr>
        <w:t xml:space="preserve">This means that the </w:t>
      </w:r>
      <w:r w:rsidR="001A323E">
        <w:rPr>
          <w:rFonts w:ascii="Arial" w:hAnsi="Arial" w:cs="Verdana"/>
          <w:spacing w:val="2"/>
          <w:sz w:val="24"/>
          <w:szCs w:val="24"/>
        </w:rPr>
        <w:t xml:space="preserve">future service (primary) </w:t>
      </w:r>
      <w:r w:rsidRPr="00113C20">
        <w:rPr>
          <w:rFonts w:ascii="Arial" w:hAnsi="Arial" w:cs="Verdana"/>
          <w:spacing w:val="2"/>
          <w:sz w:val="24"/>
          <w:szCs w:val="24"/>
        </w:rPr>
        <w:t>contribution rate is derived as the cost of benefits accruing to employee members over the year following the valuation date expressed as a percentage of members’ pensionable pay over that period.</w:t>
      </w:r>
    </w:p>
    <w:p w:rsidR="00C122FB" w:rsidRPr="00C122FB" w:rsidRDefault="00C122FB" w:rsidP="00C122FB">
      <w:pPr>
        <w:widowControl w:val="0"/>
        <w:numPr>
          <w:ilvl w:val="0"/>
          <w:numId w:val="16"/>
        </w:numPr>
        <w:spacing w:line="237" w:lineRule="auto"/>
        <w:ind w:right="73"/>
        <w:jc w:val="both"/>
        <w:rPr>
          <w:rFonts w:ascii="Arial" w:hAnsi="Arial" w:cs="Verdana"/>
          <w:spacing w:val="2"/>
          <w:sz w:val="24"/>
          <w:szCs w:val="24"/>
        </w:rPr>
      </w:pPr>
      <w:r w:rsidRPr="00C122FB">
        <w:rPr>
          <w:rFonts w:ascii="Arial" w:hAnsi="Arial" w:cs="Verdana"/>
          <w:spacing w:val="2"/>
          <w:sz w:val="24"/>
          <w:szCs w:val="24"/>
        </w:rPr>
        <w:t xml:space="preserve">For employers who no longer admit new members, the Attained Age valuation method is normally used.  This means that the future service (primary) contribution rate is derived as the average cost of benefits accruing to members over the period until they die, leave the Fund or retire. </w:t>
      </w:r>
    </w:p>
    <w:p w:rsidR="0021364F" w:rsidRDefault="0021364F" w:rsidP="00A67A9A">
      <w:pPr>
        <w:widowControl w:val="0"/>
        <w:spacing w:line="237" w:lineRule="auto"/>
        <w:ind w:right="73"/>
        <w:jc w:val="both"/>
        <w:rPr>
          <w:rFonts w:ascii="Arial" w:hAnsi="Arial" w:cs="Verdana"/>
          <w:spacing w:val="2"/>
          <w:sz w:val="24"/>
          <w:szCs w:val="24"/>
        </w:rPr>
      </w:pPr>
    </w:p>
    <w:p w:rsidR="00A976F5" w:rsidRPr="00A8472F" w:rsidRDefault="00A976F5" w:rsidP="001638F8">
      <w:pPr>
        <w:pStyle w:val="Normalplus"/>
        <w:spacing w:after="0"/>
        <w:outlineLvl w:val="0"/>
        <w:rPr>
          <w:rFonts w:ascii="Arial" w:hAnsi="Arial" w:cs="Arial"/>
          <w:b/>
          <w:sz w:val="24"/>
          <w:szCs w:val="24"/>
        </w:rPr>
      </w:pPr>
      <w:r w:rsidRPr="00A8472F">
        <w:rPr>
          <w:rFonts w:ascii="Arial" w:hAnsi="Arial" w:cs="Arial"/>
          <w:b/>
          <w:sz w:val="24"/>
          <w:szCs w:val="24"/>
        </w:rPr>
        <w:t xml:space="preserve">Application to </w:t>
      </w:r>
      <w:r w:rsidR="00113C20">
        <w:rPr>
          <w:rFonts w:ascii="Arial" w:hAnsi="Arial" w:cs="Arial"/>
          <w:b/>
          <w:sz w:val="24"/>
          <w:szCs w:val="24"/>
        </w:rPr>
        <w:t>d</w:t>
      </w:r>
      <w:r w:rsidRPr="00A8472F">
        <w:rPr>
          <w:rFonts w:ascii="Arial" w:hAnsi="Arial" w:cs="Arial"/>
          <w:b/>
          <w:sz w:val="24"/>
          <w:szCs w:val="24"/>
        </w:rPr>
        <w:t xml:space="preserve">ifferent </w:t>
      </w:r>
      <w:r w:rsidR="00113C20">
        <w:rPr>
          <w:rFonts w:ascii="Arial" w:hAnsi="Arial" w:cs="Arial"/>
          <w:b/>
          <w:sz w:val="24"/>
          <w:szCs w:val="24"/>
        </w:rPr>
        <w:t>t</w:t>
      </w:r>
      <w:r w:rsidR="008C79D1" w:rsidRPr="00A8472F">
        <w:rPr>
          <w:rFonts w:ascii="Arial" w:hAnsi="Arial" w:cs="Arial"/>
          <w:b/>
          <w:sz w:val="24"/>
          <w:szCs w:val="24"/>
        </w:rPr>
        <w:t xml:space="preserve">ypes of </w:t>
      </w:r>
      <w:r w:rsidR="00113C20">
        <w:rPr>
          <w:rFonts w:ascii="Arial" w:hAnsi="Arial" w:cs="Arial"/>
          <w:b/>
          <w:sz w:val="24"/>
          <w:szCs w:val="24"/>
        </w:rPr>
        <w:t>b</w:t>
      </w:r>
      <w:r w:rsidRPr="00A8472F">
        <w:rPr>
          <w:rFonts w:ascii="Arial" w:hAnsi="Arial" w:cs="Arial"/>
          <w:b/>
          <w:sz w:val="24"/>
          <w:szCs w:val="24"/>
        </w:rPr>
        <w:t>ody</w:t>
      </w:r>
    </w:p>
    <w:p w:rsidR="007205F8" w:rsidRPr="00A976F5" w:rsidRDefault="007205F8" w:rsidP="00935734">
      <w:pPr>
        <w:jc w:val="both"/>
        <w:rPr>
          <w:rFonts w:ascii="Arial" w:hAnsi="Arial" w:cs="Arial"/>
          <w:sz w:val="24"/>
          <w:szCs w:val="24"/>
        </w:rPr>
      </w:pPr>
    </w:p>
    <w:p w:rsidR="00256434" w:rsidRPr="00A976F5" w:rsidRDefault="00256434" w:rsidP="00935734">
      <w:pPr>
        <w:jc w:val="both"/>
        <w:rPr>
          <w:rFonts w:ascii="Arial" w:hAnsi="Arial" w:cs="Arial"/>
          <w:sz w:val="24"/>
          <w:szCs w:val="24"/>
        </w:rPr>
      </w:pPr>
      <w:r w:rsidRPr="00A976F5">
        <w:rPr>
          <w:rFonts w:ascii="Arial" w:hAnsi="Arial" w:cs="Arial"/>
          <w:sz w:val="24"/>
          <w:szCs w:val="24"/>
        </w:rPr>
        <w:t xml:space="preserve">Some comments on the principles used to derive the </w:t>
      </w:r>
      <w:r w:rsidR="00223816">
        <w:rPr>
          <w:rFonts w:ascii="Arial" w:hAnsi="Arial" w:cs="Arial"/>
          <w:sz w:val="24"/>
          <w:szCs w:val="24"/>
        </w:rPr>
        <w:t>F</w:t>
      </w:r>
      <w:r w:rsidRPr="00A976F5">
        <w:rPr>
          <w:rFonts w:ascii="Arial" w:hAnsi="Arial" w:cs="Arial"/>
          <w:sz w:val="24"/>
          <w:szCs w:val="24"/>
        </w:rPr>
        <w:t xml:space="preserve">unding </w:t>
      </w:r>
      <w:r w:rsidR="00223816">
        <w:rPr>
          <w:rFonts w:ascii="Arial" w:hAnsi="Arial" w:cs="Arial"/>
          <w:sz w:val="24"/>
          <w:szCs w:val="24"/>
        </w:rPr>
        <w:t>T</w:t>
      </w:r>
      <w:r w:rsidRPr="00A976F5">
        <w:rPr>
          <w:rFonts w:ascii="Arial" w:hAnsi="Arial" w:cs="Arial"/>
          <w:sz w:val="24"/>
          <w:szCs w:val="24"/>
        </w:rPr>
        <w:t>arget for different bodies in the Fund are set out below.</w:t>
      </w:r>
    </w:p>
    <w:p w:rsidR="00113C20" w:rsidRDefault="00113C20" w:rsidP="00113C20">
      <w:pPr>
        <w:pStyle w:val="Normalplus"/>
        <w:spacing w:after="0"/>
        <w:jc w:val="both"/>
        <w:rPr>
          <w:rFonts w:ascii="Arial" w:hAnsi="Arial" w:cs="Arial"/>
          <w:sz w:val="24"/>
          <w:szCs w:val="24"/>
        </w:rPr>
      </w:pPr>
    </w:p>
    <w:p w:rsidR="00113C20" w:rsidRDefault="00113C20" w:rsidP="00113C20">
      <w:pPr>
        <w:pStyle w:val="Normalplus"/>
        <w:spacing w:after="0"/>
        <w:jc w:val="both"/>
        <w:rPr>
          <w:rFonts w:ascii="Arial" w:hAnsi="Arial" w:cs="Arial"/>
          <w:sz w:val="24"/>
          <w:szCs w:val="24"/>
        </w:rPr>
      </w:pPr>
      <w:r w:rsidRPr="00727892">
        <w:rPr>
          <w:rFonts w:ascii="Arial" w:hAnsi="Arial" w:cs="Arial"/>
          <w:sz w:val="24"/>
          <w:szCs w:val="24"/>
        </w:rPr>
        <w:t xml:space="preserve">For </w:t>
      </w:r>
      <w:r>
        <w:rPr>
          <w:rFonts w:ascii="Arial" w:hAnsi="Arial" w:cs="Arial"/>
          <w:sz w:val="24"/>
          <w:szCs w:val="24"/>
        </w:rPr>
        <w:t>employers:</w:t>
      </w:r>
      <w:r w:rsidRPr="00727892">
        <w:rPr>
          <w:rFonts w:ascii="Arial" w:hAnsi="Arial" w:cs="Arial"/>
          <w:sz w:val="24"/>
          <w:szCs w:val="24"/>
        </w:rPr>
        <w:t xml:space="preserve"> </w:t>
      </w:r>
    </w:p>
    <w:p w:rsidR="00113C20" w:rsidRDefault="00113C20" w:rsidP="00113C20">
      <w:pPr>
        <w:pStyle w:val="Normalplus"/>
        <w:spacing w:after="0"/>
        <w:jc w:val="both"/>
        <w:rPr>
          <w:rFonts w:ascii="Arial" w:hAnsi="Arial" w:cs="Arial"/>
          <w:sz w:val="24"/>
          <w:szCs w:val="24"/>
        </w:rPr>
      </w:pPr>
    </w:p>
    <w:p w:rsidR="00113C20" w:rsidRPr="00727892" w:rsidRDefault="00113C20" w:rsidP="00113C20">
      <w:pPr>
        <w:pStyle w:val="Normalplus"/>
        <w:numPr>
          <w:ilvl w:val="0"/>
          <w:numId w:val="16"/>
        </w:numPr>
        <w:spacing w:after="0"/>
        <w:jc w:val="both"/>
        <w:rPr>
          <w:rFonts w:ascii="Arial" w:hAnsi="Arial" w:cs="Arial"/>
          <w:sz w:val="24"/>
          <w:szCs w:val="24"/>
        </w:rPr>
      </w:pPr>
      <w:r w:rsidRPr="00727892">
        <w:rPr>
          <w:rFonts w:ascii="Arial" w:hAnsi="Arial" w:cs="Arial"/>
          <w:sz w:val="24"/>
          <w:szCs w:val="24"/>
        </w:rPr>
        <w:t xml:space="preserve">regarded by the </w:t>
      </w:r>
      <w:r w:rsidR="00CD42B5">
        <w:rPr>
          <w:rFonts w:ascii="Arial" w:hAnsi="Arial" w:cs="Arial"/>
          <w:sz w:val="24"/>
          <w:szCs w:val="24"/>
        </w:rPr>
        <w:t>a</w:t>
      </w:r>
      <w:r w:rsidR="009B2027">
        <w:rPr>
          <w:rFonts w:ascii="Arial" w:hAnsi="Arial" w:cs="Arial"/>
          <w:sz w:val="24"/>
          <w:szCs w:val="24"/>
        </w:rPr>
        <w:t>dministering authority</w:t>
      </w:r>
      <w:r w:rsidRPr="00727892">
        <w:rPr>
          <w:rFonts w:ascii="Arial" w:hAnsi="Arial" w:cs="Arial"/>
          <w:sz w:val="24"/>
          <w:szCs w:val="24"/>
        </w:rPr>
        <w:t xml:space="preserve"> as being of sound covenant with an indefinite period to expected </w:t>
      </w:r>
      <w:r w:rsidR="00FF08B7">
        <w:rPr>
          <w:rFonts w:ascii="Arial" w:hAnsi="Arial" w:cs="Arial"/>
          <w:sz w:val="24"/>
          <w:szCs w:val="24"/>
        </w:rPr>
        <w:t>exit</w:t>
      </w:r>
      <w:r>
        <w:rPr>
          <w:rFonts w:ascii="Arial" w:hAnsi="Arial" w:cs="Arial"/>
          <w:sz w:val="24"/>
          <w:szCs w:val="24"/>
        </w:rPr>
        <w:t>; or</w:t>
      </w:r>
    </w:p>
    <w:p w:rsidR="00113C20" w:rsidRPr="00727892" w:rsidRDefault="00113C20" w:rsidP="00113C20">
      <w:pPr>
        <w:pStyle w:val="Normalplus"/>
        <w:numPr>
          <w:ilvl w:val="0"/>
          <w:numId w:val="16"/>
        </w:numPr>
        <w:spacing w:after="0"/>
        <w:jc w:val="both"/>
        <w:rPr>
          <w:rFonts w:ascii="Arial" w:hAnsi="Arial" w:cs="Arial"/>
          <w:sz w:val="24"/>
          <w:szCs w:val="24"/>
        </w:rPr>
      </w:pPr>
      <w:r w:rsidRPr="00727892">
        <w:rPr>
          <w:rFonts w:ascii="Arial" w:hAnsi="Arial" w:cs="Arial"/>
          <w:sz w:val="24"/>
          <w:szCs w:val="24"/>
        </w:rPr>
        <w:t xml:space="preserve">with guarantors of sound covenant agreeing to subsume the employer's assets and liabilities following </w:t>
      </w:r>
      <w:r w:rsidR="00FF08B7">
        <w:rPr>
          <w:rFonts w:ascii="Arial" w:hAnsi="Arial" w:cs="Arial"/>
          <w:sz w:val="24"/>
          <w:szCs w:val="24"/>
        </w:rPr>
        <w:t>exit</w:t>
      </w:r>
      <w:r w:rsidRPr="00727892">
        <w:rPr>
          <w:rFonts w:ascii="Arial" w:hAnsi="Arial" w:cs="Arial"/>
          <w:sz w:val="24"/>
          <w:szCs w:val="24"/>
        </w:rPr>
        <w:t>;</w:t>
      </w:r>
    </w:p>
    <w:p w:rsidR="00113C20" w:rsidRDefault="00113C20" w:rsidP="00935734">
      <w:pPr>
        <w:jc w:val="both"/>
        <w:rPr>
          <w:rFonts w:ascii="Arial" w:hAnsi="Arial" w:cs="Arial"/>
          <w:sz w:val="24"/>
          <w:szCs w:val="24"/>
        </w:rPr>
      </w:pPr>
    </w:p>
    <w:p w:rsidR="00256434" w:rsidRPr="00A976F5" w:rsidRDefault="00581EEF" w:rsidP="00935734">
      <w:pPr>
        <w:jc w:val="both"/>
        <w:rPr>
          <w:rFonts w:ascii="Arial" w:hAnsi="Arial" w:cs="Arial"/>
          <w:sz w:val="24"/>
          <w:szCs w:val="24"/>
        </w:rPr>
      </w:pPr>
      <w:proofErr w:type="gramStart"/>
      <w:r>
        <w:rPr>
          <w:rFonts w:ascii="Arial" w:hAnsi="Arial" w:cs="Arial"/>
          <w:sz w:val="24"/>
          <w:szCs w:val="24"/>
        </w:rPr>
        <w:t>t</w:t>
      </w:r>
      <w:r w:rsidR="00256434" w:rsidRPr="00A976F5">
        <w:rPr>
          <w:rFonts w:ascii="Arial" w:hAnsi="Arial" w:cs="Arial"/>
          <w:sz w:val="24"/>
          <w:szCs w:val="24"/>
        </w:rPr>
        <w:t>he</w:t>
      </w:r>
      <w:proofErr w:type="gramEnd"/>
      <w:r w:rsidR="00256434" w:rsidRPr="00A976F5">
        <w:rPr>
          <w:rFonts w:ascii="Arial" w:hAnsi="Arial" w:cs="Arial"/>
          <w:sz w:val="24"/>
          <w:szCs w:val="24"/>
        </w:rPr>
        <w:t xml:space="preserve"> </w:t>
      </w:r>
      <w:r w:rsidR="00CD42B5">
        <w:rPr>
          <w:rFonts w:ascii="Arial" w:hAnsi="Arial" w:cs="Arial"/>
          <w:sz w:val="24"/>
          <w:szCs w:val="24"/>
        </w:rPr>
        <w:t>a</w:t>
      </w:r>
      <w:r w:rsidR="009B2027">
        <w:rPr>
          <w:rFonts w:ascii="Arial" w:hAnsi="Arial" w:cs="Arial"/>
          <w:sz w:val="24"/>
          <w:szCs w:val="24"/>
        </w:rPr>
        <w:t>dministering authority</w:t>
      </w:r>
      <w:r w:rsidR="00256434" w:rsidRPr="00A976F5">
        <w:rPr>
          <w:rFonts w:ascii="Arial" w:hAnsi="Arial" w:cs="Arial"/>
          <w:sz w:val="24"/>
          <w:szCs w:val="24"/>
        </w:rPr>
        <w:t xml:space="preserve"> will adopt a general approach in this regard of assuming indefinite investment in a broad range of assets of higher </w:t>
      </w:r>
      <w:r w:rsidR="00EB0CAA" w:rsidRPr="00A976F5">
        <w:rPr>
          <w:rFonts w:ascii="Arial" w:hAnsi="Arial" w:cs="Arial"/>
          <w:sz w:val="24"/>
          <w:szCs w:val="24"/>
        </w:rPr>
        <w:t>risk than risk free assets</w:t>
      </w:r>
      <w:r w:rsidR="00FA5852">
        <w:rPr>
          <w:rFonts w:ascii="Arial" w:hAnsi="Arial" w:cs="Arial"/>
          <w:sz w:val="24"/>
          <w:szCs w:val="24"/>
        </w:rPr>
        <w:t>.</w:t>
      </w:r>
      <w:r w:rsidR="00EB0CAA" w:rsidRPr="00A976F5">
        <w:rPr>
          <w:rFonts w:ascii="Arial" w:hAnsi="Arial" w:cs="Arial"/>
          <w:sz w:val="24"/>
          <w:szCs w:val="24"/>
        </w:rPr>
        <w:t xml:space="preserve"> </w:t>
      </w:r>
      <w:r w:rsidR="00113C20">
        <w:rPr>
          <w:rFonts w:ascii="Arial" w:hAnsi="Arial" w:cs="Arial"/>
          <w:sz w:val="24"/>
          <w:szCs w:val="24"/>
        </w:rPr>
        <w:t xml:space="preserve"> </w:t>
      </w:r>
      <w:r w:rsidR="00882BFE" w:rsidRPr="00A976F5">
        <w:rPr>
          <w:rFonts w:ascii="Arial" w:hAnsi="Arial" w:cs="Arial"/>
          <w:sz w:val="24"/>
          <w:szCs w:val="24"/>
        </w:rPr>
        <w:t>With regard to guarantor</w:t>
      </w:r>
      <w:r w:rsidR="00FA5852">
        <w:rPr>
          <w:rFonts w:ascii="Arial" w:hAnsi="Arial" w:cs="Arial"/>
          <w:sz w:val="24"/>
          <w:szCs w:val="24"/>
        </w:rPr>
        <w:t>s, they</w:t>
      </w:r>
      <w:r w:rsidR="00882BFE" w:rsidRPr="00A976F5">
        <w:rPr>
          <w:rFonts w:ascii="Arial" w:hAnsi="Arial" w:cs="Arial"/>
          <w:sz w:val="24"/>
          <w:szCs w:val="24"/>
        </w:rPr>
        <w:t xml:space="preserve"> must have be</w:t>
      </w:r>
      <w:r w:rsidR="00677A07" w:rsidRPr="00A976F5">
        <w:rPr>
          <w:rFonts w:ascii="Arial" w:hAnsi="Arial" w:cs="Arial"/>
          <w:sz w:val="24"/>
          <w:szCs w:val="24"/>
        </w:rPr>
        <w:t>en</w:t>
      </w:r>
      <w:r w:rsidR="00882BFE" w:rsidRPr="00A976F5">
        <w:rPr>
          <w:rFonts w:ascii="Arial" w:hAnsi="Arial" w:cs="Arial"/>
          <w:sz w:val="24"/>
          <w:szCs w:val="24"/>
        </w:rPr>
        <w:t xml:space="preserve"> judged to be of suitable covenant by the </w:t>
      </w:r>
      <w:r w:rsidR="00CD42B5">
        <w:rPr>
          <w:rFonts w:ascii="Arial" w:hAnsi="Arial" w:cs="Arial"/>
          <w:sz w:val="24"/>
          <w:szCs w:val="24"/>
        </w:rPr>
        <w:t>a</w:t>
      </w:r>
      <w:r w:rsidR="009B2027">
        <w:rPr>
          <w:rFonts w:ascii="Arial" w:hAnsi="Arial" w:cs="Arial"/>
          <w:sz w:val="24"/>
          <w:szCs w:val="24"/>
        </w:rPr>
        <w:t>dministering authority</w:t>
      </w:r>
      <w:r w:rsidR="00882BFE" w:rsidRPr="00A976F5">
        <w:rPr>
          <w:rFonts w:ascii="Arial" w:hAnsi="Arial" w:cs="Arial"/>
          <w:sz w:val="24"/>
          <w:szCs w:val="24"/>
        </w:rPr>
        <w:t xml:space="preserve"> (see section on Guarantors in section 5).</w:t>
      </w:r>
    </w:p>
    <w:p w:rsidR="00113C20" w:rsidRPr="00A976F5" w:rsidRDefault="00113C20" w:rsidP="00935734">
      <w:pPr>
        <w:jc w:val="both"/>
        <w:rPr>
          <w:rFonts w:ascii="Arial" w:hAnsi="Arial" w:cs="Arial"/>
          <w:sz w:val="24"/>
          <w:szCs w:val="24"/>
        </w:rPr>
      </w:pPr>
    </w:p>
    <w:p w:rsidR="00256434" w:rsidRPr="005810F5" w:rsidRDefault="00FA5852" w:rsidP="00935734">
      <w:pPr>
        <w:jc w:val="both"/>
        <w:rPr>
          <w:rFonts w:ascii="Arial" w:hAnsi="Arial" w:cs="Arial"/>
          <w:sz w:val="24"/>
          <w:szCs w:val="24"/>
        </w:rPr>
      </w:pPr>
      <w:r w:rsidRPr="003474DB">
        <w:rPr>
          <w:rFonts w:ascii="Arial" w:hAnsi="Arial" w:cs="Arial"/>
          <w:sz w:val="24"/>
          <w:szCs w:val="24"/>
        </w:rPr>
        <w:t xml:space="preserve">For all other employers, including bodies with limited duration in the Fund or whose liabilities are expected to be orphaned following </w:t>
      </w:r>
      <w:r w:rsidR="00FF08B7">
        <w:rPr>
          <w:rFonts w:ascii="Arial" w:hAnsi="Arial" w:cs="Arial"/>
          <w:sz w:val="24"/>
          <w:szCs w:val="24"/>
        </w:rPr>
        <w:t>exit</w:t>
      </w:r>
      <w:r w:rsidR="00DB423F">
        <w:rPr>
          <w:rFonts w:ascii="Arial" w:hAnsi="Arial" w:cs="Arial"/>
          <w:sz w:val="24"/>
          <w:szCs w:val="24"/>
        </w:rPr>
        <w:t>,</w:t>
      </w:r>
      <w:r w:rsidR="003474DB" w:rsidRPr="003474DB">
        <w:rPr>
          <w:rFonts w:ascii="Arial" w:hAnsi="Arial" w:cs="Arial"/>
          <w:sz w:val="24"/>
          <w:szCs w:val="24"/>
        </w:rPr>
        <w:t xml:space="preserve"> </w:t>
      </w:r>
      <w:r w:rsidR="00256434" w:rsidRPr="003474DB">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256434" w:rsidRPr="003474DB">
        <w:rPr>
          <w:rFonts w:ascii="Arial" w:hAnsi="Arial" w:cs="Arial"/>
          <w:sz w:val="24"/>
          <w:szCs w:val="24"/>
        </w:rPr>
        <w:t xml:space="preserve"> will have regard to the potential for participation to cease (or to have no contributing members), the potential timing of such </w:t>
      </w:r>
      <w:r w:rsidR="00FF08B7">
        <w:rPr>
          <w:rFonts w:ascii="Arial" w:hAnsi="Arial" w:cs="Arial"/>
          <w:sz w:val="24"/>
          <w:szCs w:val="24"/>
        </w:rPr>
        <w:t>exit</w:t>
      </w:r>
      <w:r w:rsidR="00256434" w:rsidRPr="003474DB">
        <w:rPr>
          <w:rFonts w:ascii="Arial" w:hAnsi="Arial" w:cs="Arial"/>
          <w:sz w:val="24"/>
          <w:szCs w:val="24"/>
        </w:rPr>
        <w:t>, and any likely</w:t>
      </w:r>
      <w:r w:rsidR="00256434" w:rsidRPr="005810F5">
        <w:rPr>
          <w:rFonts w:ascii="Arial" w:hAnsi="Arial" w:cs="Arial"/>
          <w:sz w:val="24"/>
          <w:szCs w:val="24"/>
        </w:rPr>
        <w:t xml:space="preserve"> change in notional </w:t>
      </w:r>
      <w:r w:rsidR="00B13D38" w:rsidRPr="005810F5">
        <w:rPr>
          <w:rFonts w:ascii="Arial" w:hAnsi="Arial" w:cs="Arial"/>
          <w:sz w:val="24"/>
          <w:szCs w:val="24"/>
        </w:rPr>
        <w:t xml:space="preserve">or actual </w:t>
      </w:r>
      <w:r w:rsidR="00256434" w:rsidRPr="005810F5">
        <w:rPr>
          <w:rFonts w:ascii="Arial" w:hAnsi="Arial" w:cs="Arial"/>
          <w:sz w:val="24"/>
          <w:szCs w:val="24"/>
        </w:rPr>
        <w:t>investment strategy as regards the</w:t>
      </w:r>
      <w:r w:rsidR="00EB0CAA" w:rsidRPr="005810F5">
        <w:rPr>
          <w:rFonts w:ascii="Arial" w:hAnsi="Arial" w:cs="Arial"/>
          <w:sz w:val="24"/>
          <w:szCs w:val="24"/>
        </w:rPr>
        <w:t xml:space="preserve"> assets held in respect of the </w:t>
      </w:r>
      <w:r w:rsidR="00E90E9E" w:rsidRPr="005810F5">
        <w:rPr>
          <w:rFonts w:ascii="Arial" w:hAnsi="Arial" w:cs="Arial"/>
          <w:sz w:val="24"/>
          <w:szCs w:val="24"/>
        </w:rPr>
        <w:t>b</w:t>
      </w:r>
      <w:r w:rsidR="00256434" w:rsidRPr="005810F5">
        <w:rPr>
          <w:rFonts w:ascii="Arial" w:hAnsi="Arial" w:cs="Arial"/>
          <w:sz w:val="24"/>
          <w:szCs w:val="24"/>
        </w:rPr>
        <w:t xml:space="preserve">ody's liabilities at the date of </w:t>
      </w:r>
      <w:r w:rsidR="00FF08B7">
        <w:rPr>
          <w:rFonts w:ascii="Arial" w:hAnsi="Arial" w:cs="Arial"/>
          <w:sz w:val="24"/>
          <w:szCs w:val="24"/>
        </w:rPr>
        <w:t>exit</w:t>
      </w:r>
      <w:r w:rsidR="00FF08B7" w:rsidRPr="005810F5">
        <w:rPr>
          <w:rFonts w:ascii="Arial" w:hAnsi="Arial" w:cs="Arial"/>
          <w:sz w:val="24"/>
          <w:szCs w:val="24"/>
        </w:rPr>
        <w:t xml:space="preserve"> </w:t>
      </w:r>
      <w:r w:rsidR="00256434" w:rsidRPr="005810F5">
        <w:rPr>
          <w:rFonts w:ascii="Arial" w:hAnsi="Arial" w:cs="Arial"/>
          <w:sz w:val="24"/>
          <w:szCs w:val="24"/>
        </w:rPr>
        <w:t>(i.e. whether the liabilities will become 'orphaned' or a guarantor exists to subsume the notional assets and liabilities).</w:t>
      </w:r>
      <w:r w:rsidR="00EB0CAA" w:rsidRPr="005810F5">
        <w:rPr>
          <w:rFonts w:ascii="Arial" w:hAnsi="Arial" w:cs="Arial"/>
          <w:sz w:val="24"/>
          <w:szCs w:val="24"/>
        </w:rPr>
        <w:t xml:space="preserve"> </w:t>
      </w:r>
    </w:p>
    <w:p w:rsidR="00935734" w:rsidRPr="00A976F5" w:rsidRDefault="00935734" w:rsidP="00935734">
      <w:pPr>
        <w:jc w:val="both"/>
        <w:rPr>
          <w:rFonts w:ascii="Arial" w:hAnsi="Arial" w:cs="Arial"/>
          <w:sz w:val="24"/>
          <w:szCs w:val="24"/>
        </w:rPr>
      </w:pPr>
    </w:p>
    <w:p w:rsidR="00FE3A6D" w:rsidRDefault="00FE3A6D" w:rsidP="001638F8">
      <w:pPr>
        <w:jc w:val="both"/>
        <w:outlineLvl w:val="0"/>
        <w:rPr>
          <w:rFonts w:ascii="Arial" w:hAnsi="Arial" w:cs="Arial"/>
          <w:b/>
          <w:sz w:val="24"/>
          <w:szCs w:val="24"/>
        </w:rPr>
      </w:pPr>
      <w:r>
        <w:rPr>
          <w:rFonts w:ascii="Arial" w:hAnsi="Arial" w:cs="Arial"/>
          <w:b/>
          <w:sz w:val="24"/>
          <w:szCs w:val="24"/>
        </w:rPr>
        <w:t xml:space="preserve">Full </w:t>
      </w:r>
      <w:r w:rsidR="00113C20">
        <w:rPr>
          <w:rFonts w:ascii="Arial" w:hAnsi="Arial" w:cs="Arial"/>
          <w:b/>
          <w:sz w:val="24"/>
          <w:szCs w:val="24"/>
        </w:rPr>
        <w:t>f</w:t>
      </w:r>
      <w:r>
        <w:rPr>
          <w:rFonts w:ascii="Arial" w:hAnsi="Arial" w:cs="Arial"/>
          <w:b/>
          <w:sz w:val="24"/>
          <w:szCs w:val="24"/>
        </w:rPr>
        <w:t>unding</w:t>
      </w:r>
    </w:p>
    <w:p w:rsidR="00BA54BF" w:rsidRPr="00E90E9E" w:rsidRDefault="00BA54BF">
      <w:pPr>
        <w:jc w:val="both"/>
        <w:rPr>
          <w:rFonts w:ascii="Arial" w:hAnsi="Arial" w:cs="Arial"/>
          <w:sz w:val="24"/>
          <w:szCs w:val="24"/>
        </w:rPr>
      </w:pPr>
    </w:p>
    <w:p w:rsidR="00E90E9E" w:rsidRPr="00E90E9E" w:rsidRDefault="00E90E9E" w:rsidP="00A67A9A">
      <w:pPr>
        <w:widowControl w:val="0"/>
        <w:jc w:val="both"/>
        <w:rPr>
          <w:rFonts w:ascii="Arial" w:hAnsi="Arial" w:cs="Arial"/>
          <w:sz w:val="24"/>
          <w:szCs w:val="24"/>
        </w:rPr>
      </w:pPr>
      <w:r w:rsidRPr="00E90E9E">
        <w:rPr>
          <w:rFonts w:ascii="Arial" w:hAnsi="Arial" w:cs="Arial"/>
          <w:sz w:val="24"/>
          <w:szCs w:val="24"/>
        </w:rPr>
        <w:t>The Fund is deemed to be fully funded when the assets held are equal to 100% of the Funding Target</w:t>
      </w:r>
      <w:r w:rsidR="001A323E">
        <w:rPr>
          <w:rFonts w:ascii="Arial" w:hAnsi="Arial" w:cs="Arial"/>
          <w:sz w:val="24"/>
          <w:szCs w:val="24"/>
        </w:rPr>
        <w:t xml:space="preserve"> where the funding target is assessed based on the sum of the appropriate funding targets across all the employers / groups of employers</w:t>
      </w:r>
      <w:r w:rsidRPr="00E90E9E">
        <w:rPr>
          <w:rFonts w:ascii="Arial" w:hAnsi="Arial" w:cs="Arial"/>
          <w:sz w:val="24"/>
          <w:szCs w:val="24"/>
        </w:rPr>
        <w:t xml:space="preserve">. </w:t>
      </w:r>
      <w:r w:rsidR="00113C20">
        <w:rPr>
          <w:rFonts w:ascii="Arial" w:hAnsi="Arial" w:cs="Arial"/>
          <w:sz w:val="24"/>
          <w:szCs w:val="24"/>
        </w:rPr>
        <w:t xml:space="preserve"> </w:t>
      </w:r>
      <w:r w:rsidRPr="00E90E9E">
        <w:rPr>
          <w:rFonts w:ascii="Arial" w:hAnsi="Arial" w:cs="Arial"/>
          <w:sz w:val="24"/>
          <w:szCs w:val="24"/>
        </w:rPr>
        <w:t>When assets held are greater than this amount the Fund is deemed to be in surplus, and when assets held are less than this amount the Fund is deemed to be in deficiency.</w:t>
      </w:r>
    </w:p>
    <w:p w:rsidR="00E90E9E" w:rsidRPr="00E90E9E" w:rsidRDefault="00E90E9E" w:rsidP="00A67A9A">
      <w:pPr>
        <w:jc w:val="both"/>
        <w:rPr>
          <w:rFonts w:ascii="Arial" w:hAnsi="Arial" w:cs="Arial"/>
          <w:sz w:val="24"/>
          <w:szCs w:val="24"/>
        </w:rPr>
      </w:pPr>
    </w:p>
    <w:p w:rsidR="00BA54BF" w:rsidRDefault="00D04F69" w:rsidP="001638F8">
      <w:pPr>
        <w:jc w:val="both"/>
        <w:outlineLvl w:val="0"/>
        <w:rPr>
          <w:rFonts w:ascii="Arial" w:hAnsi="Arial" w:cs="Arial"/>
          <w:b/>
          <w:sz w:val="24"/>
          <w:szCs w:val="24"/>
        </w:rPr>
      </w:pPr>
      <w:r w:rsidRPr="00176412">
        <w:rPr>
          <w:rFonts w:ascii="Arial" w:hAnsi="Arial" w:cs="Arial"/>
          <w:b/>
          <w:sz w:val="24"/>
          <w:szCs w:val="24"/>
        </w:rPr>
        <w:t xml:space="preserve">Smoothing </w:t>
      </w:r>
      <w:r w:rsidR="00113C20">
        <w:rPr>
          <w:rFonts w:ascii="Arial" w:hAnsi="Arial" w:cs="Arial"/>
          <w:b/>
          <w:sz w:val="24"/>
          <w:szCs w:val="24"/>
        </w:rPr>
        <w:t>a</w:t>
      </w:r>
      <w:r w:rsidRPr="00176412">
        <w:rPr>
          <w:rFonts w:ascii="Arial" w:hAnsi="Arial" w:cs="Arial"/>
          <w:b/>
          <w:sz w:val="24"/>
          <w:szCs w:val="24"/>
        </w:rPr>
        <w:t>djustments</w:t>
      </w:r>
    </w:p>
    <w:p w:rsidR="00D04F69" w:rsidRPr="00176412" w:rsidRDefault="00D04F69">
      <w:pPr>
        <w:jc w:val="both"/>
        <w:rPr>
          <w:rFonts w:ascii="Arial" w:hAnsi="Arial" w:cs="Arial"/>
          <w:sz w:val="24"/>
          <w:szCs w:val="24"/>
        </w:rPr>
      </w:pPr>
    </w:p>
    <w:p w:rsidR="00BA54BF" w:rsidRPr="00A24997" w:rsidRDefault="00BA54BF">
      <w:pPr>
        <w:jc w:val="both"/>
        <w:rPr>
          <w:rFonts w:ascii="Arial" w:hAnsi="Arial" w:cs="Arial"/>
          <w:sz w:val="24"/>
          <w:szCs w:val="24"/>
        </w:rPr>
      </w:pPr>
      <w:r w:rsidRPr="00176412">
        <w:rPr>
          <w:rFonts w:ascii="Arial" w:hAnsi="Arial" w:cs="Arial"/>
          <w:sz w:val="24"/>
          <w:szCs w:val="24"/>
        </w:rPr>
        <w:t xml:space="preserve">Consistent with the aim of enabling employer contribution rates to be kept as nearly constant as </w:t>
      </w:r>
      <w:proofErr w:type="gramStart"/>
      <w:r w:rsidRPr="00176412">
        <w:rPr>
          <w:rFonts w:ascii="Arial" w:hAnsi="Arial" w:cs="Arial"/>
          <w:sz w:val="24"/>
          <w:szCs w:val="24"/>
        </w:rPr>
        <w:t>possible,</w:t>
      </w:r>
      <w:proofErr w:type="gramEnd"/>
      <w:r w:rsidRPr="00176412">
        <w:rPr>
          <w:rFonts w:ascii="Arial" w:hAnsi="Arial" w:cs="Arial"/>
          <w:sz w:val="24"/>
          <w:szCs w:val="24"/>
        </w:rPr>
        <w:t xml:space="preserve"> and having regard to the risks inh</w:t>
      </w:r>
      <w:r w:rsidR="00E66695" w:rsidRPr="00176412">
        <w:rPr>
          <w:rFonts w:ascii="Arial" w:hAnsi="Arial" w:cs="Arial"/>
          <w:sz w:val="24"/>
          <w:szCs w:val="24"/>
        </w:rPr>
        <w:t xml:space="preserve">erent in such an approach, the </w:t>
      </w:r>
      <w:r w:rsidR="00CD42B5">
        <w:rPr>
          <w:rFonts w:ascii="Arial" w:hAnsi="Arial" w:cs="Arial"/>
          <w:sz w:val="24"/>
          <w:szCs w:val="24"/>
        </w:rPr>
        <w:t>a</w:t>
      </w:r>
      <w:r w:rsidR="009B2027">
        <w:rPr>
          <w:rFonts w:ascii="Arial" w:hAnsi="Arial" w:cs="Arial"/>
          <w:sz w:val="24"/>
          <w:szCs w:val="24"/>
        </w:rPr>
        <w:t>dministering authority</w:t>
      </w:r>
      <w:r w:rsidR="00E66695" w:rsidRPr="00176412">
        <w:rPr>
          <w:rFonts w:ascii="Arial" w:hAnsi="Arial" w:cs="Arial"/>
          <w:sz w:val="24"/>
          <w:szCs w:val="24"/>
        </w:rPr>
        <w:t xml:space="preserve"> </w:t>
      </w:r>
      <w:r w:rsidR="00583339" w:rsidRPr="00176412">
        <w:rPr>
          <w:rFonts w:ascii="Arial" w:hAnsi="Arial" w:cs="Arial"/>
          <w:sz w:val="24"/>
          <w:szCs w:val="24"/>
        </w:rPr>
        <w:t xml:space="preserve">may </w:t>
      </w:r>
      <w:r w:rsidR="00E66695" w:rsidRPr="00176412">
        <w:rPr>
          <w:rFonts w:ascii="Arial" w:hAnsi="Arial" w:cs="Arial"/>
          <w:sz w:val="24"/>
          <w:szCs w:val="24"/>
        </w:rPr>
        <w:t xml:space="preserve">also agree with the Fund </w:t>
      </w:r>
      <w:r w:rsidR="00492D61">
        <w:rPr>
          <w:rFonts w:ascii="Arial" w:hAnsi="Arial" w:cs="Arial"/>
          <w:sz w:val="24"/>
          <w:szCs w:val="24"/>
        </w:rPr>
        <w:t>A</w:t>
      </w:r>
      <w:r w:rsidRPr="00176412">
        <w:rPr>
          <w:rFonts w:ascii="Arial" w:hAnsi="Arial" w:cs="Arial"/>
          <w:sz w:val="24"/>
          <w:szCs w:val="24"/>
        </w:rPr>
        <w:t xml:space="preserve">ctuary the use of explicit smoothing adjustments in </w:t>
      </w:r>
      <w:r w:rsidR="00D04F69" w:rsidRPr="00176412">
        <w:rPr>
          <w:rFonts w:ascii="Arial" w:hAnsi="Arial" w:cs="Arial"/>
          <w:sz w:val="24"/>
          <w:szCs w:val="24"/>
        </w:rPr>
        <w:t>the calculation of the Funding Target</w:t>
      </w:r>
      <w:r w:rsidRPr="00176412">
        <w:rPr>
          <w:rFonts w:ascii="Arial" w:hAnsi="Arial" w:cs="Arial"/>
          <w:sz w:val="24"/>
          <w:szCs w:val="24"/>
        </w:rPr>
        <w:t>.</w:t>
      </w:r>
      <w:r w:rsidR="007E1655" w:rsidRPr="00176412">
        <w:rPr>
          <w:rFonts w:ascii="Arial" w:hAnsi="Arial" w:cs="Arial"/>
          <w:sz w:val="24"/>
          <w:szCs w:val="24"/>
        </w:rPr>
        <w:t xml:space="preserve"> </w:t>
      </w:r>
      <w:r w:rsidR="00113C20">
        <w:rPr>
          <w:rFonts w:ascii="Arial" w:hAnsi="Arial" w:cs="Arial"/>
          <w:sz w:val="24"/>
          <w:szCs w:val="24"/>
        </w:rPr>
        <w:t xml:space="preserve"> </w:t>
      </w:r>
      <w:r w:rsidRPr="00176412">
        <w:rPr>
          <w:rFonts w:ascii="Arial" w:hAnsi="Arial" w:cs="Arial"/>
          <w:sz w:val="24"/>
          <w:szCs w:val="24"/>
        </w:rPr>
        <w:t>It is unlikely that use of these smoothing adjustments will be extended to employers whose participation in the Fund is for a fixed period (for example, an employer admitted by virtue of having been awarded a best value outsourcing contract).</w:t>
      </w:r>
    </w:p>
    <w:p w:rsidR="00583339" w:rsidRPr="00A24997" w:rsidRDefault="00583339">
      <w:pPr>
        <w:jc w:val="both"/>
        <w:rPr>
          <w:rFonts w:ascii="Arial" w:hAnsi="Arial" w:cs="Arial"/>
          <w:sz w:val="24"/>
          <w:szCs w:val="24"/>
        </w:rPr>
      </w:pPr>
    </w:p>
    <w:p w:rsidR="00BA54BF" w:rsidRPr="00220634" w:rsidRDefault="008D492F" w:rsidP="001638F8">
      <w:pPr>
        <w:jc w:val="both"/>
        <w:outlineLvl w:val="0"/>
        <w:rPr>
          <w:rFonts w:ascii="Arial" w:hAnsi="Arial" w:cs="Arial"/>
          <w:sz w:val="24"/>
          <w:szCs w:val="24"/>
        </w:rPr>
      </w:pPr>
      <w:r>
        <w:rPr>
          <w:rFonts w:ascii="Arial" w:hAnsi="Arial" w:cs="Arial"/>
          <w:b/>
          <w:sz w:val="24"/>
          <w:szCs w:val="24"/>
        </w:rPr>
        <w:t xml:space="preserve">Trajectory and </w:t>
      </w:r>
      <w:r w:rsidR="00040A96" w:rsidRPr="00220634">
        <w:rPr>
          <w:rFonts w:ascii="Arial" w:hAnsi="Arial" w:cs="Arial"/>
          <w:b/>
          <w:sz w:val="24"/>
          <w:szCs w:val="24"/>
        </w:rPr>
        <w:t>Recovery Period</w:t>
      </w:r>
      <w:r w:rsidR="00181050" w:rsidRPr="00220634">
        <w:rPr>
          <w:rFonts w:ascii="Arial" w:hAnsi="Arial" w:cs="Arial"/>
          <w:b/>
          <w:sz w:val="24"/>
          <w:szCs w:val="24"/>
        </w:rPr>
        <w:t>s</w:t>
      </w:r>
    </w:p>
    <w:p w:rsidR="00BA54BF" w:rsidRPr="00A24997" w:rsidRDefault="00BA54BF">
      <w:pPr>
        <w:jc w:val="both"/>
        <w:rPr>
          <w:rFonts w:ascii="Arial" w:hAnsi="Arial" w:cs="Arial"/>
          <w:sz w:val="24"/>
          <w:szCs w:val="24"/>
        </w:rPr>
      </w:pPr>
    </w:p>
    <w:p w:rsidR="001E134A" w:rsidRDefault="001E134A">
      <w:pPr>
        <w:jc w:val="both"/>
        <w:rPr>
          <w:rFonts w:ascii="Arial" w:hAnsi="Arial" w:cs="Arial"/>
          <w:sz w:val="24"/>
          <w:szCs w:val="24"/>
        </w:rPr>
      </w:pPr>
      <w:r>
        <w:rPr>
          <w:rFonts w:ascii="Arial" w:hAnsi="Arial" w:cs="Arial"/>
          <w:sz w:val="24"/>
          <w:szCs w:val="24"/>
        </w:rPr>
        <w:t xml:space="preserve">The </w:t>
      </w:r>
      <w:r w:rsidR="001A323E">
        <w:rPr>
          <w:rFonts w:ascii="Arial" w:hAnsi="Arial" w:cs="Arial"/>
          <w:sz w:val="24"/>
          <w:szCs w:val="24"/>
        </w:rPr>
        <w:t xml:space="preserve"> </w:t>
      </w:r>
      <w:r w:rsidR="008D492F">
        <w:rPr>
          <w:rFonts w:ascii="Arial" w:hAnsi="Arial" w:cs="Arial"/>
          <w:sz w:val="24"/>
          <w:szCs w:val="24"/>
        </w:rPr>
        <w:t xml:space="preserve">Trajectory </w:t>
      </w:r>
      <w:r>
        <w:rPr>
          <w:rFonts w:ascii="Arial" w:hAnsi="Arial" w:cs="Arial"/>
          <w:sz w:val="24"/>
          <w:szCs w:val="24"/>
        </w:rPr>
        <w:t xml:space="preserve">Period </w:t>
      </w:r>
      <w:r w:rsidR="00581EEF">
        <w:rPr>
          <w:rFonts w:ascii="Arial" w:hAnsi="Arial" w:cs="Arial"/>
          <w:sz w:val="24"/>
          <w:szCs w:val="24"/>
        </w:rPr>
        <w:t>i</w:t>
      </w:r>
      <w:r>
        <w:rPr>
          <w:rFonts w:ascii="Arial" w:hAnsi="Arial" w:cs="Arial"/>
          <w:sz w:val="24"/>
          <w:szCs w:val="24"/>
        </w:rPr>
        <w:t>n relation to an employer is the period between the valuation date and the dat</w:t>
      </w:r>
      <w:r w:rsidR="00581EEF">
        <w:rPr>
          <w:rFonts w:ascii="Arial" w:hAnsi="Arial" w:cs="Arial"/>
          <w:sz w:val="24"/>
          <w:szCs w:val="24"/>
        </w:rPr>
        <w:t>e</w:t>
      </w:r>
      <w:r>
        <w:rPr>
          <w:rFonts w:ascii="Arial" w:hAnsi="Arial" w:cs="Arial"/>
          <w:sz w:val="24"/>
          <w:szCs w:val="24"/>
        </w:rPr>
        <w:t xml:space="preserve"> on which </w:t>
      </w:r>
      <w:r w:rsidR="008D492F">
        <w:rPr>
          <w:rFonts w:ascii="Arial" w:hAnsi="Arial" w:cs="Arial"/>
          <w:sz w:val="24"/>
          <w:szCs w:val="24"/>
        </w:rPr>
        <w:t xml:space="preserve">solvency </w:t>
      </w:r>
      <w:r>
        <w:rPr>
          <w:rFonts w:ascii="Arial" w:hAnsi="Arial" w:cs="Arial"/>
          <w:sz w:val="24"/>
          <w:szCs w:val="24"/>
        </w:rPr>
        <w:t xml:space="preserve">is targeted to be achieved.  </w:t>
      </w:r>
    </w:p>
    <w:p w:rsidR="001E134A" w:rsidRDefault="001E134A">
      <w:pPr>
        <w:jc w:val="both"/>
        <w:rPr>
          <w:rFonts w:ascii="Arial" w:hAnsi="Arial" w:cs="Arial"/>
          <w:sz w:val="24"/>
          <w:szCs w:val="24"/>
        </w:rPr>
      </w:pPr>
    </w:p>
    <w:p w:rsidR="00283695" w:rsidRDefault="00BA54BF" w:rsidP="00283695">
      <w:pPr>
        <w:jc w:val="both"/>
        <w:rPr>
          <w:rFonts w:ascii="Arial" w:hAnsi="Arial" w:cs="Arial"/>
          <w:sz w:val="24"/>
          <w:szCs w:val="24"/>
        </w:rPr>
      </w:pPr>
      <w:r w:rsidRPr="00A24997">
        <w:rPr>
          <w:rFonts w:ascii="Arial" w:hAnsi="Arial" w:cs="Arial"/>
          <w:sz w:val="24"/>
          <w:szCs w:val="24"/>
        </w:rPr>
        <w:t>Where a</w:t>
      </w:r>
      <w:r w:rsidR="001E134A">
        <w:rPr>
          <w:rFonts w:ascii="Arial" w:hAnsi="Arial" w:cs="Arial"/>
          <w:sz w:val="24"/>
          <w:szCs w:val="24"/>
        </w:rPr>
        <w:t>n actuarial</w:t>
      </w:r>
      <w:r w:rsidRPr="00A24997">
        <w:rPr>
          <w:rFonts w:ascii="Arial" w:hAnsi="Arial" w:cs="Arial"/>
          <w:sz w:val="24"/>
          <w:szCs w:val="24"/>
        </w:rPr>
        <w:t xml:space="preserve"> valuation reveals that the Fund is in surplus or deficiency against </w:t>
      </w:r>
      <w:r w:rsidR="00040A96">
        <w:rPr>
          <w:rFonts w:ascii="Arial" w:hAnsi="Arial" w:cs="Arial"/>
          <w:sz w:val="24"/>
          <w:szCs w:val="24"/>
        </w:rPr>
        <w:t>the Funding Target</w:t>
      </w:r>
      <w:r w:rsidRPr="00A24997">
        <w:rPr>
          <w:rFonts w:ascii="Arial" w:hAnsi="Arial" w:cs="Arial"/>
          <w:sz w:val="24"/>
          <w:szCs w:val="24"/>
        </w:rPr>
        <w:t>, employer</w:t>
      </w:r>
      <w:r w:rsidR="001E134A">
        <w:rPr>
          <w:rFonts w:ascii="Arial" w:hAnsi="Arial" w:cs="Arial"/>
          <w:sz w:val="24"/>
          <w:szCs w:val="24"/>
        </w:rPr>
        <w:t xml:space="preserve">s' </w:t>
      </w:r>
      <w:r w:rsidRPr="00A24997">
        <w:rPr>
          <w:rFonts w:ascii="Arial" w:hAnsi="Arial" w:cs="Arial"/>
          <w:sz w:val="24"/>
          <w:szCs w:val="24"/>
        </w:rPr>
        <w:t xml:space="preserve">contribution rates will be adjusted to target restoration of the </w:t>
      </w:r>
      <w:r w:rsidR="00040A96">
        <w:rPr>
          <w:rFonts w:ascii="Arial" w:hAnsi="Arial" w:cs="Arial"/>
          <w:sz w:val="24"/>
          <w:szCs w:val="24"/>
        </w:rPr>
        <w:t>Funding Target</w:t>
      </w:r>
      <w:r w:rsidRPr="00A24997">
        <w:rPr>
          <w:rFonts w:ascii="Arial" w:hAnsi="Arial" w:cs="Arial"/>
          <w:sz w:val="24"/>
          <w:szCs w:val="24"/>
        </w:rPr>
        <w:t xml:space="preserve"> over a period of years (the </w:t>
      </w:r>
      <w:r w:rsidR="00D60B98">
        <w:rPr>
          <w:rFonts w:ascii="Arial" w:hAnsi="Arial" w:cs="Arial"/>
          <w:sz w:val="24"/>
          <w:szCs w:val="24"/>
        </w:rPr>
        <w:t>R</w:t>
      </w:r>
      <w:r w:rsidRPr="00A24997">
        <w:rPr>
          <w:rFonts w:ascii="Arial" w:hAnsi="Arial" w:cs="Arial"/>
          <w:sz w:val="24"/>
          <w:szCs w:val="24"/>
        </w:rPr>
        <w:t xml:space="preserve">ecovery </w:t>
      </w:r>
      <w:r w:rsidR="00D60B98">
        <w:rPr>
          <w:rFonts w:ascii="Arial" w:hAnsi="Arial" w:cs="Arial"/>
          <w:sz w:val="24"/>
          <w:szCs w:val="24"/>
        </w:rPr>
        <w:t>P</w:t>
      </w:r>
      <w:r w:rsidRPr="00A24997">
        <w:rPr>
          <w:rFonts w:ascii="Arial" w:hAnsi="Arial" w:cs="Arial"/>
          <w:sz w:val="24"/>
          <w:szCs w:val="24"/>
        </w:rPr>
        <w:t>eriod).</w:t>
      </w:r>
      <w:r w:rsidR="000348C2">
        <w:rPr>
          <w:rFonts w:ascii="Arial" w:hAnsi="Arial" w:cs="Arial"/>
          <w:sz w:val="24"/>
          <w:szCs w:val="24"/>
        </w:rPr>
        <w:t xml:space="preserve"> </w:t>
      </w:r>
      <w:r w:rsidR="00D60B98">
        <w:rPr>
          <w:rFonts w:ascii="Arial" w:hAnsi="Arial" w:cs="Arial"/>
          <w:sz w:val="24"/>
          <w:szCs w:val="24"/>
        </w:rPr>
        <w:t xml:space="preserve"> </w:t>
      </w:r>
      <w:r w:rsidR="00283695">
        <w:rPr>
          <w:rFonts w:ascii="Arial" w:hAnsi="Arial" w:cs="Arial"/>
          <w:sz w:val="24"/>
          <w:szCs w:val="24"/>
        </w:rPr>
        <w:t xml:space="preserve">The Recovery Period in relation to an employer or group of employers </w:t>
      </w:r>
      <w:r w:rsidR="00283695" w:rsidRPr="00A24997">
        <w:rPr>
          <w:rFonts w:ascii="Arial" w:hAnsi="Arial" w:cs="Arial"/>
          <w:sz w:val="24"/>
          <w:szCs w:val="24"/>
        </w:rPr>
        <w:t xml:space="preserve">is </w:t>
      </w:r>
      <w:r w:rsidR="00283695">
        <w:rPr>
          <w:rFonts w:ascii="Arial" w:hAnsi="Arial" w:cs="Arial"/>
          <w:sz w:val="24"/>
          <w:szCs w:val="24"/>
        </w:rPr>
        <w:t>therefore a period over which any adjustment to the level of contributions in respect of a surplus or deficiency relative to the Funding Target us</w:t>
      </w:r>
      <w:r w:rsidR="008016C5">
        <w:rPr>
          <w:rFonts w:ascii="Arial" w:hAnsi="Arial" w:cs="Arial"/>
          <w:sz w:val="24"/>
          <w:szCs w:val="24"/>
        </w:rPr>
        <w:t>ed in the valuation is payable.</w:t>
      </w:r>
      <w:r w:rsidR="00A67A9A">
        <w:rPr>
          <w:rFonts w:ascii="Arial" w:hAnsi="Arial" w:cs="Arial"/>
          <w:sz w:val="24"/>
          <w:szCs w:val="24"/>
        </w:rPr>
        <w:t xml:space="preserve"> </w:t>
      </w:r>
      <w:r w:rsidR="00D60B98">
        <w:rPr>
          <w:rFonts w:ascii="Arial" w:hAnsi="Arial" w:cs="Arial"/>
          <w:sz w:val="24"/>
          <w:szCs w:val="24"/>
        </w:rPr>
        <w:t xml:space="preserve"> </w:t>
      </w:r>
    </w:p>
    <w:p w:rsidR="00BA54BF" w:rsidRPr="00A24997" w:rsidRDefault="00BA54BF">
      <w:pPr>
        <w:jc w:val="both"/>
        <w:rPr>
          <w:rFonts w:ascii="Arial" w:hAnsi="Arial" w:cs="Arial"/>
          <w:sz w:val="24"/>
          <w:szCs w:val="24"/>
        </w:rPr>
      </w:pPr>
      <w:r w:rsidRPr="00A24997">
        <w:rPr>
          <w:rFonts w:ascii="Arial" w:hAnsi="Arial" w:cs="Arial"/>
          <w:sz w:val="24"/>
          <w:szCs w:val="24"/>
        </w:rPr>
        <w:t xml:space="preserve">The </w:t>
      </w:r>
      <w:r w:rsidR="001E134A">
        <w:rPr>
          <w:rFonts w:ascii="Arial" w:hAnsi="Arial" w:cs="Arial"/>
          <w:sz w:val="24"/>
          <w:szCs w:val="24"/>
        </w:rPr>
        <w:t>R</w:t>
      </w:r>
      <w:r w:rsidRPr="00A24997">
        <w:rPr>
          <w:rFonts w:ascii="Arial" w:hAnsi="Arial" w:cs="Arial"/>
          <w:sz w:val="24"/>
          <w:szCs w:val="24"/>
        </w:rPr>
        <w:t xml:space="preserve">ecovery </w:t>
      </w:r>
      <w:r w:rsidR="001E134A">
        <w:rPr>
          <w:rFonts w:ascii="Arial" w:hAnsi="Arial" w:cs="Arial"/>
          <w:sz w:val="24"/>
          <w:szCs w:val="24"/>
        </w:rPr>
        <w:t>P</w:t>
      </w:r>
      <w:r w:rsidRPr="00A24997">
        <w:rPr>
          <w:rFonts w:ascii="Arial" w:hAnsi="Arial" w:cs="Arial"/>
          <w:sz w:val="24"/>
          <w:szCs w:val="24"/>
        </w:rPr>
        <w:t>eriod applicable for each partic</w:t>
      </w:r>
      <w:r w:rsidR="00E66695" w:rsidRPr="00A24997">
        <w:rPr>
          <w:rFonts w:ascii="Arial" w:hAnsi="Arial" w:cs="Arial"/>
          <w:sz w:val="24"/>
          <w:szCs w:val="24"/>
        </w:rPr>
        <w:t>ipating employer</w:t>
      </w:r>
      <w:r w:rsidR="00D60B98">
        <w:rPr>
          <w:rFonts w:ascii="Arial" w:hAnsi="Arial" w:cs="Arial"/>
          <w:sz w:val="24"/>
          <w:szCs w:val="24"/>
        </w:rPr>
        <w:t xml:space="preserve"> is</w:t>
      </w:r>
      <w:r w:rsidR="00E66695" w:rsidRPr="00A24997">
        <w:rPr>
          <w:rFonts w:ascii="Arial" w:hAnsi="Arial" w:cs="Arial"/>
          <w:sz w:val="24"/>
          <w:szCs w:val="24"/>
        </w:rPr>
        <w:t xml:space="preserve"> set by the </w:t>
      </w:r>
      <w:r w:rsidR="00CD42B5">
        <w:rPr>
          <w:rFonts w:ascii="Arial" w:hAnsi="Arial" w:cs="Arial"/>
          <w:sz w:val="24"/>
          <w:szCs w:val="24"/>
        </w:rPr>
        <w:t>a</w:t>
      </w:r>
      <w:r w:rsidR="009B2027">
        <w:rPr>
          <w:rFonts w:ascii="Arial" w:hAnsi="Arial" w:cs="Arial"/>
          <w:sz w:val="24"/>
          <w:szCs w:val="24"/>
        </w:rPr>
        <w:t>dministering authority</w:t>
      </w:r>
      <w:r w:rsidR="00E66695" w:rsidRPr="00A24997">
        <w:rPr>
          <w:rFonts w:ascii="Arial" w:hAnsi="Arial" w:cs="Arial"/>
          <w:sz w:val="24"/>
          <w:szCs w:val="24"/>
        </w:rPr>
        <w:t xml:space="preserve"> in consultation with the Fund </w:t>
      </w:r>
      <w:r w:rsidR="00492D61">
        <w:rPr>
          <w:rFonts w:ascii="Arial" w:hAnsi="Arial" w:cs="Arial"/>
          <w:sz w:val="24"/>
          <w:szCs w:val="24"/>
        </w:rPr>
        <w:t>A</w:t>
      </w:r>
      <w:r w:rsidRPr="00A24997">
        <w:rPr>
          <w:rFonts w:ascii="Arial" w:hAnsi="Arial" w:cs="Arial"/>
          <w:sz w:val="24"/>
          <w:szCs w:val="24"/>
        </w:rPr>
        <w:t>ctuary and the employer, with a view to balancing the various funding requirements against the risks involved due to such issues as the financial strength of the employer and the nature of its participation in the Fund.</w:t>
      </w:r>
    </w:p>
    <w:p w:rsidR="00BA54BF" w:rsidRPr="00A24997" w:rsidRDefault="00BA54BF">
      <w:pPr>
        <w:jc w:val="both"/>
        <w:rPr>
          <w:rFonts w:ascii="Arial" w:hAnsi="Arial" w:cs="Arial"/>
          <w:sz w:val="24"/>
          <w:szCs w:val="24"/>
        </w:rPr>
      </w:pPr>
    </w:p>
    <w:p w:rsidR="00695AD6" w:rsidRDefault="00E66695">
      <w:pPr>
        <w:jc w:val="both"/>
        <w:rPr>
          <w:rFonts w:ascii="Arial" w:hAnsi="Arial" w:cs="Arial"/>
          <w:sz w:val="24"/>
          <w:szCs w:val="24"/>
        </w:rPr>
      </w:pPr>
      <w:r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recognises that a large proportion of the Fund’s liabilities are expected to arise as benefit payments over long periods of time. </w:t>
      </w:r>
      <w:r w:rsidR="00D60B98">
        <w:rPr>
          <w:rFonts w:ascii="Arial" w:hAnsi="Arial" w:cs="Arial"/>
          <w:sz w:val="24"/>
          <w:szCs w:val="24"/>
        </w:rPr>
        <w:t xml:space="preserve"> </w:t>
      </w:r>
      <w:r w:rsidR="00BA54BF" w:rsidRPr="00A24997">
        <w:rPr>
          <w:rFonts w:ascii="Arial" w:hAnsi="Arial" w:cs="Arial"/>
          <w:sz w:val="24"/>
          <w:szCs w:val="24"/>
        </w:rPr>
        <w:t>For em</w:t>
      </w:r>
      <w:r w:rsidRPr="00A24997">
        <w:rPr>
          <w:rFonts w:ascii="Arial" w:hAnsi="Arial" w:cs="Arial"/>
          <w:sz w:val="24"/>
          <w:szCs w:val="24"/>
        </w:rPr>
        <w:t xml:space="preserve">ployers of sound covenant, 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is prepared to agree to </w:t>
      </w:r>
      <w:r w:rsidR="00695AD6">
        <w:rPr>
          <w:rFonts w:ascii="Arial" w:hAnsi="Arial" w:cs="Arial"/>
          <w:sz w:val="24"/>
          <w:szCs w:val="24"/>
        </w:rPr>
        <w:t>R</w:t>
      </w:r>
      <w:r w:rsidR="00BA54BF" w:rsidRPr="00A24997">
        <w:rPr>
          <w:rFonts w:ascii="Arial" w:hAnsi="Arial" w:cs="Arial"/>
          <w:sz w:val="24"/>
          <w:szCs w:val="24"/>
        </w:rPr>
        <w:t xml:space="preserve">ecovery </w:t>
      </w:r>
      <w:r w:rsidR="00695AD6">
        <w:rPr>
          <w:rFonts w:ascii="Arial" w:hAnsi="Arial" w:cs="Arial"/>
          <w:sz w:val="24"/>
          <w:szCs w:val="24"/>
        </w:rPr>
        <w:t>P</w:t>
      </w:r>
      <w:r w:rsidR="00BA54BF" w:rsidRPr="00A24997">
        <w:rPr>
          <w:rFonts w:ascii="Arial" w:hAnsi="Arial" w:cs="Arial"/>
          <w:sz w:val="24"/>
          <w:szCs w:val="24"/>
        </w:rPr>
        <w:t xml:space="preserve">eriods which are longer than the average future working lifetime of the membership of that employer </w:t>
      </w:r>
      <w:r w:rsidR="00581EEF">
        <w:rPr>
          <w:rFonts w:ascii="Arial" w:hAnsi="Arial" w:cs="Arial"/>
          <w:sz w:val="24"/>
          <w:szCs w:val="24"/>
        </w:rPr>
        <w:t>(i.e. the estimated period of time until the last active member leaves or retires).</w:t>
      </w:r>
      <w:r w:rsidR="00D60B98">
        <w:rPr>
          <w:rFonts w:ascii="Arial" w:hAnsi="Arial" w:cs="Arial"/>
          <w:sz w:val="24"/>
          <w:szCs w:val="24"/>
        </w:rPr>
        <w:t xml:space="preserve">  </w:t>
      </w:r>
      <w:r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recognises that such an approach is consistent with the aim of keeping employer contribution rates as nearly constant as possible.</w:t>
      </w:r>
      <w:r w:rsidRPr="00A24997">
        <w:rPr>
          <w:rFonts w:ascii="Arial" w:hAnsi="Arial" w:cs="Arial"/>
          <w:sz w:val="24"/>
          <w:szCs w:val="24"/>
        </w:rPr>
        <w:t xml:space="preserve"> </w:t>
      </w:r>
      <w:r w:rsidR="00D60B98">
        <w:rPr>
          <w:rFonts w:ascii="Arial" w:hAnsi="Arial" w:cs="Arial"/>
          <w:sz w:val="24"/>
          <w:szCs w:val="24"/>
        </w:rPr>
        <w:t xml:space="preserve"> </w:t>
      </w:r>
      <w:r w:rsidRPr="00A24997">
        <w:rPr>
          <w:rFonts w:ascii="Arial" w:hAnsi="Arial" w:cs="Arial"/>
          <w:sz w:val="24"/>
          <w:szCs w:val="24"/>
        </w:rPr>
        <w:t xml:space="preserve">However, 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also recognises the risk in relying on long </w:t>
      </w:r>
      <w:r w:rsidR="00695AD6">
        <w:rPr>
          <w:rFonts w:ascii="Arial" w:hAnsi="Arial" w:cs="Arial"/>
          <w:sz w:val="24"/>
          <w:szCs w:val="24"/>
        </w:rPr>
        <w:t>R</w:t>
      </w:r>
      <w:r w:rsidR="00BA54BF" w:rsidRPr="00A24997">
        <w:rPr>
          <w:rFonts w:ascii="Arial" w:hAnsi="Arial" w:cs="Arial"/>
          <w:sz w:val="24"/>
          <w:szCs w:val="24"/>
        </w:rPr>
        <w:t>ecovery</w:t>
      </w:r>
      <w:r w:rsidR="00695AD6">
        <w:rPr>
          <w:rFonts w:ascii="Arial" w:hAnsi="Arial" w:cs="Arial"/>
          <w:sz w:val="24"/>
          <w:szCs w:val="24"/>
        </w:rPr>
        <w:t xml:space="preserve"> P</w:t>
      </w:r>
      <w:r w:rsidR="00BA54BF" w:rsidRPr="00A24997">
        <w:rPr>
          <w:rFonts w:ascii="Arial" w:hAnsi="Arial" w:cs="Arial"/>
          <w:sz w:val="24"/>
          <w:szCs w:val="24"/>
        </w:rPr>
        <w:t>eriod</w:t>
      </w:r>
      <w:r w:rsidRPr="00A24997">
        <w:rPr>
          <w:rFonts w:ascii="Arial" w:hAnsi="Arial" w:cs="Arial"/>
          <w:sz w:val="24"/>
          <w:szCs w:val="24"/>
        </w:rPr>
        <w:t xml:space="preserve">s and has agreed with the Fund </w:t>
      </w:r>
      <w:r w:rsidR="00492D61">
        <w:rPr>
          <w:rFonts w:ascii="Arial" w:hAnsi="Arial" w:cs="Arial"/>
          <w:sz w:val="24"/>
          <w:szCs w:val="24"/>
        </w:rPr>
        <w:t>A</w:t>
      </w:r>
      <w:r w:rsidR="00BA54BF" w:rsidRPr="00A24997">
        <w:rPr>
          <w:rFonts w:ascii="Arial" w:hAnsi="Arial" w:cs="Arial"/>
          <w:sz w:val="24"/>
          <w:szCs w:val="24"/>
        </w:rPr>
        <w:t xml:space="preserve">ctuary a limit of </w:t>
      </w:r>
      <w:r w:rsidR="00D17349">
        <w:rPr>
          <w:rFonts w:ascii="Arial" w:hAnsi="Arial" w:cs="Arial"/>
          <w:sz w:val="24"/>
          <w:szCs w:val="24"/>
        </w:rPr>
        <w:t>21</w:t>
      </w:r>
      <w:r w:rsidR="00BA54BF" w:rsidRPr="00A24997">
        <w:rPr>
          <w:rFonts w:ascii="Arial" w:hAnsi="Arial" w:cs="Arial"/>
          <w:sz w:val="24"/>
          <w:szCs w:val="24"/>
        </w:rPr>
        <w:t xml:space="preserve"> years</w:t>
      </w:r>
      <w:r w:rsidR="00695AD6">
        <w:rPr>
          <w:rFonts w:ascii="Arial" w:hAnsi="Arial" w:cs="Arial"/>
          <w:sz w:val="24"/>
          <w:szCs w:val="24"/>
        </w:rPr>
        <w:t xml:space="preserve">, for employers which are assessed by the </w:t>
      </w:r>
      <w:r w:rsidR="00CD42B5">
        <w:rPr>
          <w:rFonts w:ascii="Arial" w:hAnsi="Arial" w:cs="Arial"/>
          <w:sz w:val="24"/>
          <w:szCs w:val="24"/>
        </w:rPr>
        <w:t>a</w:t>
      </w:r>
      <w:r w:rsidR="009B2027">
        <w:rPr>
          <w:rFonts w:ascii="Arial" w:hAnsi="Arial" w:cs="Arial"/>
          <w:sz w:val="24"/>
          <w:szCs w:val="24"/>
        </w:rPr>
        <w:t>dministering authority</w:t>
      </w:r>
      <w:r w:rsidR="00695AD6">
        <w:rPr>
          <w:rFonts w:ascii="Arial" w:hAnsi="Arial" w:cs="Arial"/>
          <w:sz w:val="24"/>
          <w:szCs w:val="24"/>
        </w:rPr>
        <w:t xml:space="preserve"> as being long term secure employer</w:t>
      </w:r>
      <w:r w:rsidR="00581EEF">
        <w:rPr>
          <w:rFonts w:ascii="Arial" w:hAnsi="Arial" w:cs="Arial"/>
          <w:sz w:val="24"/>
          <w:szCs w:val="24"/>
        </w:rPr>
        <w:t>s</w:t>
      </w:r>
      <w:r w:rsidR="001A323E">
        <w:rPr>
          <w:rFonts w:ascii="Arial" w:hAnsi="Arial" w:cs="Arial"/>
          <w:sz w:val="24"/>
          <w:szCs w:val="24"/>
        </w:rPr>
        <w:t xml:space="preserve"> at the triennial valuation at 31 March 2016</w:t>
      </w:r>
      <w:r w:rsidR="00BA54BF" w:rsidRPr="00A24997">
        <w:rPr>
          <w:rFonts w:ascii="Arial" w:hAnsi="Arial" w:cs="Arial"/>
          <w:sz w:val="24"/>
          <w:szCs w:val="24"/>
        </w:rPr>
        <w:t xml:space="preserve">. </w:t>
      </w:r>
      <w:r w:rsidRPr="00A24997">
        <w:rPr>
          <w:rFonts w:ascii="Arial" w:hAnsi="Arial" w:cs="Arial"/>
          <w:sz w:val="24"/>
          <w:szCs w:val="24"/>
        </w:rPr>
        <w:t xml:space="preserve"> </w:t>
      </w:r>
    </w:p>
    <w:p w:rsidR="00695AD6" w:rsidRDefault="00695AD6">
      <w:pPr>
        <w:jc w:val="both"/>
        <w:rPr>
          <w:rFonts w:ascii="Arial" w:hAnsi="Arial" w:cs="Arial"/>
          <w:sz w:val="24"/>
          <w:szCs w:val="24"/>
        </w:rPr>
      </w:pPr>
    </w:p>
    <w:p w:rsidR="00581EEF" w:rsidRDefault="00E66695">
      <w:pPr>
        <w:jc w:val="both"/>
        <w:rPr>
          <w:rFonts w:ascii="Arial" w:hAnsi="Arial" w:cs="Arial"/>
          <w:sz w:val="24"/>
          <w:szCs w:val="24"/>
        </w:rPr>
      </w:pPr>
      <w:r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’s policy is </w:t>
      </w:r>
      <w:r w:rsidR="00E1523B">
        <w:rPr>
          <w:rFonts w:ascii="Arial" w:hAnsi="Arial" w:cs="Arial"/>
          <w:sz w:val="24"/>
          <w:szCs w:val="24"/>
        </w:rPr>
        <w:t xml:space="preserve">generally </w:t>
      </w:r>
      <w:r w:rsidR="00BA54BF" w:rsidRPr="00A24997">
        <w:rPr>
          <w:rFonts w:ascii="Arial" w:hAnsi="Arial" w:cs="Arial"/>
          <w:sz w:val="24"/>
          <w:szCs w:val="24"/>
        </w:rPr>
        <w:t xml:space="preserve">to </w:t>
      </w:r>
      <w:r w:rsidR="00D60B98">
        <w:rPr>
          <w:rFonts w:ascii="Arial" w:hAnsi="Arial" w:cs="Arial"/>
          <w:sz w:val="24"/>
          <w:szCs w:val="24"/>
        </w:rPr>
        <w:t>set</w:t>
      </w:r>
      <w:r w:rsidR="00D60B98" w:rsidRPr="00A24997">
        <w:rPr>
          <w:rFonts w:ascii="Arial" w:hAnsi="Arial" w:cs="Arial"/>
          <w:sz w:val="24"/>
          <w:szCs w:val="24"/>
        </w:rPr>
        <w:t xml:space="preserve"> </w:t>
      </w:r>
      <w:r w:rsidR="00695AD6">
        <w:rPr>
          <w:rFonts w:ascii="Arial" w:hAnsi="Arial" w:cs="Arial"/>
          <w:sz w:val="24"/>
          <w:szCs w:val="24"/>
        </w:rPr>
        <w:t>R</w:t>
      </w:r>
      <w:r w:rsidR="00BA54BF" w:rsidRPr="00A24997">
        <w:rPr>
          <w:rFonts w:ascii="Arial" w:hAnsi="Arial" w:cs="Arial"/>
          <w:sz w:val="24"/>
          <w:szCs w:val="24"/>
        </w:rPr>
        <w:t xml:space="preserve">ecovery </w:t>
      </w:r>
      <w:r w:rsidR="00695AD6">
        <w:rPr>
          <w:rFonts w:ascii="Arial" w:hAnsi="Arial" w:cs="Arial"/>
          <w:sz w:val="24"/>
          <w:szCs w:val="24"/>
        </w:rPr>
        <w:t>P</w:t>
      </w:r>
      <w:r w:rsidR="00BA54BF" w:rsidRPr="00A24997">
        <w:rPr>
          <w:rFonts w:ascii="Arial" w:hAnsi="Arial" w:cs="Arial"/>
          <w:sz w:val="24"/>
          <w:szCs w:val="24"/>
        </w:rPr>
        <w:t xml:space="preserve">eriods </w:t>
      </w:r>
      <w:r w:rsidR="00D60B98">
        <w:rPr>
          <w:rFonts w:ascii="Arial" w:hAnsi="Arial" w:cs="Arial"/>
          <w:sz w:val="24"/>
          <w:szCs w:val="24"/>
        </w:rPr>
        <w:t>for</w:t>
      </w:r>
      <w:r w:rsidR="00D60B98" w:rsidRPr="00A24997">
        <w:rPr>
          <w:rFonts w:ascii="Arial" w:hAnsi="Arial" w:cs="Arial"/>
          <w:sz w:val="24"/>
          <w:szCs w:val="24"/>
        </w:rPr>
        <w:t xml:space="preserve"> </w:t>
      </w:r>
      <w:r w:rsidR="00BA54BF" w:rsidRPr="00A24997">
        <w:rPr>
          <w:rFonts w:ascii="Arial" w:hAnsi="Arial" w:cs="Arial"/>
          <w:sz w:val="24"/>
          <w:szCs w:val="24"/>
        </w:rPr>
        <w:t>each employer which are as short as possible within this framework</w:t>
      </w:r>
      <w:r w:rsidR="00E1523B">
        <w:rPr>
          <w:rFonts w:ascii="Arial" w:hAnsi="Arial" w:cs="Arial"/>
          <w:sz w:val="24"/>
          <w:szCs w:val="24"/>
        </w:rPr>
        <w:t xml:space="preserve"> (although a different policy applies for academies – see below)</w:t>
      </w:r>
      <w:r w:rsidR="00BA54BF" w:rsidRPr="00A24997">
        <w:rPr>
          <w:rFonts w:ascii="Arial" w:hAnsi="Arial" w:cs="Arial"/>
          <w:sz w:val="24"/>
          <w:szCs w:val="24"/>
        </w:rPr>
        <w:t>.</w:t>
      </w:r>
      <w:r w:rsidR="00695AD6">
        <w:rPr>
          <w:rFonts w:ascii="Arial" w:hAnsi="Arial" w:cs="Arial"/>
          <w:sz w:val="24"/>
          <w:szCs w:val="24"/>
        </w:rPr>
        <w:t xml:space="preserve"> </w:t>
      </w:r>
      <w:r w:rsidR="00D60B98">
        <w:rPr>
          <w:rFonts w:ascii="Arial" w:hAnsi="Arial" w:cs="Arial"/>
          <w:sz w:val="24"/>
          <w:szCs w:val="24"/>
        </w:rPr>
        <w:t xml:space="preserve"> </w:t>
      </w:r>
      <w:r w:rsidR="00695AD6">
        <w:rPr>
          <w:rFonts w:ascii="Arial" w:hAnsi="Arial" w:cs="Arial"/>
          <w:sz w:val="24"/>
          <w:szCs w:val="24"/>
        </w:rPr>
        <w:t>In general</w:t>
      </w:r>
      <w:r w:rsidR="00B143AD">
        <w:rPr>
          <w:rFonts w:ascii="Arial" w:hAnsi="Arial" w:cs="Arial"/>
          <w:sz w:val="24"/>
          <w:szCs w:val="24"/>
        </w:rPr>
        <w:t xml:space="preserve">, </w:t>
      </w:r>
      <w:r w:rsidR="00695AD6">
        <w:rPr>
          <w:rFonts w:ascii="Arial" w:hAnsi="Arial" w:cs="Arial"/>
          <w:sz w:val="24"/>
          <w:szCs w:val="24"/>
        </w:rPr>
        <w:t xml:space="preserve">for employers that are closed to new entrants and </w:t>
      </w:r>
      <w:r w:rsidR="005230AB">
        <w:rPr>
          <w:rFonts w:ascii="Arial" w:hAnsi="Arial" w:cs="Arial"/>
          <w:sz w:val="24"/>
          <w:szCs w:val="24"/>
        </w:rPr>
        <w:t>the participation is</w:t>
      </w:r>
      <w:r w:rsidR="00695AD6">
        <w:rPr>
          <w:rFonts w:ascii="Arial" w:hAnsi="Arial" w:cs="Arial"/>
          <w:sz w:val="24"/>
          <w:szCs w:val="24"/>
        </w:rPr>
        <w:t xml:space="preserve"> of sufficient term</w:t>
      </w:r>
      <w:r w:rsidR="00B143AD">
        <w:rPr>
          <w:rFonts w:ascii="Arial" w:hAnsi="Arial" w:cs="Arial"/>
          <w:sz w:val="24"/>
          <w:szCs w:val="24"/>
        </w:rPr>
        <w:t>,</w:t>
      </w:r>
      <w:r w:rsidR="00695AD6">
        <w:rPr>
          <w:rFonts w:ascii="Arial" w:hAnsi="Arial" w:cs="Arial"/>
          <w:sz w:val="24"/>
          <w:szCs w:val="24"/>
        </w:rPr>
        <w:t xml:space="preserve"> the Recovery Period is set to be the estimated future working lifetime of the active membership</w:t>
      </w:r>
      <w:r w:rsidR="00D60B98">
        <w:rPr>
          <w:rFonts w:ascii="Arial" w:hAnsi="Arial" w:cs="Arial"/>
          <w:sz w:val="24"/>
          <w:szCs w:val="24"/>
        </w:rPr>
        <w:t>.</w:t>
      </w:r>
    </w:p>
    <w:p w:rsidR="000348C2" w:rsidRDefault="000348C2">
      <w:pPr>
        <w:jc w:val="both"/>
        <w:rPr>
          <w:rFonts w:ascii="Arial" w:hAnsi="Arial" w:cs="Arial"/>
          <w:sz w:val="24"/>
          <w:szCs w:val="24"/>
        </w:rPr>
      </w:pPr>
    </w:p>
    <w:p w:rsidR="000348C2" w:rsidRPr="00A24997" w:rsidRDefault="000348C2">
      <w:pPr>
        <w:jc w:val="both"/>
        <w:rPr>
          <w:rFonts w:ascii="Arial" w:hAnsi="Arial" w:cs="Arial"/>
          <w:sz w:val="24"/>
          <w:szCs w:val="24"/>
        </w:rPr>
      </w:pPr>
      <w:r>
        <w:rPr>
          <w:rFonts w:ascii="Arial" w:hAnsi="Arial" w:cs="Arial"/>
          <w:sz w:val="24"/>
          <w:szCs w:val="24"/>
        </w:rPr>
        <w:t xml:space="preserve">The exception to this limit is </w:t>
      </w:r>
      <w:smartTag w:uri="urn:schemas-microsoft-com:office:smarttags" w:element="place">
        <w:smartTag w:uri="urn:schemas-microsoft-com:office:smarttags" w:element="PlaceName">
          <w:r>
            <w:rPr>
              <w:rFonts w:ascii="Arial" w:hAnsi="Arial" w:cs="Arial"/>
              <w:sz w:val="24"/>
              <w:szCs w:val="24"/>
            </w:rPr>
            <w:t>Northumberland</w:t>
          </w:r>
        </w:smartTag>
        <w:r>
          <w:rPr>
            <w:rFonts w:ascii="Arial" w:hAnsi="Arial" w:cs="Arial"/>
            <w:sz w:val="24"/>
            <w:szCs w:val="24"/>
          </w:rPr>
          <w:t xml:space="preserve"> </w:t>
        </w:r>
        <w:smartTag w:uri="urn:schemas-microsoft-com:office:smarttags" w:element="PlaceType">
          <w:r>
            <w:rPr>
              <w:rFonts w:ascii="Arial" w:hAnsi="Arial" w:cs="Arial"/>
              <w:sz w:val="24"/>
              <w:szCs w:val="24"/>
            </w:rPr>
            <w:t>College</w:t>
          </w:r>
        </w:smartTag>
      </w:smartTag>
      <w:r>
        <w:rPr>
          <w:rFonts w:ascii="Arial" w:hAnsi="Arial" w:cs="Arial"/>
          <w:sz w:val="24"/>
          <w:szCs w:val="24"/>
        </w:rPr>
        <w:t xml:space="preserve">, for whom the </w:t>
      </w:r>
      <w:r w:rsidR="00CD42B5">
        <w:rPr>
          <w:rFonts w:ascii="Arial" w:hAnsi="Arial" w:cs="Arial"/>
          <w:sz w:val="24"/>
          <w:szCs w:val="24"/>
        </w:rPr>
        <w:t>a</w:t>
      </w:r>
      <w:r w:rsidR="009B2027">
        <w:rPr>
          <w:rFonts w:ascii="Arial" w:hAnsi="Arial" w:cs="Arial"/>
          <w:sz w:val="24"/>
          <w:szCs w:val="24"/>
        </w:rPr>
        <w:t>dministering authority</w:t>
      </w:r>
      <w:r>
        <w:rPr>
          <w:rFonts w:ascii="Arial" w:hAnsi="Arial" w:cs="Arial"/>
          <w:sz w:val="24"/>
          <w:szCs w:val="24"/>
        </w:rPr>
        <w:t xml:space="preserve"> has agreed to use a Recovery Period of 30 years to assist in smoothing contribution rates as the employer transitions to an alternative Funding Target.</w:t>
      </w:r>
    </w:p>
    <w:p w:rsidR="00581EEF" w:rsidRPr="00A24997" w:rsidRDefault="00695AD6">
      <w:pPr>
        <w:jc w:val="both"/>
        <w:rPr>
          <w:rFonts w:ascii="Arial" w:hAnsi="Arial" w:cs="Arial"/>
          <w:sz w:val="24"/>
          <w:szCs w:val="24"/>
        </w:rPr>
      </w:pPr>
      <w:r>
        <w:rPr>
          <w:rFonts w:ascii="Arial" w:hAnsi="Arial" w:cs="Arial"/>
          <w:sz w:val="24"/>
          <w:szCs w:val="24"/>
        </w:rPr>
        <w:t xml:space="preserve"> </w:t>
      </w:r>
    </w:p>
    <w:p w:rsidR="00EB0CAA" w:rsidRPr="00BA310D" w:rsidRDefault="00BA54BF">
      <w:pPr>
        <w:jc w:val="both"/>
        <w:rPr>
          <w:rFonts w:ascii="Arial" w:hAnsi="Arial" w:cs="Arial"/>
          <w:sz w:val="24"/>
          <w:szCs w:val="24"/>
        </w:rPr>
      </w:pPr>
      <w:r w:rsidRPr="00A24997">
        <w:rPr>
          <w:rFonts w:ascii="Arial" w:hAnsi="Arial" w:cs="Arial"/>
          <w:sz w:val="24"/>
          <w:szCs w:val="24"/>
        </w:rPr>
        <w:t xml:space="preserve">For employers whose participation in the </w:t>
      </w:r>
      <w:r w:rsidR="00695AD6">
        <w:rPr>
          <w:rFonts w:ascii="Arial" w:hAnsi="Arial" w:cs="Arial"/>
          <w:sz w:val="24"/>
          <w:szCs w:val="24"/>
        </w:rPr>
        <w:t>F</w:t>
      </w:r>
      <w:r w:rsidRPr="00A24997">
        <w:rPr>
          <w:rFonts w:ascii="Arial" w:hAnsi="Arial" w:cs="Arial"/>
          <w:sz w:val="24"/>
          <w:szCs w:val="24"/>
        </w:rPr>
        <w:t xml:space="preserve">und is for a fixed </w:t>
      </w:r>
      <w:r w:rsidR="00E66695" w:rsidRPr="00A24997">
        <w:rPr>
          <w:rFonts w:ascii="Arial" w:hAnsi="Arial" w:cs="Arial"/>
          <w:sz w:val="24"/>
          <w:szCs w:val="24"/>
        </w:rPr>
        <w:t>period</w:t>
      </w:r>
      <w:r w:rsidR="00B143AD">
        <w:rPr>
          <w:rFonts w:ascii="Arial" w:hAnsi="Arial" w:cs="Arial"/>
          <w:sz w:val="24"/>
          <w:szCs w:val="24"/>
        </w:rPr>
        <w:t>,</w:t>
      </w:r>
      <w:r w:rsidR="00E66695" w:rsidRPr="00A24997">
        <w:rPr>
          <w:rFonts w:ascii="Arial" w:hAnsi="Arial" w:cs="Arial"/>
          <w:sz w:val="24"/>
          <w:szCs w:val="24"/>
        </w:rPr>
        <w:t xml:space="preserve"> it is unlikely that the </w:t>
      </w:r>
      <w:r w:rsidR="00CD42B5">
        <w:rPr>
          <w:rFonts w:ascii="Arial" w:hAnsi="Arial" w:cs="Arial"/>
          <w:sz w:val="24"/>
          <w:szCs w:val="24"/>
        </w:rPr>
        <w:t>a</w:t>
      </w:r>
      <w:r w:rsidR="009B2027">
        <w:rPr>
          <w:rFonts w:ascii="Arial" w:hAnsi="Arial" w:cs="Arial"/>
          <w:sz w:val="24"/>
          <w:szCs w:val="24"/>
        </w:rPr>
        <w:t>dministering authority</w:t>
      </w:r>
      <w:r w:rsidRPr="00A24997">
        <w:rPr>
          <w:rFonts w:ascii="Arial" w:hAnsi="Arial" w:cs="Arial"/>
          <w:sz w:val="24"/>
          <w:szCs w:val="24"/>
        </w:rPr>
        <w:t xml:space="preserve"> and Fun</w:t>
      </w:r>
      <w:r w:rsidR="00E66695" w:rsidRPr="00A24997">
        <w:rPr>
          <w:rFonts w:ascii="Arial" w:hAnsi="Arial" w:cs="Arial"/>
          <w:sz w:val="24"/>
          <w:szCs w:val="24"/>
        </w:rPr>
        <w:t xml:space="preserve">d </w:t>
      </w:r>
      <w:r w:rsidR="00492D61">
        <w:rPr>
          <w:rFonts w:ascii="Arial" w:hAnsi="Arial" w:cs="Arial"/>
          <w:sz w:val="24"/>
          <w:szCs w:val="24"/>
        </w:rPr>
        <w:t>A</w:t>
      </w:r>
      <w:r w:rsidRPr="00A24997">
        <w:rPr>
          <w:rFonts w:ascii="Arial" w:hAnsi="Arial" w:cs="Arial"/>
          <w:sz w:val="24"/>
          <w:szCs w:val="24"/>
        </w:rPr>
        <w:t>ctuary would agree to a recovery period longer than the r</w:t>
      </w:r>
      <w:r w:rsidR="00BA310D">
        <w:rPr>
          <w:rFonts w:ascii="Arial" w:hAnsi="Arial" w:cs="Arial"/>
          <w:sz w:val="24"/>
          <w:szCs w:val="24"/>
        </w:rPr>
        <w:t>emaining term of participation.</w:t>
      </w:r>
    </w:p>
    <w:p w:rsidR="00EB0CAA" w:rsidRDefault="00EB0CAA">
      <w:pPr>
        <w:jc w:val="both"/>
        <w:rPr>
          <w:rFonts w:ascii="Arial" w:hAnsi="Arial" w:cs="Arial"/>
          <w:b/>
          <w:sz w:val="24"/>
          <w:szCs w:val="24"/>
        </w:rPr>
      </w:pPr>
    </w:p>
    <w:p w:rsidR="00FD759D" w:rsidRDefault="00D60B98" w:rsidP="00FD759D">
      <w:pPr>
        <w:overflowPunct/>
        <w:jc w:val="both"/>
        <w:textAlignment w:val="auto"/>
        <w:rPr>
          <w:rFonts w:ascii="Arial" w:hAnsi="Arial" w:cs="Arial"/>
          <w:sz w:val="24"/>
          <w:szCs w:val="24"/>
          <w:lang w:eastAsia="en-GB"/>
        </w:rPr>
      </w:pPr>
      <w:r>
        <w:rPr>
          <w:rFonts w:ascii="Arial" w:hAnsi="Arial" w:cs="Arial"/>
          <w:sz w:val="24"/>
          <w:szCs w:val="24"/>
        </w:rPr>
        <w:t>T</w:t>
      </w:r>
      <w:r w:rsidR="00FD759D" w:rsidRPr="00D25B81">
        <w:rPr>
          <w:rFonts w:ascii="Arial" w:hAnsi="Arial" w:cs="Arial"/>
          <w:sz w:val="24"/>
          <w:szCs w:val="24"/>
        </w:rPr>
        <w:t xml:space="preserve">he </w:t>
      </w:r>
      <w:r w:rsidR="00CD42B5">
        <w:rPr>
          <w:rFonts w:ascii="Arial" w:hAnsi="Arial" w:cs="Arial"/>
          <w:sz w:val="24"/>
          <w:szCs w:val="24"/>
        </w:rPr>
        <w:t>a</w:t>
      </w:r>
      <w:r w:rsidR="009B2027">
        <w:rPr>
          <w:rFonts w:ascii="Arial" w:hAnsi="Arial" w:cs="Arial"/>
          <w:sz w:val="24"/>
          <w:szCs w:val="24"/>
        </w:rPr>
        <w:t>dministering authority</w:t>
      </w:r>
      <w:r w:rsidR="00FD759D" w:rsidRPr="00D25B81">
        <w:rPr>
          <w:rFonts w:ascii="Arial" w:hAnsi="Arial" w:cs="Arial"/>
          <w:sz w:val="24"/>
          <w:szCs w:val="24"/>
        </w:rPr>
        <w:t xml:space="preserve"> obtain</w:t>
      </w:r>
      <w:r>
        <w:rPr>
          <w:rFonts w:ascii="Arial" w:hAnsi="Arial" w:cs="Arial"/>
          <w:sz w:val="24"/>
          <w:szCs w:val="24"/>
        </w:rPr>
        <w:t>s the</w:t>
      </w:r>
      <w:r w:rsidR="00FD759D" w:rsidRPr="00D25B81">
        <w:rPr>
          <w:rFonts w:ascii="Arial" w:hAnsi="Arial" w:cs="Arial"/>
          <w:sz w:val="20"/>
          <w:lang w:eastAsia="en-GB"/>
        </w:rPr>
        <w:t xml:space="preserve"> </w:t>
      </w:r>
      <w:r w:rsidR="00FD759D" w:rsidRPr="00D25B81">
        <w:rPr>
          <w:rFonts w:ascii="Arial" w:hAnsi="Arial" w:cs="Arial"/>
          <w:sz w:val="24"/>
          <w:szCs w:val="24"/>
          <w:lang w:eastAsia="en-GB"/>
        </w:rPr>
        <w:t xml:space="preserve">opinion </w:t>
      </w:r>
      <w:r>
        <w:rPr>
          <w:rFonts w:ascii="Arial" w:hAnsi="Arial" w:cs="Arial"/>
          <w:sz w:val="24"/>
          <w:szCs w:val="24"/>
          <w:lang w:eastAsia="en-GB"/>
        </w:rPr>
        <w:t>of</w:t>
      </w:r>
      <w:r w:rsidRPr="00D25B81">
        <w:rPr>
          <w:rFonts w:ascii="Arial" w:hAnsi="Arial" w:cs="Arial"/>
          <w:sz w:val="24"/>
          <w:szCs w:val="24"/>
          <w:lang w:eastAsia="en-GB"/>
        </w:rPr>
        <w:t xml:space="preserve"> </w:t>
      </w:r>
      <w:r w:rsidR="00FD759D" w:rsidRPr="00D25B81">
        <w:rPr>
          <w:rFonts w:ascii="Arial" w:hAnsi="Arial" w:cs="Arial"/>
          <w:sz w:val="24"/>
          <w:szCs w:val="24"/>
          <w:lang w:eastAsia="en-GB"/>
        </w:rPr>
        <w:t xml:space="preserve">Northumberland County Council‘s </w:t>
      </w:r>
      <w:r w:rsidR="003C4CD5">
        <w:rPr>
          <w:rFonts w:ascii="Arial" w:hAnsi="Arial" w:cs="Arial"/>
          <w:sz w:val="24"/>
          <w:szCs w:val="24"/>
          <w:lang w:eastAsia="en-GB"/>
        </w:rPr>
        <w:t xml:space="preserve">Deputy Chief </w:t>
      </w:r>
      <w:r w:rsidR="00B143AD">
        <w:rPr>
          <w:rFonts w:ascii="Arial" w:hAnsi="Arial" w:cs="Arial"/>
          <w:sz w:val="24"/>
          <w:szCs w:val="24"/>
          <w:lang w:eastAsia="en-GB"/>
        </w:rPr>
        <w:t xml:space="preserve">Executive </w:t>
      </w:r>
      <w:r>
        <w:rPr>
          <w:rFonts w:ascii="Arial" w:hAnsi="Arial" w:cs="Arial"/>
          <w:sz w:val="24"/>
          <w:szCs w:val="24"/>
          <w:lang w:eastAsia="en-GB"/>
        </w:rPr>
        <w:t>to cat</w:t>
      </w:r>
      <w:r w:rsidR="00FD759D" w:rsidRPr="00D25B81">
        <w:rPr>
          <w:rFonts w:ascii="Arial" w:hAnsi="Arial" w:cs="Arial"/>
          <w:sz w:val="24"/>
          <w:szCs w:val="24"/>
          <w:lang w:eastAsia="en-GB"/>
        </w:rPr>
        <w:t xml:space="preserve">egorise </w:t>
      </w:r>
      <w:r>
        <w:rPr>
          <w:rFonts w:ascii="Arial" w:hAnsi="Arial" w:cs="Arial"/>
          <w:sz w:val="24"/>
          <w:szCs w:val="24"/>
          <w:lang w:eastAsia="en-GB"/>
        </w:rPr>
        <w:t>each</w:t>
      </w:r>
      <w:r w:rsidR="00FD759D" w:rsidRPr="00D25B81">
        <w:rPr>
          <w:rFonts w:ascii="Arial" w:hAnsi="Arial" w:cs="Arial"/>
          <w:sz w:val="24"/>
          <w:szCs w:val="24"/>
          <w:lang w:eastAsia="en-GB"/>
        </w:rPr>
        <w:t xml:space="preserve"> </w:t>
      </w:r>
      <w:r>
        <w:rPr>
          <w:rFonts w:ascii="Arial" w:hAnsi="Arial" w:cs="Arial"/>
          <w:sz w:val="24"/>
          <w:szCs w:val="24"/>
          <w:lang w:eastAsia="en-GB"/>
        </w:rPr>
        <w:t>a</w:t>
      </w:r>
      <w:r w:rsidR="00FD759D" w:rsidRPr="00D25B81">
        <w:rPr>
          <w:rFonts w:ascii="Arial" w:hAnsi="Arial" w:cs="Arial"/>
          <w:sz w:val="24"/>
          <w:szCs w:val="24"/>
          <w:lang w:eastAsia="en-GB"/>
        </w:rPr>
        <w:t>cademy</w:t>
      </w:r>
      <w:r>
        <w:rPr>
          <w:rFonts w:ascii="Arial" w:hAnsi="Arial" w:cs="Arial"/>
          <w:sz w:val="24"/>
          <w:szCs w:val="24"/>
          <w:lang w:eastAsia="en-GB"/>
        </w:rPr>
        <w:t xml:space="preserve"> in Northumberland</w:t>
      </w:r>
      <w:r w:rsidR="00FD759D" w:rsidRPr="00D25B81">
        <w:rPr>
          <w:rFonts w:ascii="Arial" w:hAnsi="Arial" w:cs="Arial"/>
          <w:sz w:val="24"/>
          <w:szCs w:val="24"/>
          <w:lang w:eastAsia="en-GB"/>
        </w:rPr>
        <w:t xml:space="preserve"> </w:t>
      </w:r>
      <w:r w:rsidRPr="00D25B81">
        <w:rPr>
          <w:rFonts w:ascii="Arial" w:hAnsi="Arial" w:cs="Arial"/>
          <w:sz w:val="24"/>
          <w:szCs w:val="24"/>
          <w:lang w:eastAsia="en-GB"/>
        </w:rPr>
        <w:t xml:space="preserve">into one of three </w:t>
      </w:r>
      <w:r>
        <w:rPr>
          <w:rFonts w:ascii="Arial" w:hAnsi="Arial" w:cs="Arial"/>
          <w:sz w:val="24"/>
          <w:szCs w:val="24"/>
          <w:lang w:eastAsia="en-GB"/>
        </w:rPr>
        <w:t>groups:</w:t>
      </w:r>
      <w:r w:rsidRPr="00D25B81">
        <w:rPr>
          <w:rFonts w:ascii="Arial" w:hAnsi="Arial" w:cs="Arial"/>
          <w:sz w:val="24"/>
          <w:szCs w:val="24"/>
          <w:lang w:eastAsia="en-GB"/>
        </w:rPr>
        <w:t xml:space="preserve"> A meaning robustly viable; B meaning viability less certain; or C meaning concerns over viability.</w:t>
      </w:r>
      <w:r>
        <w:rPr>
          <w:rFonts w:ascii="Arial" w:hAnsi="Arial" w:cs="Arial"/>
          <w:sz w:val="24"/>
          <w:szCs w:val="24"/>
          <w:lang w:eastAsia="en-GB"/>
        </w:rPr>
        <w:t xml:space="preserve">  Each academy is categorised </w:t>
      </w:r>
      <w:r w:rsidR="00FD759D" w:rsidRPr="00D25B81">
        <w:rPr>
          <w:rFonts w:ascii="Arial" w:hAnsi="Arial" w:cs="Arial"/>
          <w:sz w:val="24"/>
          <w:szCs w:val="24"/>
          <w:lang w:eastAsia="en-GB"/>
        </w:rPr>
        <w:t>at inception</w:t>
      </w:r>
      <w:r w:rsidR="008D1C0D">
        <w:rPr>
          <w:rFonts w:ascii="Arial" w:hAnsi="Arial" w:cs="Arial"/>
          <w:sz w:val="24"/>
          <w:szCs w:val="24"/>
          <w:lang w:eastAsia="en-GB"/>
        </w:rPr>
        <w:t xml:space="preserve"> and at each valuation date.</w:t>
      </w:r>
      <w:r w:rsidR="00FD759D" w:rsidRPr="00D25B81">
        <w:rPr>
          <w:rFonts w:ascii="Arial" w:hAnsi="Arial" w:cs="Arial"/>
          <w:sz w:val="24"/>
          <w:szCs w:val="24"/>
          <w:lang w:eastAsia="en-GB"/>
        </w:rPr>
        <w:t xml:space="preserve">  </w:t>
      </w:r>
      <w:r w:rsidR="00394475" w:rsidRPr="00D25B81">
        <w:rPr>
          <w:rFonts w:ascii="Arial" w:hAnsi="Arial" w:cs="Arial"/>
          <w:sz w:val="24"/>
          <w:szCs w:val="24"/>
          <w:lang w:eastAsia="en-GB"/>
        </w:rPr>
        <w:t xml:space="preserve">For category A </w:t>
      </w:r>
      <w:r w:rsidR="008D1C0D">
        <w:rPr>
          <w:rFonts w:ascii="Arial" w:hAnsi="Arial" w:cs="Arial"/>
          <w:sz w:val="24"/>
          <w:szCs w:val="24"/>
          <w:lang w:eastAsia="en-GB"/>
        </w:rPr>
        <w:t>a</w:t>
      </w:r>
      <w:r w:rsidR="00394475" w:rsidRPr="00D25B81">
        <w:rPr>
          <w:rFonts w:ascii="Arial" w:hAnsi="Arial" w:cs="Arial"/>
          <w:sz w:val="24"/>
          <w:szCs w:val="24"/>
          <w:lang w:eastAsia="en-GB"/>
        </w:rPr>
        <w:t xml:space="preserve">cademies, a </w:t>
      </w:r>
      <w:r w:rsidR="00E1523B">
        <w:rPr>
          <w:rFonts w:ascii="Arial" w:hAnsi="Arial" w:cs="Arial"/>
          <w:sz w:val="24"/>
          <w:szCs w:val="24"/>
          <w:lang w:eastAsia="en-GB"/>
        </w:rPr>
        <w:t>21</w:t>
      </w:r>
      <w:r w:rsidR="00A316D2" w:rsidRPr="00E1523B">
        <w:rPr>
          <w:rFonts w:ascii="Arial" w:hAnsi="Arial" w:cs="Arial"/>
          <w:sz w:val="24"/>
          <w:szCs w:val="24"/>
          <w:lang w:eastAsia="en-GB"/>
        </w:rPr>
        <w:t xml:space="preserve"> </w:t>
      </w:r>
      <w:r w:rsidR="00FD759D" w:rsidRPr="00E1523B">
        <w:rPr>
          <w:rFonts w:ascii="Arial" w:hAnsi="Arial" w:cs="Arial"/>
          <w:sz w:val="24"/>
          <w:szCs w:val="24"/>
          <w:lang w:eastAsia="en-GB"/>
        </w:rPr>
        <w:t xml:space="preserve">year </w:t>
      </w:r>
      <w:r w:rsidR="003E37C7" w:rsidRPr="00E1523B">
        <w:rPr>
          <w:rFonts w:ascii="Arial" w:hAnsi="Arial" w:cs="Arial"/>
          <w:sz w:val="24"/>
          <w:szCs w:val="24"/>
          <w:lang w:eastAsia="en-GB"/>
        </w:rPr>
        <w:t xml:space="preserve">Recovery Period </w:t>
      </w:r>
      <w:r w:rsidR="008D1C0D" w:rsidRPr="00E1523B">
        <w:rPr>
          <w:rFonts w:ascii="Arial" w:hAnsi="Arial" w:cs="Arial"/>
          <w:sz w:val="24"/>
          <w:szCs w:val="24"/>
          <w:lang w:eastAsia="en-GB"/>
        </w:rPr>
        <w:t>is</w:t>
      </w:r>
      <w:r w:rsidR="00FD759D" w:rsidRPr="00E1523B">
        <w:rPr>
          <w:rFonts w:ascii="Arial" w:hAnsi="Arial" w:cs="Arial"/>
          <w:sz w:val="24"/>
          <w:szCs w:val="24"/>
          <w:lang w:eastAsia="en-GB"/>
        </w:rPr>
        <w:t xml:space="preserve"> applied;</w:t>
      </w:r>
      <w:r w:rsidR="00394475" w:rsidRPr="00E1523B">
        <w:rPr>
          <w:rFonts w:ascii="Arial" w:hAnsi="Arial" w:cs="Arial"/>
          <w:sz w:val="24"/>
          <w:szCs w:val="24"/>
          <w:lang w:eastAsia="en-GB"/>
        </w:rPr>
        <w:t xml:space="preserve"> for category B a </w:t>
      </w:r>
      <w:r w:rsidR="00A316D2" w:rsidRPr="00E1523B">
        <w:rPr>
          <w:rFonts w:ascii="Arial" w:hAnsi="Arial" w:cs="Arial"/>
          <w:sz w:val="24"/>
          <w:szCs w:val="24"/>
          <w:lang w:eastAsia="en-GB"/>
        </w:rPr>
        <w:t xml:space="preserve">14 </w:t>
      </w:r>
      <w:r w:rsidR="00FD759D" w:rsidRPr="00E1523B">
        <w:rPr>
          <w:rFonts w:ascii="Arial" w:hAnsi="Arial" w:cs="Arial"/>
          <w:sz w:val="24"/>
          <w:szCs w:val="24"/>
          <w:lang w:eastAsia="en-GB"/>
        </w:rPr>
        <w:t xml:space="preserve">year </w:t>
      </w:r>
      <w:r w:rsidR="003E37C7" w:rsidRPr="00E1523B">
        <w:rPr>
          <w:rFonts w:ascii="Arial" w:hAnsi="Arial" w:cs="Arial"/>
          <w:sz w:val="24"/>
          <w:szCs w:val="24"/>
          <w:lang w:eastAsia="en-GB"/>
        </w:rPr>
        <w:t xml:space="preserve">Recovery Period </w:t>
      </w:r>
      <w:r w:rsidR="008D1C0D" w:rsidRPr="00E1523B">
        <w:rPr>
          <w:rFonts w:ascii="Arial" w:hAnsi="Arial" w:cs="Arial"/>
          <w:sz w:val="24"/>
          <w:szCs w:val="24"/>
          <w:lang w:eastAsia="en-GB"/>
        </w:rPr>
        <w:t>is</w:t>
      </w:r>
      <w:r w:rsidR="00FD759D" w:rsidRPr="00E1523B">
        <w:rPr>
          <w:rFonts w:ascii="Arial" w:hAnsi="Arial" w:cs="Arial"/>
          <w:sz w:val="24"/>
          <w:szCs w:val="24"/>
          <w:lang w:eastAsia="en-GB"/>
        </w:rPr>
        <w:t xml:space="preserve"> applied; and for category C a </w:t>
      </w:r>
      <w:r w:rsidR="008D1C0D" w:rsidRPr="00E1523B">
        <w:rPr>
          <w:rFonts w:ascii="Arial" w:hAnsi="Arial" w:cs="Arial"/>
          <w:sz w:val="24"/>
          <w:szCs w:val="24"/>
          <w:lang w:eastAsia="en-GB"/>
        </w:rPr>
        <w:t>R</w:t>
      </w:r>
      <w:r w:rsidR="00FD759D" w:rsidRPr="00E1523B">
        <w:rPr>
          <w:rFonts w:ascii="Arial" w:hAnsi="Arial" w:cs="Arial"/>
          <w:sz w:val="24"/>
          <w:szCs w:val="24"/>
          <w:lang w:eastAsia="en-GB"/>
        </w:rPr>
        <w:t xml:space="preserve">ecovery </w:t>
      </w:r>
      <w:r w:rsidR="008D1C0D" w:rsidRPr="00E1523B">
        <w:rPr>
          <w:rFonts w:ascii="Arial" w:hAnsi="Arial" w:cs="Arial"/>
          <w:sz w:val="24"/>
          <w:szCs w:val="24"/>
          <w:lang w:eastAsia="en-GB"/>
        </w:rPr>
        <w:t>P</w:t>
      </w:r>
      <w:r w:rsidR="00FD759D" w:rsidRPr="00E1523B">
        <w:rPr>
          <w:rFonts w:ascii="Arial" w:hAnsi="Arial" w:cs="Arial"/>
          <w:sz w:val="24"/>
          <w:szCs w:val="24"/>
          <w:lang w:eastAsia="en-GB"/>
        </w:rPr>
        <w:t xml:space="preserve">eriod of up to 7 years </w:t>
      </w:r>
      <w:r w:rsidR="008D1C0D" w:rsidRPr="00E1523B">
        <w:rPr>
          <w:rFonts w:ascii="Arial" w:hAnsi="Arial" w:cs="Arial"/>
          <w:sz w:val="24"/>
          <w:szCs w:val="24"/>
          <w:lang w:eastAsia="en-GB"/>
        </w:rPr>
        <w:t>is</w:t>
      </w:r>
      <w:r w:rsidR="00FD759D" w:rsidRPr="00E1523B">
        <w:rPr>
          <w:rFonts w:ascii="Arial" w:hAnsi="Arial" w:cs="Arial"/>
          <w:sz w:val="24"/>
          <w:szCs w:val="24"/>
          <w:lang w:eastAsia="en-GB"/>
        </w:rPr>
        <w:t xml:space="preserve"> applied</w:t>
      </w:r>
      <w:r w:rsidR="008D1C0D" w:rsidRPr="00E1523B">
        <w:rPr>
          <w:rFonts w:ascii="Arial" w:hAnsi="Arial" w:cs="Arial"/>
          <w:sz w:val="24"/>
          <w:szCs w:val="24"/>
          <w:lang w:eastAsia="en-GB"/>
        </w:rPr>
        <w:t xml:space="preserve"> unless </w:t>
      </w:r>
      <w:r w:rsidR="005810F5" w:rsidRPr="00E1523B">
        <w:rPr>
          <w:rFonts w:ascii="Arial" w:hAnsi="Arial" w:cs="Arial"/>
          <w:sz w:val="24"/>
          <w:szCs w:val="24"/>
          <w:lang w:eastAsia="en-GB"/>
        </w:rPr>
        <w:t xml:space="preserve">the </w:t>
      </w:r>
      <w:r w:rsidR="00CD42B5">
        <w:rPr>
          <w:rFonts w:ascii="Arial" w:hAnsi="Arial" w:cs="Arial"/>
          <w:sz w:val="24"/>
          <w:szCs w:val="24"/>
          <w:lang w:eastAsia="en-GB"/>
        </w:rPr>
        <w:t>a</w:t>
      </w:r>
      <w:r w:rsidR="009B2027">
        <w:rPr>
          <w:rFonts w:ascii="Arial" w:hAnsi="Arial" w:cs="Arial"/>
          <w:sz w:val="24"/>
          <w:szCs w:val="24"/>
          <w:lang w:eastAsia="en-GB"/>
        </w:rPr>
        <w:t>dministering authority</w:t>
      </w:r>
      <w:r w:rsidR="005810F5" w:rsidRPr="00E1523B">
        <w:rPr>
          <w:rFonts w:ascii="Arial" w:hAnsi="Arial" w:cs="Arial"/>
          <w:sz w:val="24"/>
          <w:szCs w:val="24"/>
          <w:lang w:eastAsia="en-GB"/>
        </w:rPr>
        <w:t xml:space="preserve"> receives an instruction from the Department for Education to lengthen the </w:t>
      </w:r>
      <w:r w:rsidR="003E37C7" w:rsidRPr="00E1523B">
        <w:rPr>
          <w:rFonts w:ascii="Arial" w:hAnsi="Arial" w:cs="Arial"/>
          <w:sz w:val="24"/>
          <w:szCs w:val="24"/>
          <w:lang w:eastAsia="en-GB"/>
        </w:rPr>
        <w:t>R</w:t>
      </w:r>
      <w:r w:rsidR="005810F5" w:rsidRPr="00E1523B">
        <w:rPr>
          <w:rFonts w:ascii="Arial" w:hAnsi="Arial" w:cs="Arial"/>
          <w:sz w:val="24"/>
          <w:szCs w:val="24"/>
          <w:lang w:eastAsia="en-GB"/>
        </w:rPr>
        <w:t xml:space="preserve">ecovery </w:t>
      </w:r>
      <w:r w:rsidR="003E37C7" w:rsidRPr="00E1523B">
        <w:rPr>
          <w:rFonts w:ascii="Arial" w:hAnsi="Arial" w:cs="Arial"/>
          <w:sz w:val="24"/>
          <w:szCs w:val="24"/>
          <w:lang w:eastAsia="en-GB"/>
        </w:rPr>
        <w:t>P</w:t>
      </w:r>
      <w:r w:rsidR="005810F5" w:rsidRPr="00E1523B">
        <w:rPr>
          <w:rFonts w:ascii="Arial" w:hAnsi="Arial" w:cs="Arial"/>
          <w:sz w:val="24"/>
          <w:szCs w:val="24"/>
          <w:lang w:eastAsia="en-GB"/>
        </w:rPr>
        <w:t>eriod of a specified academy</w:t>
      </w:r>
      <w:r w:rsidR="008D1C0D" w:rsidRPr="00E1523B">
        <w:rPr>
          <w:rFonts w:ascii="Arial" w:hAnsi="Arial" w:cs="Arial"/>
          <w:sz w:val="24"/>
          <w:szCs w:val="24"/>
          <w:lang w:eastAsia="en-GB"/>
        </w:rPr>
        <w:t xml:space="preserve">, in which case, a Recovery Period of up to </w:t>
      </w:r>
      <w:r w:rsidR="00E1523B">
        <w:rPr>
          <w:rFonts w:ascii="Arial" w:hAnsi="Arial" w:cs="Arial"/>
          <w:sz w:val="24"/>
          <w:szCs w:val="24"/>
          <w:lang w:eastAsia="en-GB"/>
        </w:rPr>
        <w:t>21</w:t>
      </w:r>
      <w:r w:rsidR="008D1C0D" w:rsidRPr="00E1523B">
        <w:rPr>
          <w:rFonts w:ascii="Arial" w:hAnsi="Arial" w:cs="Arial"/>
          <w:sz w:val="24"/>
          <w:szCs w:val="24"/>
          <w:lang w:eastAsia="en-GB"/>
        </w:rPr>
        <w:t xml:space="preserve"> years may be applied for category B and C academies</w:t>
      </w:r>
      <w:r w:rsidR="005810F5" w:rsidRPr="00E1523B">
        <w:rPr>
          <w:rFonts w:ascii="Arial" w:hAnsi="Arial" w:cs="Arial"/>
          <w:sz w:val="24"/>
          <w:szCs w:val="24"/>
          <w:lang w:eastAsia="en-GB"/>
        </w:rPr>
        <w:t>.</w:t>
      </w:r>
    </w:p>
    <w:p w:rsidR="00695AD6" w:rsidRDefault="00695AD6" w:rsidP="00FD759D">
      <w:pPr>
        <w:overflowPunct/>
        <w:jc w:val="both"/>
        <w:textAlignment w:val="auto"/>
        <w:rPr>
          <w:rFonts w:ascii="Arial" w:hAnsi="Arial" w:cs="Arial"/>
          <w:sz w:val="24"/>
          <w:szCs w:val="24"/>
          <w:lang w:eastAsia="en-GB"/>
        </w:rPr>
      </w:pPr>
    </w:p>
    <w:p w:rsidR="00695AD6" w:rsidRDefault="00695AD6" w:rsidP="00FD759D">
      <w:pPr>
        <w:overflowPunct/>
        <w:jc w:val="both"/>
        <w:textAlignment w:val="auto"/>
        <w:rPr>
          <w:rFonts w:ascii="Arial" w:hAnsi="Arial" w:cs="Arial"/>
          <w:sz w:val="24"/>
          <w:szCs w:val="24"/>
          <w:lang w:eastAsia="en-GB"/>
        </w:rPr>
      </w:pPr>
      <w:r w:rsidRPr="00D17349">
        <w:rPr>
          <w:rFonts w:ascii="Arial" w:hAnsi="Arial" w:cs="Arial"/>
          <w:sz w:val="24"/>
          <w:szCs w:val="24"/>
          <w:lang w:eastAsia="en-GB"/>
        </w:rPr>
        <w:t xml:space="preserve">A period of </w:t>
      </w:r>
      <w:r w:rsidR="00D17349">
        <w:rPr>
          <w:rFonts w:ascii="Arial" w:hAnsi="Arial" w:cs="Arial"/>
          <w:sz w:val="24"/>
          <w:szCs w:val="24"/>
          <w:lang w:eastAsia="en-GB"/>
        </w:rPr>
        <w:t>21</w:t>
      </w:r>
      <w:r w:rsidRPr="00D17349">
        <w:rPr>
          <w:rFonts w:ascii="Arial" w:hAnsi="Arial" w:cs="Arial"/>
          <w:sz w:val="24"/>
          <w:szCs w:val="24"/>
          <w:lang w:eastAsia="en-GB"/>
        </w:rPr>
        <w:t xml:space="preserve"> years has been used for Northumberland County Council, the largest employer in the Fund. </w:t>
      </w:r>
      <w:r w:rsidR="00CB22BE" w:rsidRPr="00D17349">
        <w:rPr>
          <w:rFonts w:ascii="Arial" w:hAnsi="Arial" w:cs="Arial"/>
          <w:sz w:val="24"/>
          <w:szCs w:val="24"/>
          <w:lang w:eastAsia="en-GB"/>
        </w:rPr>
        <w:t xml:space="preserve"> </w:t>
      </w:r>
      <w:r w:rsidR="0004451A">
        <w:rPr>
          <w:rFonts w:ascii="Arial" w:hAnsi="Arial" w:cs="Arial"/>
          <w:sz w:val="24"/>
          <w:szCs w:val="24"/>
          <w:lang w:eastAsia="en-GB"/>
        </w:rPr>
        <w:t>Recovery Periods for other employers or employer groups may be shorter</w:t>
      </w:r>
      <w:r w:rsidR="008745D0">
        <w:rPr>
          <w:rFonts w:ascii="Arial" w:hAnsi="Arial" w:cs="Arial"/>
          <w:sz w:val="24"/>
          <w:szCs w:val="24"/>
          <w:lang w:eastAsia="en-GB"/>
        </w:rPr>
        <w:t>,</w:t>
      </w:r>
      <w:r w:rsidR="0004451A">
        <w:rPr>
          <w:rFonts w:ascii="Arial" w:hAnsi="Arial" w:cs="Arial"/>
          <w:sz w:val="24"/>
          <w:szCs w:val="24"/>
          <w:lang w:eastAsia="en-GB"/>
        </w:rPr>
        <w:t xml:space="preserve"> and may not necessarily be the same as each other</w:t>
      </w:r>
      <w:r w:rsidR="008745D0">
        <w:rPr>
          <w:rFonts w:ascii="Arial" w:hAnsi="Arial" w:cs="Arial"/>
          <w:sz w:val="24"/>
          <w:szCs w:val="24"/>
          <w:lang w:eastAsia="en-GB"/>
        </w:rPr>
        <w:t>,</w:t>
      </w:r>
      <w:r w:rsidR="0004451A">
        <w:rPr>
          <w:rFonts w:ascii="Arial" w:hAnsi="Arial" w:cs="Arial"/>
          <w:sz w:val="24"/>
          <w:szCs w:val="24"/>
          <w:lang w:eastAsia="en-GB"/>
        </w:rPr>
        <w:t xml:space="preserve"> in order to suitably balance risk to the Fund and cost to the employer.</w:t>
      </w:r>
    </w:p>
    <w:p w:rsidR="0004451A" w:rsidRDefault="0004451A" w:rsidP="00FD759D">
      <w:pPr>
        <w:overflowPunct/>
        <w:jc w:val="both"/>
        <w:textAlignment w:val="auto"/>
        <w:rPr>
          <w:rFonts w:ascii="Arial" w:hAnsi="Arial" w:cs="Arial"/>
          <w:sz w:val="24"/>
          <w:szCs w:val="24"/>
          <w:lang w:eastAsia="en-GB"/>
        </w:rPr>
      </w:pPr>
    </w:p>
    <w:p w:rsidR="00F5681A" w:rsidRPr="00F5681A" w:rsidRDefault="00F5681A" w:rsidP="00F5681A">
      <w:pPr>
        <w:overflowPunct/>
        <w:autoSpaceDE/>
        <w:autoSpaceDN/>
        <w:adjustRightInd/>
        <w:spacing w:before="60" w:after="60" w:line="276" w:lineRule="auto"/>
        <w:textAlignment w:val="auto"/>
        <w:rPr>
          <w:rFonts w:ascii="Arial" w:hAnsi="Arial" w:cs="Arial"/>
          <w:b/>
          <w:bCs/>
          <w:sz w:val="24"/>
          <w:szCs w:val="24"/>
        </w:rPr>
      </w:pPr>
      <w:r w:rsidRPr="00F5681A">
        <w:rPr>
          <w:rFonts w:ascii="Arial" w:hAnsi="Arial" w:cs="Arial"/>
          <w:b/>
          <w:bCs/>
          <w:sz w:val="24"/>
          <w:szCs w:val="24"/>
        </w:rPr>
        <w:t>Long term cost efficiency</w:t>
      </w:r>
    </w:p>
    <w:p w:rsidR="00F5681A" w:rsidRDefault="00F5681A" w:rsidP="00F5681A">
      <w:pPr>
        <w:overflowPunct/>
        <w:autoSpaceDE/>
        <w:autoSpaceDN/>
        <w:adjustRightInd/>
        <w:ind w:left="720" w:hanging="720"/>
        <w:jc w:val="both"/>
        <w:textAlignment w:val="auto"/>
        <w:rPr>
          <w:rFonts w:ascii="Arial" w:eastAsia="Calibri" w:hAnsi="Arial" w:cs="Arial"/>
          <w:sz w:val="24"/>
          <w:szCs w:val="24"/>
        </w:rPr>
      </w:pPr>
    </w:p>
    <w:p w:rsidR="00F5681A" w:rsidRPr="00F5681A" w:rsidRDefault="00F5681A" w:rsidP="00F5681A">
      <w:pPr>
        <w:overflowPunct/>
        <w:autoSpaceDE/>
        <w:autoSpaceDN/>
        <w:adjustRightInd/>
        <w:jc w:val="both"/>
        <w:textAlignment w:val="auto"/>
        <w:rPr>
          <w:rFonts w:ascii="Arial" w:eastAsia="Calibri" w:hAnsi="Arial" w:cs="Arial"/>
          <w:sz w:val="24"/>
          <w:szCs w:val="24"/>
        </w:rPr>
      </w:pPr>
      <w:r w:rsidRPr="00F5681A">
        <w:rPr>
          <w:rFonts w:ascii="Arial" w:eastAsia="Calibri" w:hAnsi="Arial" w:cs="Arial"/>
          <w:sz w:val="24"/>
          <w:szCs w:val="24"/>
        </w:rPr>
        <w:t xml:space="preserve">In order to ensure that measures taken to maintain stability of employer contributions are not inconsistent with the statutory objective for employer contributions to be set so as to ensure the long-term cost efficiency of the Fund, the </w:t>
      </w:r>
      <w:r w:rsidR="00CD42B5">
        <w:rPr>
          <w:rFonts w:ascii="Arial" w:eastAsia="Calibri" w:hAnsi="Arial" w:cs="Arial"/>
          <w:sz w:val="24"/>
          <w:szCs w:val="24"/>
        </w:rPr>
        <w:t>a</w:t>
      </w:r>
      <w:r w:rsidR="009B2027">
        <w:rPr>
          <w:rFonts w:ascii="Arial" w:eastAsia="Calibri" w:hAnsi="Arial" w:cs="Arial"/>
          <w:sz w:val="24"/>
          <w:szCs w:val="24"/>
        </w:rPr>
        <w:t>dministering authority</w:t>
      </w:r>
      <w:r w:rsidRPr="00F5681A">
        <w:rPr>
          <w:rFonts w:ascii="Arial" w:eastAsia="Calibri" w:hAnsi="Arial" w:cs="Arial"/>
          <w:sz w:val="24"/>
          <w:szCs w:val="24"/>
        </w:rPr>
        <w:t xml:space="preserve"> has assessed the actual contributions payable by considering: </w:t>
      </w:r>
    </w:p>
    <w:p w:rsidR="00F5681A" w:rsidRDefault="00F5681A" w:rsidP="00F5681A">
      <w:pPr>
        <w:overflowPunct/>
        <w:autoSpaceDE/>
        <w:autoSpaceDN/>
        <w:adjustRightInd/>
        <w:textAlignment w:val="auto"/>
        <w:rPr>
          <w:rFonts w:ascii="Arial" w:eastAsia="Calibri" w:hAnsi="Arial" w:cs="Arial"/>
          <w:sz w:val="24"/>
          <w:szCs w:val="24"/>
        </w:rPr>
      </w:pPr>
    </w:p>
    <w:p w:rsidR="00F5681A" w:rsidRPr="00F5681A" w:rsidRDefault="00C122FB" w:rsidP="00F5681A">
      <w:pPr>
        <w:numPr>
          <w:ilvl w:val="0"/>
          <w:numId w:val="34"/>
        </w:numPr>
        <w:overflowPunct/>
        <w:autoSpaceDE/>
        <w:autoSpaceDN/>
        <w:adjustRightInd/>
        <w:textAlignment w:val="auto"/>
        <w:rPr>
          <w:rFonts w:ascii="Arial" w:eastAsia="Calibri" w:hAnsi="Arial" w:cs="Arial"/>
          <w:sz w:val="24"/>
          <w:szCs w:val="24"/>
        </w:rPr>
      </w:pPr>
      <w:r>
        <w:rPr>
          <w:rFonts w:ascii="Arial" w:eastAsia="Calibri" w:hAnsi="Arial" w:cs="Arial"/>
          <w:sz w:val="24"/>
          <w:szCs w:val="24"/>
        </w:rPr>
        <w:t>t</w:t>
      </w:r>
      <w:r w:rsidR="00F5681A" w:rsidRPr="00F5681A">
        <w:rPr>
          <w:rFonts w:ascii="Arial" w:eastAsia="Calibri" w:hAnsi="Arial" w:cs="Arial"/>
          <w:sz w:val="24"/>
          <w:szCs w:val="24"/>
        </w:rPr>
        <w:t>he implied average deficit recovery period, allowing for the stepping of employer contribution changes;</w:t>
      </w:r>
    </w:p>
    <w:p w:rsidR="00F5681A" w:rsidRPr="00F5681A" w:rsidRDefault="00C122FB" w:rsidP="00F5681A">
      <w:pPr>
        <w:numPr>
          <w:ilvl w:val="0"/>
          <w:numId w:val="34"/>
        </w:numPr>
        <w:overflowPunct/>
        <w:autoSpaceDE/>
        <w:autoSpaceDN/>
        <w:adjustRightInd/>
        <w:textAlignment w:val="auto"/>
        <w:rPr>
          <w:rFonts w:ascii="Arial" w:eastAsia="Calibri" w:hAnsi="Arial" w:cs="Arial"/>
          <w:sz w:val="24"/>
          <w:szCs w:val="24"/>
        </w:rPr>
      </w:pPr>
      <w:r>
        <w:rPr>
          <w:rFonts w:ascii="Arial" w:eastAsia="Calibri" w:hAnsi="Arial" w:cs="Arial"/>
          <w:sz w:val="24"/>
          <w:szCs w:val="24"/>
        </w:rPr>
        <w:t>t</w:t>
      </w:r>
      <w:r w:rsidR="00F5681A" w:rsidRPr="00F5681A">
        <w:rPr>
          <w:rFonts w:ascii="Arial" w:eastAsia="Calibri" w:hAnsi="Arial" w:cs="Arial"/>
          <w:sz w:val="24"/>
          <w:szCs w:val="24"/>
        </w:rPr>
        <w:t>he investment return required to achieve full funding over the recovery period; and</w:t>
      </w:r>
    </w:p>
    <w:p w:rsidR="00F5681A" w:rsidRPr="00F5681A" w:rsidRDefault="00C122FB" w:rsidP="00F5681A">
      <w:pPr>
        <w:numPr>
          <w:ilvl w:val="0"/>
          <w:numId w:val="34"/>
        </w:numPr>
        <w:overflowPunct/>
        <w:autoSpaceDE/>
        <w:autoSpaceDN/>
        <w:adjustRightInd/>
        <w:textAlignment w:val="auto"/>
        <w:rPr>
          <w:rFonts w:ascii="Arial" w:eastAsia="Calibri" w:hAnsi="Arial" w:cs="Arial"/>
          <w:sz w:val="24"/>
          <w:szCs w:val="24"/>
        </w:rPr>
      </w:pPr>
      <w:proofErr w:type="gramStart"/>
      <w:r>
        <w:rPr>
          <w:rFonts w:ascii="Arial" w:eastAsia="Calibri" w:hAnsi="Arial" w:cs="Arial"/>
          <w:sz w:val="24"/>
          <w:szCs w:val="24"/>
        </w:rPr>
        <w:t>h</w:t>
      </w:r>
      <w:r w:rsidR="00F5681A" w:rsidRPr="00F5681A">
        <w:rPr>
          <w:rFonts w:ascii="Arial" w:eastAsia="Calibri" w:hAnsi="Arial" w:cs="Arial"/>
          <w:sz w:val="24"/>
          <w:szCs w:val="24"/>
        </w:rPr>
        <w:t>ow</w:t>
      </w:r>
      <w:proofErr w:type="gramEnd"/>
      <w:r w:rsidR="00F5681A" w:rsidRPr="00F5681A">
        <w:rPr>
          <w:rFonts w:ascii="Arial" w:eastAsia="Calibri" w:hAnsi="Arial" w:cs="Arial"/>
          <w:sz w:val="24"/>
          <w:szCs w:val="24"/>
        </w:rPr>
        <w:t xml:space="preserve"> the investment return compares to the </w:t>
      </w:r>
      <w:r w:rsidR="00CD42B5">
        <w:rPr>
          <w:rFonts w:ascii="Arial" w:eastAsia="Calibri" w:hAnsi="Arial" w:cs="Arial"/>
          <w:sz w:val="24"/>
          <w:szCs w:val="24"/>
        </w:rPr>
        <w:t>a</w:t>
      </w:r>
      <w:r w:rsidR="009B2027">
        <w:rPr>
          <w:rFonts w:ascii="Arial" w:eastAsia="Calibri" w:hAnsi="Arial" w:cs="Arial"/>
          <w:sz w:val="24"/>
          <w:szCs w:val="24"/>
        </w:rPr>
        <w:t>dministering authority</w:t>
      </w:r>
      <w:r w:rsidR="00F5681A" w:rsidRPr="00F5681A">
        <w:rPr>
          <w:rFonts w:ascii="Arial" w:eastAsia="Calibri" w:hAnsi="Arial" w:cs="Arial"/>
          <w:sz w:val="24"/>
          <w:szCs w:val="24"/>
        </w:rPr>
        <w:t>'s view of the expected future return being targeted by the Fund’s investment strategy.</w:t>
      </w:r>
    </w:p>
    <w:p w:rsidR="00F5681A" w:rsidRPr="00F5681A" w:rsidRDefault="00F5681A" w:rsidP="00FD759D">
      <w:pPr>
        <w:overflowPunct/>
        <w:jc w:val="both"/>
        <w:textAlignment w:val="auto"/>
        <w:rPr>
          <w:rFonts w:ascii="Arial" w:hAnsi="Arial" w:cs="Arial"/>
          <w:sz w:val="24"/>
          <w:szCs w:val="24"/>
          <w:lang w:eastAsia="en-GB"/>
        </w:rPr>
      </w:pPr>
    </w:p>
    <w:p w:rsidR="00286E59" w:rsidRPr="008F583F" w:rsidRDefault="00286E59" w:rsidP="001638F8">
      <w:pPr>
        <w:overflowPunct/>
        <w:jc w:val="both"/>
        <w:textAlignment w:val="auto"/>
        <w:outlineLvl w:val="0"/>
        <w:rPr>
          <w:rFonts w:ascii="Arial" w:hAnsi="Arial" w:cs="Arial"/>
          <w:b/>
          <w:sz w:val="24"/>
          <w:szCs w:val="24"/>
          <w:lang w:eastAsia="en-GB"/>
        </w:rPr>
      </w:pPr>
      <w:r w:rsidRPr="008F583F">
        <w:rPr>
          <w:rFonts w:ascii="Arial" w:hAnsi="Arial" w:cs="Arial"/>
          <w:b/>
          <w:sz w:val="24"/>
          <w:szCs w:val="24"/>
          <w:lang w:eastAsia="en-GB"/>
        </w:rPr>
        <w:t>Stepping</w:t>
      </w:r>
    </w:p>
    <w:p w:rsidR="00286E59" w:rsidRPr="00916E73" w:rsidRDefault="00286E59" w:rsidP="00286E59">
      <w:pPr>
        <w:widowControl w:val="0"/>
        <w:overflowPunct/>
        <w:autoSpaceDE/>
        <w:autoSpaceDN/>
        <w:adjustRightInd/>
        <w:jc w:val="both"/>
        <w:textAlignment w:val="auto"/>
        <w:rPr>
          <w:rFonts w:ascii="Arial" w:hAnsi="Arial" w:cs="Arial"/>
          <w:sz w:val="24"/>
          <w:szCs w:val="24"/>
          <w:lang w:eastAsia="en-GB"/>
        </w:rPr>
      </w:pPr>
    </w:p>
    <w:p w:rsidR="00286E59" w:rsidRPr="00286E59" w:rsidRDefault="00286E59" w:rsidP="00286E59">
      <w:pPr>
        <w:widowControl w:val="0"/>
        <w:overflowPunct/>
        <w:autoSpaceDE/>
        <w:autoSpaceDN/>
        <w:adjustRightInd/>
        <w:jc w:val="both"/>
        <w:textAlignment w:val="auto"/>
        <w:rPr>
          <w:rFonts w:ascii="Arial" w:hAnsi="Arial" w:cs="Arial"/>
          <w:sz w:val="24"/>
          <w:szCs w:val="24"/>
        </w:rPr>
      </w:pPr>
      <w:r w:rsidRPr="00916E73">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916E73">
        <w:rPr>
          <w:rFonts w:ascii="Arial" w:hAnsi="Arial" w:cs="Arial"/>
          <w:sz w:val="24"/>
          <w:szCs w:val="24"/>
        </w:rPr>
        <w:t xml:space="preserve"> will also consider at each valuation whether new contribution rates should be payable immediately or reached by being stepped over a number of years.  Stepping is a generally accepted method of smoothing the impact of rate changes for local authority pension funds.  In consultation with the Actuary</w:t>
      </w:r>
      <w:r w:rsidR="008745D0">
        <w:rPr>
          <w:rFonts w:ascii="Arial" w:hAnsi="Arial" w:cs="Arial"/>
          <w:sz w:val="24"/>
          <w:szCs w:val="24"/>
        </w:rPr>
        <w:t>,</w:t>
      </w:r>
      <w:r w:rsidRPr="00916E73">
        <w:rPr>
          <w:rFonts w:ascii="Arial" w:hAnsi="Arial" w:cs="Arial"/>
          <w:sz w:val="24"/>
          <w:szCs w:val="24"/>
        </w:rPr>
        <w:t xml:space="preserve"> the </w:t>
      </w:r>
      <w:r w:rsidR="00CD42B5">
        <w:rPr>
          <w:rFonts w:ascii="Arial" w:hAnsi="Arial" w:cs="Arial"/>
          <w:sz w:val="24"/>
          <w:szCs w:val="24"/>
        </w:rPr>
        <w:t>a</w:t>
      </w:r>
      <w:r w:rsidR="009B2027">
        <w:rPr>
          <w:rFonts w:ascii="Arial" w:hAnsi="Arial" w:cs="Arial"/>
          <w:sz w:val="24"/>
          <w:szCs w:val="24"/>
        </w:rPr>
        <w:t>dministering authority</w:t>
      </w:r>
      <w:r w:rsidRPr="00916E73">
        <w:rPr>
          <w:rFonts w:ascii="Arial" w:hAnsi="Arial" w:cs="Arial"/>
          <w:sz w:val="24"/>
          <w:szCs w:val="24"/>
        </w:rPr>
        <w:t xml:space="preserve"> accepts that long term employers may step up to the new rates in annual steps.  This is in line with the aim of having contribution rates as nearly constant as possible.  The </w:t>
      </w:r>
      <w:r w:rsidR="00CD42B5">
        <w:rPr>
          <w:rFonts w:ascii="Arial" w:hAnsi="Arial" w:cs="Arial"/>
          <w:sz w:val="24"/>
          <w:szCs w:val="24"/>
        </w:rPr>
        <w:t>a</w:t>
      </w:r>
      <w:r w:rsidR="009B2027">
        <w:rPr>
          <w:rFonts w:ascii="Arial" w:hAnsi="Arial" w:cs="Arial"/>
          <w:sz w:val="24"/>
          <w:szCs w:val="24"/>
        </w:rPr>
        <w:t>dministering authority</w:t>
      </w:r>
      <w:r w:rsidRPr="00916E73">
        <w:rPr>
          <w:rFonts w:ascii="Arial" w:hAnsi="Arial" w:cs="Arial"/>
          <w:sz w:val="24"/>
          <w:szCs w:val="24"/>
        </w:rPr>
        <w:t xml:space="preserve"> usually allows a maximum of three </w:t>
      </w:r>
      <w:proofErr w:type="gramStart"/>
      <w:r w:rsidRPr="00916E73">
        <w:rPr>
          <w:rFonts w:ascii="Arial" w:hAnsi="Arial" w:cs="Arial"/>
          <w:sz w:val="24"/>
          <w:szCs w:val="24"/>
        </w:rPr>
        <w:t>steps</w:t>
      </w:r>
      <w:r w:rsidR="008745D0">
        <w:rPr>
          <w:rFonts w:ascii="Arial" w:hAnsi="Arial" w:cs="Arial"/>
          <w:sz w:val="24"/>
          <w:szCs w:val="24"/>
        </w:rPr>
        <w:t>,</w:t>
      </w:r>
      <w:proofErr w:type="gramEnd"/>
      <w:r w:rsidRPr="00916E73">
        <w:rPr>
          <w:rFonts w:ascii="Arial" w:hAnsi="Arial" w:cs="Arial"/>
          <w:sz w:val="24"/>
          <w:szCs w:val="24"/>
        </w:rPr>
        <w:t xml:space="preserve"> however in exceptional circumstances up to six steps may be used.</w:t>
      </w:r>
    </w:p>
    <w:p w:rsidR="00286E59" w:rsidRDefault="00286E59" w:rsidP="00FD759D">
      <w:pPr>
        <w:overflowPunct/>
        <w:jc w:val="both"/>
        <w:textAlignment w:val="auto"/>
        <w:rPr>
          <w:rFonts w:ascii="Arial" w:hAnsi="Arial" w:cs="Arial"/>
          <w:sz w:val="24"/>
          <w:szCs w:val="24"/>
          <w:lang w:eastAsia="en-GB"/>
        </w:rPr>
      </w:pPr>
    </w:p>
    <w:p w:rsidR="00040A96" w:rsidRDefault="00040A96" w:rsidP="001638F8">
      <w:pPr>
        <w:jc w:val="both"/>
        <w:outlineLvl w:val="0"/>
        <w:rPr>
          <w:rFonts w:ascii="Arial" w:hAnsi="Arial" w:cs="Arial"/>
          <w:b/>
          <w:sz w:val="24"/>
          <w:szCs w:val="24"/>
        </w:rPr>
      </w:pPr>
      <w:r w:rsidRPr="00040A96">
        <w:rPr>
          <w:rFonts w:ascii="Arial" w:hAnsi="Arial" w:cs="Arial"/>
          <w:b/>
          <w:sz w:val="24"/>
          <w:szCs w:val="24"/>
        </w:rPr>
        <w:t>Grouping</w:t>
      </w:r>
    </w:p>
    <w:p w:rsidR="00B1437F" w:rsidRDefault="00B1437F">
      <w:pPr>
        <w:jc w:val="both"/>
        <w:rPr>
          <w:rFonts w:ascii="Arial" w:hAnsi="Arial" w:cs="Arial"/>
          <w:sz w:val="24"/>
          <w:szCs w:val="24"/>
        </w:rPr>
      </w:pPr>
    </w:p>
    <w:p w:rsidR="00B1437F" w:rsidRDefault="00B1437F">
      <w:pPr>
        <w:jc w:val="both"/>
        <w:rPr>
          <w:rFonts w:ascii="Arial" w:hAnsi="Arial" w:cs="Arial"/>
          <w:sz w:val="24"/>
          <w:szCs w:val="24"/>
        </w:rPr>
      </w:pPr>
      <w:r w:rsidRPr="00040A96">
        <w:rPr>
          <w:rFonts w:ascii="Arial" w:hAnsi="Arial" w:cs="Arial"/>
          <w:sz w:val="24"/>
          <w:szCs w:val="24"/>
        </w:rPr>
        <w:t xml:space="preserve">In some circumstances it is desirable to group employers within the Fund </w:t>
      </w:r>
      <w:r w:rsidR="00133D3C">
        <w:rPr>
          <w:rFonts w:ascii="Arial" w:hAnsi="Arial" w:cs="Arial"/>
          <w:sz w:val="24"/>
          <w:szCs w:val="24"/>
        </w:rPr>
        <w:t xml:space="preserve">together for funding purposes </w:t>
      </w:r>
      <w:r w:rsidRPr="00040A96">
        <w:rPr>
          <w:rFonts w:ascii="Arial" w:hAnsi="Arial" w:cs="Arial"/>
          <w:sz w:val="24"/>
          <w:szCs w:val="24"/>
        </w:rPr>
        <w:t>to calcul</w:t>
      </w:r>
      <w:r w:rsidR="00133D3C">
        <w:rPr>
          <w:rFonts w:ascii="Arial" w:hAnsi="Arial" w:cs="Arial"/>
          <w:sz w:val="24"/>
          <w:szCs w:val="24"/>
        </w:rPr>
        <w:t>ate employer contribution rates</w:t>
      </w:r>
      <w:r w:rsidRPr="00040A96">
        <w:rPr>
          <w:rFonts w:ascii="Arial" w:hAnsi="Arial" w:cs="Arial"/>
          <w:sz w:val="24"/>
          <w:szCs w:val="24"/>
        </w:rPr>
        <w:t>.</w:t>
      </w:r>
      <w:r w:rsidR="007E1655">
        <w:rPr>
          <w:rFonts w:ascii="Arial" w:hAnsi="Arial" w:cs="Arial"/>
          <w:sz w:val="24"/>
          <w:szCs w:val="24"/>
        </w:rPr>
        <w:t xml:space="preserve"> </w:t>
      </w:r>
      <w:r w:rsidR="008D1C0D">
        <w:rPr>
          <w:rFonts w:ascii="Arial" w:hAnsi="Arial" w:cs="Arial"/>
          <w:sz w:val="24"/>
          <w:szCs w:val="24"/>
        </w:rPr>
        <w:t xml:space="preserve"> </w:t>
      </w:r>
      <w:r w:rsidRPr="00040A96">
        <w:rPr>
          <w:rFonts w:ascii="Arial" w:hAnsi="Arial" w:cs="Arial"/>
          <w:sz w:val="24"/>
          <w:szCs w:val="24"/>
        </w:rPr>
        <w:t>Reasons might include reduction of volatility of contribution rates for small employers, facilitating situations where employers have a common source of funding or accommodating employers who wish to share the risks related to their participation in the Fund.</w:t>
      </w:r>
      <w:r>
        <w:rPr>
          <w:rFonts w:ascii="Arial" w:hAnsi="Arial" w:cs="Arial"/>
          <w:sz w:val="24"/>
          <w:szCs w:val="24"/>
        </w:rPr>
        <w:t xml:space="preserve"> </w:t>
      </w:r>
    </w:p>
    <w:p w:rsidR="00B1437F" w:rsidRDefault="00B1437F">
      <w:pPr>
        <w:jc w:val="both"/>
        <w:rPr>
          <w:rFonts w:ascii="Arial" w:hAnsi="Arial" w:cs="Arial"/>
          <w:sz w:val="24"/>
          <w:szCs w:val="24"/>
        </w:rPr>
      </w:pPr>
    </w:p>
    <w:p w:rsidR="00BA54BF" w:rsidRDefault="00B1437F">
      <w:pPr>
        <w:jc w:val="both"/>
        <w:rPr>
          <w:rFonts w:ascii="Arial" w:hAnsi="Arial" w:cs="Arial"/>
          <w:sz w:val="24"/>
          <w:szCs w:val="24"/>
        </w:rPr>
      </w:pPr>
      <w:r>
        <w:rPr>
          <w:rFonts w:ascii="Arial" w:hAnsi="Arial" w:cs="Arial"/>
          <w:sz w:val="24"/>
          <w:szCs w:val="24"/>
        </w:rPr>
        <w:t>T</w:t>
      </w:r>
      <w:r w:rsidR="00E66695" w:rsidRPr="00A24997">
        <w:rPr>
          <w:rFonts w:ascii="Arial" w:hAnsi="Arial" w:cs="Arial"/>
          <w:sz w:val="24"/>
          <w:szCs w:val="24"/>
        </w:rPr>
        <w:t xml:space="preserve">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recognises that grouping can give rise to cross subsidies from one employer to another over time. </w:t>
      </w:r>
      <w:r w:rsidR="008D1C0D">
        <w:rPr>
          <w:rFonts w:ascii="Arial" w:hAnsi="Arial" w:cs="Arial"/>
          <w:sz w:val="24"/>
          <w:szCs w:val="24"/>
        </w:rPr>
        <w:t xml:space="preserve"> </w:t>
      </w:r>
      <w:r w:rsidR="00A316D2" w:rsidRPr="00935734">
        <w:rPr>
          <w:rFonts w:ascii="Arial" w:hAnsi="Arial" w:cs="Arial"/>
          <w:sz w:val="24"/>
          <w:szCs w:val="24"/>
        </w:rPr>
        <w:t>Employers may be grouped entirely, such that all of the risks of participation are shared, or only partially grouped such that only specified risks are shared</w:t>
      </w:r>
      <w:r w:rsidR="00A316D2">
        <w:rPr>
          <w:rFonts w:ascii="Arial" w:hAnsi="Arial" w:cs="Arial"/>
          <w:sz w:val="24"/>
          <w:szCs w:val="24"/>
        </w:rPr>
        <w:t>.</w:t>
      </w:r>
      <w:r w:rsidR="005810F5">
        <w:rPr>
          <w:rFonts w:ascii="Arial" w:hAnsi="Arial" w:cs="Arial"/>
          <w:sz w:val="24"/>
          <w:szCs w:val="24"/>
        </w:rPr>
        <w:t xml:space="preserve"> </w:t>
      </w:r>
      <w:r w:rsidR="008D1C0D">
        <w:rPr>
          <w:rFonts w:ascii="Arial" w:hAnsi="Arial" w:cs="Arial"/>
          <w:sz w:val="24"/>
          <w:szCs w:val="24"/>
        </w:rPr>
        <w:t xml:space="preserve"> </w:t>
      </w:r>
      <w:r w:rsidR="00E66695"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’s policy is to consider the position carefully at each valuation and to notify each employer that is grouped that this is the case,</w:t>
      </w:r>
      <w:r w:rsidR="00581EEF">
        <w:rPr>
          <w:rFonts w:ascii="Arial" w:hAnsi="Arial" w:cs="Arial"/>
          <w:sz w:val="24"/>
          <w:szCs w:val="24"/>
        </w:rPr>
        <w:t xml:space="preserve"> </w:t>
      </w:r>
      <w:r w:rsidR="00BA54BF" w:rsidRPr="00A24997">
        <w:rPr>
          <w:rFonts w:ascii="Arial" w:hAnsi="Arial" w:cs="Arial"/>
          <w:sz w:val="24"/>
          <w:szCs w:val="24"/>
        </w:rPr>
        <w:t xml:space="preserve">which other employers it is grouped </w:t>
      </w:r>
      <w:proofErr w:type="gramStart"/>
      <w:r w:rsidR="00BA54BF" w:rsidRPr="00A24997">
        <w:rPr>
          <w:rFonts w:ascii="Arial" w:hAnsi="Arial" w:cs="Arial"/>
          <w:sz w:val="24"/>
          <w:szCs w:val="24"/>
        </w:rPr>
        <w:t>with</w:t>
      </w:r>
      <w:r w:rsidR="00A316D2">
        <w:rPr>
          <w:rFonts w:ascii="Arial" w:hAnsi="Arial" w:cs="Arial"/>
          <w:sz w:val="24"/>
          <w:szCs w:val="24"/>
        </w:rPr>
        <w:t>,</w:t>
      </w:r>
      <w:proofErr w:type="gramEnd"/>
      <w:r w:rsidR="00A316D2">
        <w:rPr>
          <w:rFonts w:ascii="Arial" w:hAnsi="Arial" w:cs="Arial"/>
          <w:sz w:val="24"/>
          <w:szCs w:val="24"/>
        </w:rPr>
        <w:t xml:space="preserve"> and details of the grouping method used</w:t>
      </w:r>
      <w:r w:rsidR="00BA54BF" w:rsidRPr="00A24997">
        <w:rPr>
          <w:rFonts w:ascii="Arial" w:hAnsi="Arial" w:cs="Arial"/>
          <w:sz w:val="24"/>
          <w:szCs w:val="24"/>
        </w:rPr>
        <w:t>.</w:t>
      </w:r>
      <w:r w:rsidR="00E66695" w:rsidRPr="00A24997">
        <w:rPr>
          <w:rFonts w:ascii="Arial" w:hAnsi="Arial" w:cs="Arial"/>
          <w:sz w:val="24"/>
          <w:szCs w:val="24"/>
        </w:rPr>
        <w:t xml:space="preserve"> </w:t>
      </w:r>
      <w:r w:rsidR="008D1C0D">
        <w:rPr>
          <w:rFonts w:ascii="Arial" w:hAnsi="Arial" w:cs="Arial"/>
          <w:sz w:val="24"/>
          <w:szCs w:val="24"/>
        </w:rPr>
        <w:t xml:space="preserve"> </w:t>
      </w:r>
      <w:r w:rsidR="00BA54BF" w:rsidRPr="00A24997">
        <w:rPr>
          <w:rFonts w:ascii="Arial" w:hAnsi="Arial" w:cs="Arial"/>
          <w:sz w:val="24"/>
          <w:szCs w:val="24"/>
        </w:rPr>
        <w:t>If the employer objects to this grouping, it will be off</w:t>
      </w:r>
      <w:r w:rsidR="00BA310D">
        <w:rPr>
          <w:rFonts w:ascii="Arial" w:hAnsi="Arial" w:cs="Arial"/>
          <w:sz w:val="24"/>
          <w:szCs w:val="24"/>
        </w:rPr>
        <w:t>ered its own contribution rate.</w:t>
      </w:r>
    </w:p>
    <w:p w:rsidR="005810F5" w:rsidRDefault="005810F5">
      <w:pPr>
        <w:jc w:val="both"/>
        <w:rPr>
          <w:rFonts w:ascii="Arial" w:hAnsi="Arial" w:cs="Arial"/>
          <w:sz w:val="24"/>
          <w:szCs w:val="24"/>
        </w:rPr>
      </w:pPr>
    </w:p>
    <w:p w:rsidR="005810F5" w:rsidRPr="00A24997" w:rsidRDefault="005810F5">
      <w:pPr>
        <w:jc w:val="both"/>
        <w:rPr>
          <w:rFonts w:ascii="Arial" w:hAnsi="Arial" w:cs="Arial"/>
          <w:sz w:val="24"/>
          <w:szCs w:val="24"/>
        </w:rPr>
      </w:pPr>
      <w:r>
        <w:rPr>
          <w:rFonts w:ascii="Arial" w:hAnsi="Arial" w:cs="Arial"/>
          <w:sz w:val="24"/>
          <w:szCs w:val="24"/>
        </w:rPr>
        <w:t xml:space="preserve">Following commencement in the Fund, </w:t>
      </w:r>
      <w:r w:rsidR="003474DB">
        <w:rPr>
          <w:rFonts w:ascii="Arial" w:hAnsi="Arial" w:cs="Arial"/>
          <w:sz w:val="24"/>
          <w:szCs w:val="24"/>
        </w:rPr>
        <w:t>non</w:t>
      </w:r>
      <w:r w:rsidR="00755C01">
        <w:rPr>
          <w:rFonts w:ascii="Arial" w:hAnsi="Arial" w:cs="Arial"/>
          <w:sz w:val="24"/>
          <w:szCs w:val="24"/>
        </w:rPr>
        <w:t>-</w:t>
      </w:r>
      <w:r w:rsidR="003474DB">
        <w:rPr>
          <w:rFonts w:ascii="Arial" w:hAnsi="Arial" w:cs="Arial"/>
          <w:sz w:val="24"/>
          <w:szCs w:val="24"/>
        </w:rPr>
        <w:t>academy</w:t>
      </w:r>
      <w:r>
        <w:rPr>
          <w:rFonts w:ascii="Arial" w:hAnsi="Arial" w:cs="Arial"/>
          <w:sz w:val="24"/>
          <w:szCs w:val="24"/>
        </w:rPr>
        <w:t xml:space="preserve"> Scheduled Bodies</w:t>
      </w:r>
      <w:r w:rsidR="009C0106">
        <w:rPr>
          <w:rFonts w:ascii="Arial" w:hAnsi="Arial" w:cs="Arial"/>
          <w:sz w:val="24"/>
          <w:szCs w:val="24"/>
        </w:rPr>
        <w:t xml:space="preserve"> with less than 20 contributing members</w:t>
      </w:r>
      <w:r>
        <w:rPr>
          <w:rFonts w:ascii="Arial" w:hAnsi="Arial" w:cs="Arial"/>
          <w:sz w:val="24"/>
          <w:szCs w:val="24"/>
        </w:rPr>
        <w:t xml:space="preserve"> will be included within the 'Small Scheduled Bodies' group by default. </w:t>
      </w:r>
      <w:r w:rsidR="00283506">
        <w:rPr>
          <w:rFonts w:ascii="Arial" w:hAnsi="Arial" w:cs="Arial"/>
          <w:sz w:val="24"/>
          <w:szCs w:val="24"/>
        </w:rPr>
        <w:t xml:space="preserve">All risks are shared and these employers have a common </w:t>
      </w:r>
      <w:r w:rsidR="00283506">
        <w:rPr>
          <w:rFonts w:ascii="Arial" w:hAnsi="Arial" w:cs="Arial"/>
          <w:sz w:val="24"/>
          <w:szCs w:val="24"/>
        </w:rPr>
        <w:lastRenderedPageBreak/>
        <w:t xml:space="preserve">contribution rate set as a percentage of pay (although some adjustment has been made for those employers who have </w:t>
      </w:r>
      <w:r w:rsidR="008745D0">
        <w:rPr>
          <w:rFonts w:ascii="Arial" w:hAnsi="Arial" w:cs="Arial"/>
          <w:sz w:val="24"/>
          <w:szCs w:val="24"/>
        </w:rPr>
        <w:t>s</w:t>
      </w:r>
      <w:r w:rsidR="00283506">
        <w:rPr>
          <w:rFonts w:ascii="Arial" w:hAnsi="Arial" w:cs="Arial"/>
          <w:sz w:val="24"/>
          <w:szCs w:val="24"/>
        </w:rPr>
        <w:t>elected a shorter recovery period in the past).</w:t>
      </w:r>
    </w:p>
    <w:p w:rsidR="00BA54BF" w:rsidRDefault="00BA54BF">
      <w:pPr>
        <w:jc w:val="both"/>
        <w:rPr>
          <w:rFonts w:ascii="Arial" w:hAnsi="Arial" w:cs="Arial"/>
          <w:sz w:val="24"/>
          <w:szCs w:val="24"/>
        </w:rPr>
      </w:pPr>
    </w:p>
    <w:p w:rsidR="00040A96" w:rsidRPr="00935734" w:rsidRDefault="00040A96" w:rsidP="00935734">
      <w:pPr>
        <w:jc w:val="both"/>
        <w:rPr>
          <w:rFonts w:ascii="Arial" w:hAnsi="Arial" w:cs="Arial"/>
          <w:sz w:val="24"/>
          <w:szCs w:val="24"/>
        </w:rPr>
      </w:pPr>
      <w:r w:rsidRPr="00935734">
        <w:rPr>
          <w:rFonts w:ascii="Arial" w:hAnsi="Arial" w:cs="Arial"/>
          <w:sz w:val="24"/>
          <w:szCs w:val="24"/>
        </w:rPr>
        <w:t>All employers in the Fund are grouped together in respect of the risks associated with payment of benefits on death in service</w:t>
      </w:r>
      <w:r w:rsidR="00BA310D" w:rsidRPr="00935734">
        <w:rPr>
          <w:rFonts w:ascii="Arial" w:hAnsi="Arial" w:cs="Arial"/>
          <w:sz w:val="24"/>
          <w:szCs w:val="24"/>
        </w:rPr>
        <w:t xml:space="preserve"> and ill-health retirement</w:t>
      </w:r>
      <w:r w:rsidR="008D1C0D">
        <w:rPr>
          <w:rFonts w:ascii="Arial" w:hAnsi="Arial" w:cs="Arial"/>
          <w:sz w:val="24"/>
          <w:szCs w:val="24"/>
        </w:rPr>
        <w:t xml:space="preserve">. </w:t>
      </w:r>
      <w:r w:rsidRPr="00935734">
        <w:rPr>
          <w:rFonts w:ascii="Arial" w:hAnsi="Arial" w:cs="Arial"/>
          <w:sz w:val="24"/>
          <w:szCs w:val="24"/>
        </w:rPr>
        <w:t xml:space="preserve"> </w:t>
      </w:r>
      <w:r w:rsidR="008D1C0D">
        <w:rPr>
          <w:rFonts w:ascii="Arial" w:hAnsi="Arial" w:cs="Arial"/>
          <w:sz w:val="24"/>
          <w:szCs w:val="24"/>
        </w:rPr>
        <w:t>I</w:t>
      </w:r>
      <w:r w:rsidRPr="00935734">
        <w:rPr>
          <w:rFonts w:ascii="Arial" w:hAnsi="Arial" w:cs="Arial"/>
          <w:sz w:val="24"/>
          <w:szCs w:val="24"/>
        </w:rPr>
        <w:t xml:space="preserve">n other words, the cost of such benefits is shared across </w:t>
      </w:r>
      <w:r w:rsidR="0004451A">
        <w:rPr>
          <w:rFonts w:ascii="Arial" w:hAnsi="Arial" w:cs="Arial"/>
          <w:sz w:val="24"/>
          <w:szCs w:val="24"/>
        </w:rPr>
        <w:t xml:space="preserve">all </w:t>
      </w:r>
      <w:r w:rsidRPr="00935734">
        <w:rPr>
          <w:rFonts w:ascii="Arial" w:hAnsi="Arial" w:cs="Arial"/>
          <w:sz w:val="24"/>
          <w:szCs w:val="24"/>
        </w:rPr>
        <w:t xml:space="preserve">the employers in the Fund. </w:t>
      </w:r>
      <w:r w:rsidR="008D1C0D">
        <w:rPr>
          <w:rFonts w:ascii="Arial" w:hAnsi="Arial" w:cs="Arial"/>
          <w:sz w:val="24"/>
          <w:szCs w:val="24"/>
        </w:rPr>
        <w:t xml:space="preserve"> </w:t>
      </w:r>
      <w:r w:rsidRPr="00935734">
        <w:rPr>
          <w:rFonts w:ascii="Arial" w:hAnsi="Arial" w:cs="Arial"/>
          <w:sz w:val="24"/>
          <w:szCs w:val="24"/>
        </w:rPr>
        <w:t>Such benefits at no fault of the employer can cause funding strains which could be significant for some of the smaller employers without insurance or sharing of risks.</w:t>
      </w:r>
      <w:r w:rsidR="00BC57C2" w:rsidRPr="00935734">
        <w:rPr>
          <w:rFonts w:ascii="Arial" w:hAnsi="Arial" w:cs="Arial"/>
          <w:sz w:val="24"/>
          <w:szCs w:val="24"/>
        </w:rPr>
        <w:t xml:space="preserve"> </w:t>
      </w:r>
      <w:r w:rsidR="008D1C0D">
        <w:rPr>
          <w:rFonts w:ascii="Arial" w:hAnsi="Arial" w:cs="Arial"/>
          <w:sz w:val="24"/>
          <w:szCs w:val="24"/>
        </w:rPr>
        <w:t xml:space="preserve"> </w:t>
      </w:r>
      <w:r w:rsidRPr="00935734">
        <w:rPr>
          <w:rFonts w:ascii="Arial" w:hAnsi="Arial" w:cs="Arial"/>
          <w:sz w:val="24"/>
          <w:szCs w:val="24"/>
        </w:rPr>
        <w:t>The Fund, in view of its size, does not see it as cost effective or necessary to insure these benefits externally and this is seen as a pragmatic and low cost approach to spreading the risk.</w:t>
      </w:r>
    </w:p>
    <w:p w:rsidR="00121A79" w:rsidRPr="00935734" w:rsidRDefault="00121A79" w:rsidP="00935734">
      <w:pPr>
        <w:jc w:val="both"/>
        <w:rPr>
          <w:rFonts w:ascii="Arial" w:hAnsi="Arial" w:cs="Arial"/>
          <w:sz w:val="24"/>
          <w:szCs w:val="24"/>
        </w:rPr>
      </w:pPr>
    </w:p>
    <w:p w:rsidR="00B1437F" w:rsidRDefault="00283506">
      <w:pPr>
        <w:rPr>
          <w:rFonts w:ascii="Arial" w:hAnsi="Arial" w:cs="Arial"/>
          <w:b/>
          <w:sz w:val="24"/>
          <w:szCs w:val="24"/>
        </w:rPr>
      </w:pPr>
      <w:r>
        <w:rPr>
          <w:rFonts w:ascii="Arial" w:hAnsi="Arial" w:cs="Arial"/>
          <w:b/>
          <w:sz w:val="24"/>
          <w:szCs w:val="24"/>
        </w:rPr>
        <w:t xml:space="preserve">Asset </w:t>
      </w:r>
      <w:r w:rsidR="00E114C4">
        <w:rPr>
          <w:rFonts w:ascii="Arial" w:hAnsi="Arial" w:cs="Arial"/>
          <w:b/>
          <w:sz w:val="24"/>
          <w:szCs w:val="24"/>
        </w:rPr>
        <w:t>s</w:t>
      </w:r>
      <w:r>
        <w:rPr>
          <w:rFonts w:ascii="Arial" w:hAnsi="Arial" w:cs="Arial"/>
          <w:b/>
          <w:sz w:val="24"/>
          <w:szCs w:val="24"/>
        </w:rPr>
        <w:t>hares notionally allocated to employers</w:t>
      </w:r>
    </w:p>
    <w:p w:rsidR="00C122FB" w:rsidRDefault="00C122FB">
      <w:pPr>
        <w:rPr>
          <w:rFonts w:ascii="Arial" w:hAnsi="Arial" w:cs="Arial"/>
          <w:b/>
          <w:sz w:val="24"/>
          <w:szCs w:val="24"/>
          <w:u w:val="single"/>
        </w:rPr>
      </w:pPr>
    </w:p>
    <w:p w:rsidR="00B1437F" w:rsidRPr="00935734" w:rsidRDefault="00B1437F" w:rsidP="00935734">
      <w:pPr>
        <w:jc w:val="both"/>
        <w:rPr>
          <w:rFonts w:ascii="Arial" w:hAnsi="Arial" w:cs="Arial"/>
          <w:sz w:val="24"/>
          <w:szCs w:val="24"/>
        </w:rPr>
      </w:pPr>
      <w:r w:rsidRPr="00935734">
        <w:rPr>
          <w:rFonts w:ascii="Arial" w:hAnsi="Arial" w:cs="Arial"/>
          <w:sz w:val="24"/>
          <w:szCs w:val="24"/>
        </w:rPr>
        <w:t>In order to establish contribution rates for individual employers or groups of employers</w:t>
      </w:r>
      <w:r w:rsidR="008745D0">
        <w:rPr>
          <w:rFonts w:ascii="Arial" w:hAnsi="Arial" w:cs="Arial"/>
          <w:sz w:val="24"/>
          <w:szCs w:val="24"/>
        </w:rPr>
        <w:t>,</w:t>
      </w:r>
      <w:r w:rsidRPr="00935734">
        <w:rPr>
          <w:rFonts w:ascii="Arial" w:hAnsi="Arial" w:cs="Arial"/>
          <w:sz w:val="24"/>
          <w:szCs w:val="24"/>
        </w:rPr>
        <w:t xml:space="preserve"> it is convenient to notionally subdivide the Fund as a whole between the employers, as if each employer had its own notional </w:t>
      </w:r>
      <w:r w:rsidR="00283506">
        <w:rPr>
          <w:rFonts w:ascii="Arial" w:hAnsi="Arial" w:cs="Arial"/>
          <w:sz w:val="24"/>
          <w:szCs w:val="24"/>
        </w:rPr>
        <w:t>asset share</w:t>
      </w:r>
      <w:r w:rsidRPr="00935734">
        <w:rPr>
          <w:rFonts w:ascii="Arial" w:hAnsi="Arial" w:cs="Arial"/>
          <w:sz w:val="24"/>
          <w:szCs w:val="24"/>
        </w:rPr>
        <w:t xml:space="preserve"> within the Fund.</w:t>
      </w:r>
    </w:p>
    <w:p w:rsidR="00935734" w:rsidRDefault="00935734" w:rsidP="00BC57C2">
      <w:pPr>
        <w:jc w:val="both"/>
        <w:rPr>
          <w:rFonts w:ascii="Arial" w:hAnsi="Arial" w:cs="Arial"/>
          <w:sz w:val="24"/>
          <w:szCs w:val="24"/>
        </w:rPr>
      </w:pPr>
    </w:p>
    <w:p w:rsidR="00B1437F" w:rsidRPr="00B1437F" w:rsidRDefault="00B1437F" w:rsidP="00BC57C2">
      <w:pPr>
        <w:jc w:val="both"/>
        <w:rPr>
          <w:rFonts w:ascii="Arial" w:hAnsi="Arial" w:cs="Arial"/>
          <w:sz w:val="24"/>
          <w:szCs w:val="24"/>
        </w:rPr>
      </w:pPr>
      <w:r w:rsidRPr="00B1437F">
        <w:rPr>
          <w:rFonts w:ascii="Arial" w:hAnsi="Arial" w:cs="Arial"/>
          <w:sz w:val="24"/>
          <w:szCs w:val="24"/>
        </w:rPr>
        <w:t xml:space="preserve">This subdivision is for funding purposes only. </w:t>
      </w:r>
      <w:r w:rsidR="008D1C0D">
        <w:rPr>
          <w:rFonts w:ascii="Arial" w:hAnsi="Arial" w:cs="Arial"/>
          <w:sz w:val="24"/>
          <w:szCs w:val="24"/>
        </w:rPr>
        <w:t xml:space="preserve"> </w:t>
      </w:r>
      <w:r w:rsidRPr="00B1437F">
        <w:rPr>
          <w:rFonts w:ascii="Arial" w:hAnsi="Arial" w:cs="Arial"/>
          <w:sz w:val="24"/>
          <w:szCs w:val="24"/>
        </w:rPr>
        <w:t>It is purely notional in nature and does not imply any formal subdivision of assets, nor ownership of any particular assets or groups of assets by any individual employer or group.</w:t>
      </w:r>
    </w:p>
    <w:p w:rsidR="00B1437F" w:rsidRPr="00B1437F" w:rsidRDefault="00B1437F">
      <w:pPr>
        <w:rPr>
          <w:rFonts w:ascii="Arial" w:hAnsi="Arial" w:cs="Arial"/>
          <w:sz w:val="24"/>
          <w:szCs w:val="24"/>
        </w:rPr>
      </w:pPr>
    </w:p>
    <w:p w:rsidR="0004451A" w:rsidRDefault="0004451A" w:rsidP="001638F8">
      <w:pPr>
        <w:jc w:val="both"/>
        <w:outlineLvl w:val="0"/>
        <w:rPr>
          <w:rFonts w:ascii="Arial" w:hAnsi="Arial" w:cs="Arial"/>
          <w:b/>
          <w:sz w:val="24"/>
          <w:szCs w:val="24"/>
        </w:rPr>
      </w:pPr>
      <w:r w:rsidRPr="0004451A">
        <w:rPr>
          <w:rFonts w:ascii="Arial" w:hAnsi="Arial" w:cs="Arial"/>
          <w:b/>
          <w:sz w:val="24"/>
          <w:szCs w:val="24"/>
        </w:rPr>
        <w:t>Roll</w:t>
      </w:r>
      <w:r w:rsidR="00164D19">
        <w:rPr>
          <w:rFonts w:ascii="Arial" w:hAnsi="Arial" w:cs="Arial"/>
          <w:b/>
          <w:sz w:val="24"/>
          <w:szCs w:val="24"/>
        </w:rPr>
        <w:t xml:space="preserve"> </w:t>
      </w:r>
      <w:r w:rsidR="008D1C0D">
        <w:rPr>
          <w:rFonts w:ascii="Arial" w:hAnsi="Arial" w:cs="Arial"/>
          <w:b/>
          <w:sz w:val="24"/>
          <w:szCs w:val="24"/>
        </w:rPr>
        <w:t>f</w:t>
      </w:r>
      <w:r w:rsidRPr="0004451A">
        <w:rPr>
          <w:rFonts w:ascii="Arial" w:hAnsi="Arial" w:cs="Arial"/>
          <w:b/>
          <w:sz w:val="24"/>
          <w:szCs w:val="24"/>
        </w:rPr>
        <w:t xml:space="preserve">orward of </w:t>
      </w:r>
      <w:r w:rsidR="00E114C4">
        <w:rPr>
          <w:rFonts w:ascii="Arial" w:hAnsi="Arial" w:cs="Arial"/>
          <w:b/>
          <w:sz w:val="24"/>
          <w:szCs w:val="24"/>
        </w:rPr>
        <w:t>n</w:t>
      </w:r>
      <w:r w:rsidR="00283506">
        <w:rPr>
          <w:rFonts w:ascii="Arial" w:hAnsi="Arial" w:cs="Arial"/>
          <w:b/>
          <w:sz w:val="24"/>
          <w:szCs w:val="24"/>
        </w:rPr>
        <w:t xml:space="preserve">otional </w:t>
      </w:r>
      <w:r w:rsidR="00E114C4">
        <w:rPr>
          <w:rFonts w:ascii="Arial" w:hAnsi="Arial" w:cs="Arial"/>
          <w:b/>
          <w:sz w:val="24"/>
          <w:szCs w:val="24"/>
        </w:rPr>
        <w:t>a</w:t>
      </w:r>
      <w:r w:rsidR="00283506">
        <w:rPr>
          <w:rFonts w:ascii="Arial" w:hAnsi="Arial" w:cs="Arial"/>
          <w:b/>
          <w:sz w:val="24"/>
          <w:szCs w:val="24"/>
        </w:rPr>
        <w:t xml:space="preserve">sset </w:t>
      </w:r>
      <w:r w:rsidR="00E114C4">
        <w:rPr>
          <w:rFonts w:ascii="Arial" w:hAnsi="Arial" w:cs="Arial"/>
          <w:b/>
          <w:sz w:val="24"/>
          <w:szCs w:val="24"/>
        </w:rPr>
        <w:t>s</w:t>
      </w:r>
      <w:r w:rsidR="00283506">
        <w:rPr>
          <w:rFonts w:ascii="Arial" w:hAnsi="Arial" w:cs="Arial"/>
          <w:b/>
          <w:sz w:val="24"/>
          <w:szCs w:val="24"/>
        </w:rPr>
        <w:t>hares</w:t>
      </w:r>
    </w:p>
    <w:p w:rsidR="00D26B54" w:rsidRPr="0004451A" w:rsidRDefault="00D26B54" w:rsidP="00935734">
      <w:pPr>
        <w:jc w:val="both"/>
        <w:rPr>
          <w:rFonts w:ascii="Arial" w:hAnsi="Arial" w:cs="Arial"/>
          <w:b/>
          <w:sz w:val="24"/>
          <w:szCs w:val="24"/>
        </w:rPr>
      </w:pPr>
    </w:p>
    <w:p w:rsidR="00BA03C7" w:rsidRDefault="00B1437F" w:rsidP="00BA03C7">
      <w:pPr>
        <w:jc w:val="both"/>
        <w:rPr>
          <w:rFonts w:ascii="Arial" w:hAnsi="Arial" w:cs="Arial"/>
          <w:sz w:val="24"/>
          <w:szCs w:val="24"/>
        </w:rPr>
      </w:pPr>
      <w:r w:rsidRPr="00935734">
        <w:rPr>
          <w:rFonts w:ascii="Arial" w:hAnsi="Arial" w:cs="Arial"/>
          <w:sz w:val="24"/>
          <w:szCs w:val="24"/>
        </w:rPr>
        <w:t xml:space="preserve">The notional </w:t>
      </w:r>
      <w:r w:rsidR="00283506">
        <w:rPr>
          <w:rFonts w:ascii="Arial" w:hAnsi="Arial" w:cs="Arial"/>
          <w:sz w:val="24"/>
          <w:szCs w:val="24"/>
        </w:rPr>
        <w:t>asset share</w:t>
      </w:r>
      <w:r w:rsidRPr="00935734">
        <w:rPr>
          <w:rFonts w:ascii="Arial" w:hAnsi="Arial" w:cs="Arial"/>
          <w:sz w:val="24"/>
          <w:szCs w:val="24"/>
        </w:rPr>
        <w:t xml:space="preserve"> allocated to each employer will be rolled forward</w:t>
      </w:r>
      <w:r w:rsidR="008745D0">
        <w:rPr>
          <w:rFonts w:ascii="Arial" w:hAnsi="Arial" w:cs="Arial"/>
          <w:sz w:val="24"/>
          <w:szCs w:val="24"/>
        </w:rPr>
        <w:t>,</w:t>
      </w:r>
      <w:r w:rsidRPr="00935734">
        <w:rPr>
          <w:rFonts w:ascii="Arial" w:hAnsi="Arial" w:cs="Arial"/>
          <w:sz w:val="24"/>
          <w:szCs w:val="24"/>
        </w:rPr>
        <w:t xml:space="preserve"> allowing for all cash</w:t>
      </w:r>
      <w:r w:rsidR="000D24DD">
        <w:rPr>
          <w:rFonts w:ascii="Arial" w:hAnsi="Arial" w:cs="Arial"/>
          <w:sz w:val="24"/>
          <w:szCs w:val="24"/>
        </w:rPr>
        <w:t xml:space="preserve"> </w:t>
      </w:r>
      <w:r w:rsidRPr="00935734">
        <w:rPr>
          <w:rFonts w:ascii="Arial" w:hAnsi="Arial" w:cs="Arial"/>
          <w:sz w:val="24"/>
          <w:szCs w:val="24"/>
        </w:rPr>
        <w:t xml:space="preserve">flows associated with that employer's membership, including contribution income, benefit outgo, transfers in and out and investment income. </w:t>
      </w:r>
      <w:r w:rsidR="001D6A35">
        <w:rPr>
          <w:rFonts w:ascii="Arial" w:hAnsi="Arial" w:cs="Arial"/>
          <w:sz w:val="24"/>
          <w:szCs w:val="24"/>
        </w:rPr>
        <w:t xml:space="preserve"> </w:t>
      </w:r>
      <w:r w:rsidRPr="00935734">
        <w:rPr>
          <w:rFonts w:ascii="Arial" w:hAnsi="Arial" w:cs="Arial"/>
          <w:sz w:val="24"/>
          <w:szCs w:val="24"/>
        </w:rPr>
        <w:t>In general</w:t>
      </w:r>
      <w:r w:rsidR="008745D0">
        <w:rPr>
          <w:rFonts w:ascii="Arial" w:hAnsi="Arial" w:cs="Arial"/>
          <w:sz w:val="24"/>
          <w:szCs w:val="24"/>
        </w:rPr>
        <w:t>,</w:t>
      </w:r>
      <w:r w:rsidRPr="00935734">
        <w:rPr>
          <w:rFonts w:ascii="Arial" w:hAnsi="Arial" w:cs="Arial"/>
          <w:sz w:val="24"/>
          <w:szCs w:val="24"/>
        </w:rPr>
        <w:t xml:space="preserve"> no allowance is made for the timing of contributions and cash</w:t>
      </w:r>
      <w:r w:rsidR="000D24DD">
        <w:rPr>
          <w:rFonts w:ascii="Arial" w:hAnsi="Arial" w:cs="Arial"/>
          <w:sz w:val="24"/>
          <w:szCs w:val="24"/>
        </w:rPr>
        <w:t xml:space="preserve"> </w:t>
      </w:r>
      <w:r w:rsidRPr="00935734">
        <w:rPr>
          <w:rFonts w:ascii="Arial" w:hAnsi="Arial" w:cs="Arial"/>
          <w:sz w:val="24"/>
          <w:szCs w:val="24"/>
        </w:rPr>
        <w:t>flows for each year are assumed to be made half way through the year</w:t>
      </w:r>
      <w:r w:rsidR="008745D0">
        <w:rPr>
          <w:rFonts w:ascii="Arial" w:hAnsi="Arial" w:cs="Arial"/>
          <w:sz w:val="24"/>
          <w:szCs w:val="24"/>
        </w:rPr>
        <w:t>,</w:t>
      </w:r>
      <w:r w:rsidRPr="00935734">
        <w:rPr>
          <w:rFonts w:ascii="Arial" w:hAnsi="Arial" w:cs="Arial"/>
          <w:sz w:val="24"/>
          <w:szCs w:val="24"/>
        </w:rPr>
        <w:t xml:space="preserve"> with investment returns assumed to be uniformly earned over that year</w:t>
      </w:r>
      <w:r w:rsidR="00283506" w:rsidRPr="00935734">
        <w:rPr>
          <w:rFonts w:ascii="Arial" w:hAnsi="Arial" w:cs="Arial"/>
          <w:sz w:val="24"/>
          <w:szCs w:val="24"/>
        </w:rPr>
        <w:t>.</w:t>
      </w:r>
      <w:r w:rsidR="00283506">
        <w:rPr>
          <w:rFonts w:ascii="Arial" w:hAnsi="Arial" w:cs="Arial"/>
          <w:sz w:val="24"/>
          <w:szCs w:val="24"/>
        </w:rPr>
        <w:t xml:space="preserve"> </w:t>
      </w:r>
      <w:r w:rsidR="00BA03C7">
        <w:rPr>
          <w:rFonts w:ascii="Arial" w:hAnsi="Arial" w:cs="Arial"/>
          <w:sz w:val="24"/>
          <w:szCs w:val="24"/>
        </w:rPr>
        <w:t>However, where significant one-off employer contributions have been paid, allowance is made for the timing of such contributions.</w:t>
      </w:r>
    </w:p>
    <w:p w:rsidR="00BA03C7" w:rsidRDefault="00BA03C7" w:rsidP="00935734">
      <w:pPr>
        <w:jc w:val="both"/>
        <w:rPr>
          <w:rFonts w:ascii="Arial" w:hAnsi="Arial" w:cs="Arial"/>
          <w:sz w:val="24"/>
          <w:szCs w:val="24"/>
        </w:rPr>
      </w:pPr>
    </w:p>
    <w:p w:rsidR="00B1437F" w:rsidRPr="00935734" w:rsidRDefault="00B1437F" w:rsidP="00935734">
      <w:pPr>
        <w:jc w:val="both"/>
        <w:rPr>
          <w:rFonts w:ascii="Arial" w:hAnsi="Arial" w:cs="Arial"/>
          <w:sz w:val="24"/>
          <w:szCs w:val="24"/>
        </w:rPr>
      </w:pPr>
      <w:r w:rsidRPr="00935734">
        <w:rPr>
          <w:rFonts w:ascii="Arial" w:hAnsi="Arial" w:cs="Arial"/>
          <w:sz w:val="24"/>
          <w:szCs w:val="24"/>
        </w:rPr>
        <w:t>Further adjustments are made for:</w:t>
      </w:r>
    </w:p>
    <w:p w:rsidR="00935734" w:rsidRDefault="00935734" w:rsidP="00935734">
      <w:pPr>
        <w:jc w:val="both"/>
        <w:rPr>
          <w:rFonts w:ascii="Arial" w:hAnsi="Arial" w:cs="Arial"/>
          <w:sz w:val="24"/>
          <w:szCs w:val="24"/>
        </w:rPr>
      </w:pPr>
    </w:p>
    <w:p w:rsidR="001D6A35" w:rsidRPr="001D6A35" w:rsidRDefault="001D6A35" w:rsidP="001D6A35">
      <w:pPr>
        <w:numPr>
          <w:ilvl w:val="0"/>
          <w:numId w:val="16"/>
        </w:numPr>
        <w:jc w:val="both"/>
        <w:rPr>
          <w:rFonts w:ascii="Arial" w:hAnsi="Arial" w:cs="Arial"/>
          <w:sz w:val="24"/>
          <w:szCs w:val="24"/>
        </w:rPr>
      </w:pPr>
      <w:r>
        <w:rPr>
          <w:rFonts w:ascii="Arial" w:hAnsi="Arial" w:cs="Arial"/>
          <w:sz w:val="24"/>
          <w:szCs w:val="24"/>
        </w:rPr>
        <w:t>a</w:t>
      </w:r>
      <w:r w:rsidRPr="001D6A35">
        <w:rPr>
          <w:rFonts w:ascii="Arial" w:hAnsi="Arial" w:cs="Arial"/>
          <w:sz w:val="24"/>
          <w:szCs w:val="24"/>
        </w:rPr>
        <w:t xml:space="preserve"> notional deduction to meet the expenses paid from the Fund in line with the assumption used </w:t>
      </w:r>
      <w:r>
        <w:rPr>
          <w:rFonts w:ascii="Arial" w:hAnsi="Arial" w:cs="Arial"/>
          <w:sz w:val="24"/>
          <w:szCs w:val="24"/>
        </w:rPr>
        <w:t>at the previous valuation;</w:t>
      </w:r>
    </w:p>
    <w:p w:rsidR="001D6A35" w:rsidRPr="001D6A35" w:rsidRDefault="001D6A35" w:rsidP="001D6A35">
      <w:pPr>
        <w:numPr>
          <w:ilvl w:val="0"/>
          <w:numId w:val="16"/>
        </w:numPr>
        <w:jc w:val="both"/>
        <w:rPr>
          <w:rFonts w:ascii="Arial" w:hAnsi="Arial" w:cs="Arial"/>
          <w:sz w:val="24"/>
          <w:szCs w:val="24"/>
        </w:rPr>
      </w:pPr>
      <w:proofErr w:type="gramStart"/>
      <w:r>
        <w:rPr>
          <w:rFonts w:ascii="Arial" w:hAnsi="Arial" w:cs="Arial"/>
          <w:sz w:val="24"/>
          <w:szCs w:val="24"/>
        </w:rPr>
        <w:t>a</w:t>
      </w:r>
      <w:r w:rsidRPr="001D6A35">
        <w:rPr>
          <w:rFonts w:ascii="Arial" w:hAnsi="Arial" w:cs="Arial"/>
          <w:sz w:val="24"/>
          <w:szCs w:val="24"/>
        </w:rPr>
        <w:t>llowance</w:t>
      </w:r>
      <w:proofErr w:type="gramEnd"/>
      <w:r w:rsidRPr="001D6A35">
        <w:rPr>
          <w:rFonts w:ascii="Arial" w:hAnsi="Arial" w:cs="Arial"/>
          <w:sz w:val="24"/>
          <w:szCs w:val="24"/>
        </w:rPr>
        <w:t xml:space="preserve"> for any known material internal transfers in the Fund (cash</w:t>
      </w:r>
      <w:r w:rsidR="000D24DD">
        <w:rPr>
          <w:rFonts w:ascii="Arial" w:hAnsi="Arial" w:cs="Arial"/>
          <w:sz w:val="24"/>
          <w:szCs w:val="24"/>
        </w:rPr>
        <w:t xml:space="preserve"> </w:t>
      </w:r>
      <w:r w:rsidRPr="001D6A35">
        <w:rPr>
          <w:rFonts w:ascii="Arial" w:hAnsi="Arial" w:cs="Arial"/>
          <w:sz w:val="24"/>
          <w:szCs w:val="24"/>
        </w:rPr>
        <w:t xml:space="preserve">flows will not exist for these transfers). </w:t>
      </w:r>
      <w:r>
        <w:rPr>
          <w:rFonts w:ascii="Arial" w:hAnsi="Arial" w:cs="Arial"/>
          <w:sz w:val="24"/>
          <w:szCs w:val="24"/>
        </w:rPr>
        <w:t xml:space="preserve"> </w:t>
      </w:r>
      <w:r w:rsidRPr="001D6A35">
        <w:rPr>
          <w:rFonts w:ascii="Arial" w:hAnsi="Arial" w:cs="Arial"/>
          <w:sz w:val="24"/>
          <w:szCs w:val="24"/>
        </w:rPr>
        <w:t>The Fund actuary will assume an estimated cash</w:t>
      </w:r>
      <w:r w:rsidR="000D24DD">
        <w:rPr>
          <w:rFonts w:ascii="Arial" w:hAnsi="Arial" w:cs="Arial"/>
          <w:sz w:val="24"/>
          <w:szCs w:val="24"/>
        </w:rPr>
        <w:t xml:space="preserve"> </w:t>
      </w:r>
      <w:r w:rsidRPr="001D6A35">
        <w:rPr>
          <w:rFonts w:ascii="Arial" w:hAnsi="Arial" w:cs="Arial"/>
          <w:sz w:val="24"/>
          <w:szCs w:val="24"/>
        </w:rPr>
        <w:t>flow equal to the value of the liabilities transferred from one employer to the other</w:t>
      </w:r>
      <w:r w:rsidR="008745D0">
        <w:rPr>
          <w:rFonts w:ascii="Arial" w:hAnsi="Arial" w:cs="Arial"/>
          <w:sz w:val="24"/>
          <w:szCs w:val="24"/>
        </w:rPr>
        <w:t>,</w:t>
      </w:r>
      <w:r w:rsidRPr="001D6A35">
        <w:rPr>
          <w:rFonts w:ascii="Arial" w:hAnsi="Arial" w:cs="Arial"/>
          <w:sz w:val="24"/>
          <w:szCs w:val="24"/>
        </w:rPr>
        <w:t xml:space="preserve"> unless some other approach has been a</w:t>
      </w:r>
      <w:r>
        <w:rPr>
          <w:rFonts w:ascii="Arial" w:hAnsi="Arial" w:cs="Arial"/>
          <w:sz w:val="24"/>
          <w:szCs w:val="24"/>
        </w:rPr>
        <w:t>greed between the two employers;</w:t>
      </w:r>
    </w:p>
    <w:p w:rsidR="001D6A35" w:rsidRPr="001D6A35" w:rsidRDefault="001D6A35" w:rsidP="001D6A35">
      <w:pPr>
        <w:numPr>
          <w:ilvl w:val="0"/>
          <w:numId w:val="16"/>
        </w:numPr>
        <w:jc w:val="both"/>
        <w:rPr>
          <w:rFonts w:ascii="Arial" w:hAnsi="Arial" w:cs="Arial"/>
          <w:sz w:val="24"/>
          <w:szCs w:val="24"/>
        </w:rPr>
      </w:pPr>
      <w:r>
        <w:rPr>
          <w:rFonts w:ascii="Arial" w:hAnsi="Arial" w:cs="Arial"/>
          <w:sz w:val="24"/>
          <w:szCs w:val="24"/>
        </w:rPr>
        <w:t>a</w:t>
      </w:r>
      <w:r w:rsidRPr="001D6A35">
        <w:rPr>
          <w:rFonts w:ascii="Arial" w:hAnsi="Arial" w:cs="Arial"/>
          <w:sz w:val="24"/>
          <w:szCs w:val="24"/>
        </w:rPr>
        <w:t>llowance for death in service and other benefits shared across all employers in the Fund (see earlier)</w:t>
      </w:r>
      <w:r>
        <w:rPr>
          <w:rFonts w:ascii="Arial" w:hAnsi="Arial" w:cs="Arial"/>
          <w:sz w:val="24"/>
          <w:szCs w:val="24"/>
        </w:rPr>
        <w:t>; and</w:t>
      </w:r>
    </w:p>
    <w:p w:rsidR="001D6A35" w:rsidRPr="001D6A35" w:rsidRDefault="001D6A35" w:rsidP="001D6A35">
      <w:pPr>
        <w:numPr>
          <w:ilvl w:val="0"/>
          <w:numId w:val="16"/>
        </w:numPr>
        <w:jc w:val="both"/>
        <w:rPr>
          <w:rFonts w:ascii="Arial" w:hAnsi="Arial" w:cs="Arial"/>
          <w:sz w:val="24"/>
          <w:szCs w:val="24"/>
        </w:rPr>
      </w:pPr>
      <w:r>
        <w:rPr>
          <w:rFonts w:ascii="Arial" w:hAnsi="Arial" w:cs="Arial"/>
          <w:sz w:val="24"/>
          <w:szCs w:val="24"/>
        </w:rPr>
        <w:t>a</w:t>
      </w:r>
      <w:r w:rsidRPr="001D6A35">
        <w:rPr>
          <w:rFonts w:ascii="Arial" w:hAnsi="Arial" w:cs="Arial"/>
          <w:sz w:val="24"/>
          <w:szCs w:val="24"/>
        </w:rPr>
        <w:t>n overall adjustment to ensure the notional assets attributed to each employer is equal to the total assets of the Fund which will take into account any gains or losses related to the orphan liabilities.</w:t>
      </w:r>
    </w:p>
    <w:p w:rsidR="001D6A35" w:rsidRDefault="001D6A35" w:rsidP="001D6A35">
      <w:pPr>
        <w:jc w:val="both"/>
        <w:rPr>
          <w:rFonts w:ascii="Arial" w:hAnsi="Arial" w:cs="Arial"/>
          <w:sz w:val="24"/>
          <w:szCs w:val="24"/>
        </w:rPr>
      </w:pPr>
    </w:p>
    <w:p w:rsidR="001D6A35" w:rsidRDefault="001D6A35" w:rsidP="001D6A35">
      <w:pPr>
        <w:jc w:val="both"/>
        <w:rPr>
          <w:rFonts w:ascii="Arial" w:hAnsi="Arial" w:cs="Arial"/>
          <w:sz w:val="24"/>
          <w:szCs w:val="24"/>
        </w:rPr>
      </w:pPr>
      <w:r w:rsidRPr="001D6A35">
        <w:rPr>
          <w:rFonts w:ascii="Arial" w:hAnsi="Arial" w:cs="Arial"/>
          <w:sz w:val="24"/>
          <w:szCs w:val="24"/>
        </w:rPr>
        <w:t>In some cases information available will not allow for such cash</w:t>
      </w:r>
      <w:r w:rsidR="000D24DD">
        <w:rPr>
          <w:rFonts w:ascii="Arial" w:hAnsi="Arial" w:cs="Arial"/>
          <w:sz w:val="24"/>
          <w:szCs w:val="24"/>
        </w:rPr>
        <w:t xml:space="preserve"> </w:t>
      </w:r>
      <w:r w:rsidRPr="001D6A35">
        <w:rPr>
          <w:rFonts w:ascii="Arial" w:hAnsi="Arial" w:cs="Arial"/>
          <w:sz w:val="24"/>
          <w:szCs w:val="24"/>
        </w:rPr>
        <w:t>flow calculations.  In such a circumstance:</w:t>
      </w:r>
    </w:p>
    <w:p w:rsidR="001D6A35" w:rsidRPr="001D6A35" w:rsidRDefault="001D6A35" w:rsidP="001D6A35">
      <w:pPr>
        <w:jc w:val="both"/>
        <w:rPr>
          <w:rFonts w:ascii="Arial" w:hAnsi="Arial" w:cs="Arial"/>
          <w:sz w:val="24"/>
          <w:szCs w:val="24"/>
        </w:rPr>
      </w:pPr>
    </w:p>
    <w:p w:rsidR="001D6A35" w:rsidRPr="001D6A35" w:rsidRDefault="001D6A35" w:rsidP="001D6A35">
      <w:pPr>
        <w:numPr>
          <w:ilvl w:val="0"/>
          <w:numId w:val="16"/>
        </w:numPr>
        <w:jc w:val="both"/>
        <w:rPr>
          <w:rFonts w:ascii="Arial" w:hAnsi="Arial" w:cs="Arial"/>
          <w:sz w:val="24"/>
          <w:szCs w:val="24"/>
        </w:rPr>
      </w:pPr>
      <w:r>
        <w:rPr>
          <w:rFonts w:ascii="Arial" w:hAnsi="Arial" w:cs="Arial"/>
          <w:sz w:val="24"/>
          <w:szCs w:val="24"/>
        </w:rPr>
        <w:t>w</w:t>
      </w:r>
      <w:r w:rsidRPr="001D6A35">
        <w:rPr>
          <w:rFonts w:ascii="Arial" w:hAnsi="Arial" w:cs="Arial"/>
          <w:sz w:val="24"/>
          <w:szCs w:val="24"/>
        </w:rPr>
        <w:t>here, in the opinion of the Fund Actuary, the cash</w:t>
      </w:r>
      <w:r w:rsidR="000D24DD">
        <w:rPr>
          <w:rFonts w:ascii="Arial" w:hAnsi="Arial" w:cs="Arial"/>
          <w:sz w:val="24"/>
          <w:szCs w:val="24"/>
        </w:rPr>
        <w:t xml:space="preserve"> </w:t>
      </w:r>
      <w:r w:rsidRPr="001D6A35">
        <w:rPr>
          <w:rFonts w:ascii="Arial" w:hAnsi="Arial" w:cs="Arial"/>
          <w:sz w:val="24"/>
          <w:szCs w:val="24"/>
        </w:rPr>
        <w:t>flow data which is unavailable is of low materiality, estimated cash</w:t>
      </w:r>
      <w:r w:rsidR="000D24DD">
        <w:rPr>
          <w:rFonts w:ascii="Arial" w:hAnsi="Arial" w:cs="Arial"/>
          <w:sz w:val="24"/>
          <w:szCs w:val="24"/>
        </w:rPr>
        <w:t xml:space="preserve"> </w:t>
      </w:r>
      <w:r w:rsidRPr="001D6A35">
        <w:rPr>
          <w:rFonts w:ascii="Arial" w:hAnsi="Arial" w:cs="Arial"/>
          <w:sz w:val="24"/>
          <w:szCs w:val="24"/>
        </w:rPr>
        <w:t>flows will be used</w:t>
      </w:r>
      <w:r>
        <w:rPr>
          <w:rFonts w:ascii="Arial" w:hAnsi="Arial" w:cs="Arial"/>
          <w:sz w:val="24"/>
          <w:szCs w:val="24"/>
        </w:rPr>
        <w:t>; and</w:t>
      </w:r>
    </w:p>
    <w:p w:rsidR="001D6A35" w:rsidRPr="00916E73" w:rsidRDefault="001D6A35" w:rsidP="001D6A35">
      <w:pPr>
        <w:numPr>
          <w:ilvl w:val="0"/>
          <w:numId w:val="16"/>
        </w:numPr>
        <w:jc w:val="both"/>
        <w:rPr>
          <w:rFonts w:ascii="Arial" w:hAnsi="Arial" w:cs="Arial"/>
          <w:sz w:val="24"/>
          <w:szCs w:val="24"/>
        </w:rPr>
      </w:pPr>
      <w:r>
        <w:rPr>
          <w:rFonts w:ascii="Arial" w:hAnsi="Arial" w:cs="Arial"/>
          <w:sz w:val="24"/>
          <w:szCs w:val="24"/>
        </w:rPr>
        <w:lastRenderedPageBreak/>
        <w:t>w</w:t>
      </w:r>
      <w:r w:rsidRPr="001D6A35">
        <w:rPr>
          <w:rFonts w:ascii="Arial" w:hAnsi="Arial" w:cs="Arial"/>
          <w:sz w:val="24"/>
          <w:szCs w:val="24"/>
        </w:rPr>
        <w:t>here, in the opinion of the Fund Actuary, the cash</w:t>
      </w:r>
      <w:r w:rsidR="000D24DD">
        <w:rPr>
          <w:rFonts w:ascii="Arial" w:hAnsi="Arial" w:cs="Arial"/>
          <w:sz w:val="24"/>
          <w:szCs w:val="24"/>
        </w:rPr>
        <w:t xml:space="preserve"> </w:t>
      </w:r>
      <w:r w:rsidRPr="001D6A35">
        <w:rPr>
          <w:rFonts w:ascii="Arial" w:hAnsi="Arial" w:cs="Arial"/>
          <w:sz w:val="24"/>
          <w:szCs w:val="24"/>
        </w:rPr>
        <w:t>flow data which is unavailable is material, or the results of the cash</w:t>
      </w:r>
      <w:r w:rsidR="000D24DD">
        <w:rPr>
          <w:rFonts w:ascii="Arial" w:hAnsi="Arial" w:cs="Arial"/>
          <w:sz w:val="24"/>
          <w:szCs w:val="24"/>
        </w:rPr>
        <w:t xml:space="preserve"> </w:t>
      </w:r>
      <w:r w:rsidRPr="001D6A35">
        <w:rPr>
          <w:rFonts w:ascii="Arial" w:hAnsi="Arial" w:cs="Arial"/>
          <w:sz w:val="24"/>
          <w:szCs w:val="24"/>
        </w:rPr>
        <w:t xml:space="preserve">flow approach appears to give unreliable results perhaps because of unknown internal transfers, the Fund Actuary will instead use an analysis of gains and losses to roll forward the notional sub fund. </w:t>
      </w:r>
      <w:r>
        <w:rPr>
          <w:rFonts w:ascii="Arial" w:hAnsi="Arial" w:cs="Arial"/>
          <w:sz w:val="24"/>
          <w:szCs w:val="24"/>
        </w:rPr>
        <w:t xml:space="preserve"> </w:t>
      </w:r>
      <w:r w:rsidRPr="001D6A35">
        <w:rPr>
          <w:rFonts w:ascii="Arial" w:hAnsi="Arial" w:cs="Arial"/>
          <w:sz w:val="24"/>
          <w:szCs w:val="24"/>
        </w:rPr>
        <w:t>Analysis of gains and losses methods are less precise than use of cash</w:t>
      </w:r>
      <w:r w:rsidR="000D24DD">
        <w:rPr>
          <w:rFonts w:ascii="Arial" w:hAnsi="Arial" w:cs="Arial"/>
          <w:sz w:val="24"/>
          <w:szCs w:val="24"/>
        </w:rPr>
        <w:t xml:space="preserve"> </w:t>
      </w:r>
      <w:r w:rsidRPr="001D6A35">
        <w:rPr>
          <w:rFonts w:ascii="Arial" w:hAnsi="Arial" w:cs="Arial"/>
          <w:sz w:val="24"/>
          <w:szCs w:val="24"/>
        </w:rPr>
        <w:t xml:space="preserve">flows and involve calculation of gains and losses to the surplus or deficiency exhibited at the previous valuation. </w:t>
      </w:r>
      <w:r>
        <w:rPr>
          <w:rFonts w:ascii="Arial" w:hAnsi="Arial" w:cs="Arial"/>
          <w:sz w:val="24"/>
          <w:szCs w:val="24"/>
        </w:rPr>
        <w:t xml:space="preserve"> </w:t>
      </w:r>
      <w:r w:rsidRPr="001D6A35">
        <w:rPr>
          <w:rFonts w:ascii="Arial" w:hAnsi="Arial" w:cs="Arial"/>
          <w:sz w:val="24"/>
          <w:szCs w:val="24"/>
        </w:rPr>
        <w:t xml:space="preserve">Having established an expected surplus </w:t>
      </w:r>
      <w:r w:rsidRPr="008F583F">
        <w:rPr>
          <w:rFonts w:ascii="Arial" w:hAnsi="Arial" w:cs="Arial"/>
          <w:sz w:val="24"/>
          <w:szCs w:val="24"/>
        </w:rPr>
        <w:t xml:space="preserve">or deficiency at </w:t>
      </w:r>
      <w:r w:rsidR="005442D1" w:rsidRPr="00916E73">
        <w:rPr>
          <w:rFonts w:ascii="Arial" w:hAnsi="Arial" w:cs="Arial"/>
          <w:sz w:val="24"/>
          <w:szCs w:val="24"/>
        </w:rPr>
        <w:t>the current</w:t>
      </w:r>
      <w:r w:rsidRPr="00916E73">
        <w:rPr>
          <w:rFonts w:ascii="Arial" w:hAnsi="Arial" w:cs="Arial"/>
          <w:sz w:val="24"/>
          <w:szCs w:val="24"/>
        </w:rPr>
        <w:t xml:space="preserve"> valuation</w:t>
      </w:r>
      <w:r w:rsidRPr="008F583F">
        <w:rPr>
          <w:rFonts w:ascii="Arial" w:hAnsi="Arial" w:cs="Arial"/>
          <w:sz w:val="24"/>
          <w:szCs w:val="24"/>
        </w:rPr>
        <w:t xml:space="preserve">, comparison of this with the liabilities evaluated at </w:t>
      </w:r>
      <w:r w:rsidR="005442D1" w:rsidRPr="00916E73">
        <w:rPr>
          <w:rFonts w:ascii="Arial" w:hAnsi="Arial" w:cs="Arial"/>
          <w:sz w:val="24"/>
          <w:szCs w:val="24"/>
        </w:rPr>
        <w:t>the current</w:t>
      </w:r>
      <w:r w:rsidRPr="00916E73">
        <w:rPr>
          <w:rFonts w:ascii="Arial" w:hAnsi="Arial" w:cs="Arial"/>
          <w:sz w:val="24"/>
          <w:szCs w:val="24"/>
        </w:rPr>
        <w:t xml:space="preserve"> valuation</w:t>
      </w:r>
      <w:r w:rsidRPr="008F583F">
        <w:rPr>
          <w:rFonts w:ascii="Arial" w:hAnsi="Arial" w:cs="Arial"/>
          <w:sz w:val="24"/>
          <w:szCs w:val="24"/>
        </w:rPr>
        <w:t xml:space="preserve"> leads to an </w:t>
      </w:r>
      <w:r w:rsidRPr="00916E73">
        <w:rPr>
          <w:rFonts w:ascii="Arial" w:hAnsi="Arial" w:cs="Arial"/>
          <w:sz w:val="24"/>
          <w:szCs w:val="24"/>
        </w:rPr>
        <w:t>implied notional asset holding.</w:t>
      </w:r>
    </w:p>
    <w:p w:rsidR="001D6A35" w:rsidRDefault="001D6A35" w:rsidP="00935734">
      <w:pPr>
        <w:jc w:val="both"/>
        <w:rPr>
          <w:rFonts w:ascii="Arial" w:hAnsi="Arial" w:cs="Arial"/>
          <w:sz w:val="24"/>
          <w:szCs w:val="24"/>
        </w:rPr>
      </w:pPr>
    </w:p>
    <w:p w:rsidR="0004451A" w:rsidRPr="0004451A" w:rsidRDefault="0004451A" w:rsidP="001638F8">
      <w:pPr>
        <w:widowControl w:val="0"/>
        <w:tabs>
          <w:tab w:val="left" w:pos="-120"/>
        </w:tabs>
        <w:ind w:right="-20"/>
        <w:outlineLvl w:val="0"/>
        <w:rPr>
          <w:rFonts w:ascii="Arial" w:hAnsi="Arial" w:cs="Arial"/>
          <w:b/>
          <w:sz w:val="24"/>
          <w:szCs w:val="24"/>
        </w:rPr>
      </w:pPr>
      <w:r w:rsidRPr="0004451A">
        <w:rPr>
          <w:rFonts w:ascii="Arial" w:hAnsi="Arial" w:cs="Arial"/>
          <w:b/>
          <w:sz w:val="24"/>
          <w:szCs w:val="24"/>
        </w:rPr>
        <w:t xml:space="preserve">Fund </w:t>
      </w:r>
      <w:r w:rsidR="001D6A35">
        <w:rPr>
          <w:rFonts w:ascii="Arial" w:hAnsi="Arial" w:cs="Arial"/>
          <w:b/>
          <w:sz w:val="24"/>
          <w:szCs w:val="24"/>
        </w:rPr>
        <w:t>m</w:t>
      </w:r>
      <w:r w:rsidRPr="0004451A">
        <w:rPr>
          <w:rFonts w:ascii="Arial" w:hAnsi="Arial" w:cs="Arial"/>
          <w:b/>
          <w:sz w:val="24"/>
          <w:szCs w:val="24"/>
        </w:rPr>
        <w:t>aturity</w:t>
      </w:r>
    </w:p>
    <w:p w:rsidR="0004451A" w:rsidRPr="0004451A" w:rsidRDefault="0004451A" w:rsidP="0004451A">
      <w:pPr>
        <w:widowControl w:val="0"/>
        <w:tabs>
          <w:tab w:val="left" w:pos="-120"/>
        </w:tabs>
        <w:ind w:right="-20"/>
        <w:rPr>
          <w:rFonts w:ascii="Arial" w:hAnsi="Arial" w:cs="Arial"/>
          <w:sz w:val="24"/>
          <w:szCs w:val="24"/>
        </w:rPr>
      </w:pPr>
    </w:p>
    <w:p w:rsidR="0004451A" w:rsidRPr="0004451A" w:rsidRDefault="0004451A" w:rsidP="00A67A9A">
      <w:pPr>
        <w:widowControl w:val="0"/>
        <w:tabs>
          <w:tab w:val="left" w:pos="-120"/>
        </w:tabs>
        <w:ind w:right="-20"/>
        <w:jc w:val="both"/>
        <w:rPr>
          <w:rFonts w:ascii="Arial" w:hAnsi="Arial" w:cs="Arial"/>
          <w:sz w:val="24"/>
          <w:szCs w:val="24"/>
        </w:rPr>
      </w:pPr>
      <w:r w:rsidRPr="0004451A">
        <w:rPr>
          <w:rFonts w:ascii="Arial" w:hAnsi="Arial" w:cs="Arial"/>
          <w:sz w:val="24"/>
          <w:szCs w:val="24"/>
        </w:rPr>
        <w:t>To protect the Fund and individual employers from the risk of increasing maturity producing unacceptably volatile contribution adjustments as a percentage of pay</w:t>
      </w:r>
      <w:r w:rsidR="001D6A35">
        <w:rPr>
          <w:rFonts w:ascii="Arial" w:hAnsi="Arial" w:cs="Arial"/>
          <w:sz w:val="24"/>
          <w:szCs w:val="24"/>
        </w:rPr>
        <w:t>,</w:t>
      </w:r>
      <w:r w:rsidRPr="0004451A">
        <w:rPr>
          <w:rFonts w:ascii="Arial" w:hAnsi="Arial" w:cs="Arial"/>
          <w:sz w:val="24"/>
          <w:szCs w:val="24"/>
        </w:rPr>
        <w:t xml:space="preserve"> the </w:t>
      </w:r>
      <w:r w:rsidR="00CD42B5">
        <w:rPr>
          <w:rFonts w:ascii="Arial" w:hAnsi="Arial" w:cs="Arial"/>
          <w:sz w:val="24"/>
          <w:szCs w:val="24"/>
        </w:rPr>
        <w:t>a</w:t>
      </w:r>
      <w:r w:rsidR="009B2027">
        <w:rPr>
          <w:rFonts w:ascii="Arial" w:hAnsi="Arial" w:cs="Arial"/>
          <w:sz w:val="24"/>
          <w:szCs w:val="24"/>
        </w:rPr>
        <w:t>dministering authority</w:t>
      </w:r>
      <w:r w:rsidRPr="0004451A">
        <w:rPr>
          <w:rFonts w:ascii="Arial" w:hAnsi="Arial" w:cs="Arial"/>
          <w:sz w:val="24"/>
          <w:szCs w:val="24"/>
        </w:rPr>
        <w:t xml:space="preserve"> will normally require defined capital streams from employers in respect of any disclosed funding deficiency.</w:t>
      </w:r>
    </w:p>
    <w:p w:rsidR="0004451A" w:rsidRPr="0004451A" w:rsidRDefault="0004451A" w:rsidP="00A67A9A">
      <w:pPr>
        <w:widowControl w:val="0"/>
        <w:tabs>
          <w:tab w:val="left" w:pos="-120"/>
        </w:tabs>
        <w:ind w:right="-20"/>
        <w:jc w:val="both"/>
        <w:rPr>
          <w:rFonts w:ascii="Arial" w:hAnsi="Arial" w:cs="Arial"/>
          <w:sz w:val="24"/>
          <w:szCs w:val="24"/>
        </w:rPr>
      </w:pPr>
    </w:p>
    <w:p w:rsidR="0004451A" w:rsidRPr="0004451A" w:rsidRDefault="0004451A" w:rsidP="00A67A9A">
      <w:pPr>
        <w:widowControl w:val="0"/>
        <w:tabs>
          <w:tab w:val="left" w:pos="-120"/>
        </w:tabs>
        <w:ind w:right="-20"/>
        <w:jc w:val="both"/>
        <w:rPr>
          <w:rFonts w:ascii="Arial" w:hAnsi="Arial" w:cs="Arial"/>
          <w:sz w:val="24"/>
          <w:szCs w:val="24"/>
        </w:rPr>
      </w:pPr>
      <w:r w:rsidRPr="0004451A">
        <w:rPr>
          <w:rFonts w:ascii="Arial" w:hAnsi="Arial" w:cs="Arial"/>
          <w:sz w:val="24"/>
          <w:szCs w:val="24"/>
        </w:rPr>
        <w:t xml:space="preserve">In certain circumstances, </w:t>
      </w:r>
      <w:r w:rsidR="00E114C4">
        <w:rPr>
          <w:rFonts w:ascii="Arial" w:hAnsi="Arial" w:cs="Arial"/>
          <w:sz w:val="24"/>
          <w:szCs w:val="24"/>
        </w:rPr>
        <w:t>for example</w:t>
      </w:r>
      <w:r w:rsidR="009C6E54">
        <w:rPr>
          <w:rFonts w:ascii="Arial" w:hAnsi="Arial" w:cs="Arial"/>
          <w:sz w:val="24"/>
          <w:szCs w:val="24"/>
        </w:rPr>
        <w:t xml:space="preserve"> </w:t>
      </w:r>
      <w:r w:rsidRPr="0004451A">
        <w:rPr>
          <w:rFonts w:ascii="Arial" w:hAnsi="Arial" w:cs="Arial"/>
          <w:sz w:val="24"/>
          <w:szCs w:val="24"/>
        </w:rPr>
        <w:t xml:space="preserve">for secure employers considered by the </w:t>
      </w:r>
      <w:r w:rsidR="00CD42B5">
        <w:rPr>
          <w:rFonts w:ascii="Arial" w:hAnsi="Arial" w:cs="Arial"/>
          <w:sz w:val="24"/>
          <w:szCs w:val="24"/>
        </w:rPr>
        <w:t>a</w:t>
      </w:r>
      <w:r w:rsidR="009B2027">
        <w:rPr>
          <w:rFonts w:ascii="Arial" w:hAnsi="Arial" w:cs="Arial"/>
          <w:sz w:val="24"/>
          <w:szCs w:val="24"/>
        </w:rPr>
        <w:t>dministering authority</w:t>
      </w:r>
      <w:r w:rsidRPr="0004451A">
        <w:rPr>
          <w:rFonts w:ascii="Arial" w:hAnsi="Arial" w:cs="Arial"/>
          <w:sz w:val="24"/>
          <w:szCs w:val="24"/>
        </w:rPr>
        <w:t xml:space="preserve"> as being long term in nature, contribution adjustments to correct for any disclosed deficiency may be set as a percentage of payroll. </w:t>
      </w:r>
      <w:r w:rsidR="001D6A35">
        <w:rPr>
          <w:rFonts w:ascii="Arial" w:hAnsi="Arial" w:cs="Arial"/>
          <w:sz w:val="24"/>
          <w:szCs w:val="24"/>
        </w:rPr>
        <w:t xml:space="preserve"> </w:t>
      </w:r>
      <w:r w:rsidRPr="0004451A">
        <w:rPr>
          <w:rFonts w:ascii="Arial" w:hAnsi="Arial" w:cs="Arial"/>
          <w:sz w:val="24"/>
          <w:szCs w:val="24"/>
        </w:rPr>
        <w:t>Such an approach carries an implicit assumption that the employer's payroll will increase at an assumed rate.</w:t>
      </w:r>
      <w:r w:rsidR="001D6A35">
        <w:rPr>
          <w:rFonts w:ascii="Arial" w:hAnsi="Arial" w:cs="Arial"/>
          <w:sz w:val="24"/>
          <w:szCs w:val="24"/>
        </w:rPr>
        <w:t xml:space="preserve"> </w:t>
      </w:r>
      <w:r w:rsidRPr="0004451A">
        <w:rPr>
          <w:rFonts w:ascii="Arial" w:hAnsi="Arial" w:cs="Arial"/>
          <w:sz w:val="24"/>
          <w:szCs w:val="24"/>
        </w:rPr>
        <w:t xml:space="preserve"> If payroll fails to grow at this rate, or declines, insufficient corrective action will have been taken. </w:t>
      </w:r>
      <w:r w:rsidR="001D6A35">
        <w:rPr>
          <w:rFonts w:ascii="Arial" w:hAnsi="Arial" w:cs="Arial"/>
          <w:sz w:val="24"/>
          <w:szCs w:val="24"/>
        </w:rPr>
        <w:t xml:space="preserve"> </w:t>
      </w:r>
      <w:r w:rsidRPr="0004451A">
        <w:rPr>
          <w:rFonts w:ascii="Arial" w:hAnsi="Arial" w:cs="Arial"/>
          <w:sz w:val="24"/>
          <w:szCs w:val="24"/>
        </w:rPr>
        <w:t xml:space="preserve">To protect the Fund against this risk, the </w:t>
      </w:r>
      <w:r w:rsidR="00CD42B5">
        <w:rPr>
          <w:rFonts w:ascii="Arial" w:hAnsi="Arial" w:cs="Arial"/>
          <w:sz w:val="24"/>
          <w:szCs w:val="24"/>
        </w:rPr>
        <w:t>a</w:t>
      </w:r>
      <w:r w:rsidR="009B2027">
        <w:rPr>
          <w:rFonts w:ascii="Arial" w:hAnsi="Arial" w:cs="Arial"/>
          <w:sz w:val="24"/>
          <w:szCs w:val="24"/>
        </w:rPr>
        <w:t>dministering authority</w:t>
      </w:r>
      <w:r w:rsidRPr="0004451A">
        <w:rPr>
          <w:rFonts w:ascii="Arial" w:hAnsi="Arial" w:cs="Arial"/>
          <w:sz w:val="24"/>
          <w:szCs w:val="24"/>
        </w:rPr>
        <w:t xml:space="preserve"> will monitor payrolls and where evidence is revealed of payrolls not increasing at the anticipated rate, the </w:t>
      </w:r>
      <w:r w:rsidR="00CD42B5">
        <w:rPr>
          <w:rFonts w:ascii="Arial" w:hAnsi="Arial" w:cs="Arial"/>
          <w:sz w:val="24"/>
          <w:szCs w:val="24"/>
        </w:rPr>
        <w:t>a</w:t>
      </w:r>
      <w:r w:rsidR="009B2027">
        <w:rPr>
          <w:rFonts w:ascii="Arial" w:hAnsi="Arial" w:cs="Arial"/>
          <w:sz w:val="24"/>
          <w:szCs w:val="24"/>
        </w:rPr>
        <w:t>dministering authority</w:t>
      </w:r>
      <w:r w:rsidRPr="0004451A">
        <w:rPr>
          <w:rFonts w:ascii="Arial" w:hAnsi="Arial" w:cs="Arial"/>
          <w:sz w:val="24"/>
          <w:szCs w:val="24"/>
        </w:rPr>
        <w:t xml:space="preserve"> will consider requiring defined streams of capital contributions rather than percentages of payroll. </w:t>
      </w:r>
    </w:p>
    <w:p w:rsidR="0004451A" w:rsidRPr="0004451A" w:rsidRDefault="0004451A" w:rsidP="00A67A9A">
      <w:pPr>
        <w:widowControl w:val="0"/>
        <w:tabs>
          <w:tab w:val="left" w:pos="-120"/>
        </w:tabs>
        <w:ind w:right="-20"/>
        <w:jc w:val="both"/>
        <w:rPr>
          <w:rFonts w:ascii="Arial" w:hAnsi="Arial" w:cs="Arial"/>
          <w:sz w:val="24"/>
          <w:szCs w:val="24"/>
        </w:rPr>
      </w:pPr>
    </w:p>
    <w:p w:rsidR="000C19E1" w:rsidRPr="00681B91" w:rsidRDefault="001D6A35" w:rsidP="00A67A9A">
      <w:pPr>
        <w:jc w:val="both"/>
        <w:rPr>
          <w:rFonts w:ascii="Arial" w:hAnsi="Arial" w:cs="Arial"/>
          <w:b/>
          <w:sz w:val="24"/>
          <w:szCs w:val="24"/>
          <w:u w:val="single"/>
        </w:rPr>
      </w:pPr>
      <w:r>
        <w:rPr>
          <w:rFonts w:ascii="Arial" w:hAnsi="Arial" w:cs="Arial"/>
          <w:b/>
          <w:sz w:val="24"/>
          <w:szCs w:val="24"/>
          <w:u w:val="single"/>
        </w:rPr>
        <w:br w:type="page"/>
      </w:r>
      <w:r w:rsidR="000C19E1" w:rsidRPr="00681B91">
        <w:rPr>
          <w:rFonts w:ascii="Arial" w:hAnsi="Arial" w:cs="Arial"/>
          <w:b/>
          <w:sz w:val="24"/>
          <w:szCs w:val="24"/>
          <w:u w:val="single"/>
        </w:rPr>
        <w:lastRenderedPageBreak/>
        <w:t xml:space="preserve">5. </w:t>
      </w:r>
      <w:r w:rsidR="005001C2" w:rsidRPr="00681B91">
        <w:rPr>
          <w:rFonts w:ascii="Arial" w:hAnsi="Arial" w:cs="Arial"/>
          <w:b/>
          <w:sz w:val="24"/>
          <w:szCs w:val="24"/>
          <w:u w:val="single"/>
        </w:rPr>
        <w:t xml:space="preserve">SPECIAL CIRCUMSTANCES RELATED TO </w:t>
      </w:r>
      <w:r w:rsidR="006716C3">
        <w:rPr>
          <w:rFonts w:ascii="Arial" w:hAnsi="Arial" w:cs="Arial"/>
          <w:b/>
          <w:sz w:val="24"/>
          <w:szCs w:val="24"/>
          <w:u w:val="single"/>
        </w:rPr>
        <w:t>CERTAIN EMPLOYERS</w:t>
      </w:r>
    </w:p>
    <w:p w:rsidR="000C19E1" w:rsidRDefault="000C19E1">
      <w:pPr>
        <w:rPr>
          <w:rFonts w:ascii="Arial" w:hAnsi="Arial" w:cs="Arial"/>
          <w:b/>
          <w:sz w:val="24"/>
          <w:szCs w:val="24"/>
          <w:u w:val="single"/>
        </w:rPr>
      </w:pPr>
    </w:p>
    <w:p w:rsidR="000C19E1" w:rsidRDefault="005001C2" w:rsidP="001638F8">
      <w:pPr>
        <w:jc w:val="both"/>
        <w:outlineLvl w:val="0"/>
        <w:rPr>
          <w:rFonts w:ascii="Arial" w:hAnsi="Arial" w:cs="Arial"/>
          <w:b/>
          <w:sz w:val="24"/>
          <w:szCs w:val="24"/>
        </w:rPr>
      </w:pPr>
      <w:r>
        <w:rPr>
          <w:rFonts w:ascii="Arial" w:hAnsi="Arial" w:cs="Arial"/>
          <w:b/>
          <w:sz w:val="24"/>
          <w:szCs w:val="24"/>
        </w:rPr>
        <w:t xml:space="preserve">Interim </w:t>
      </w:r>
      <w:r w:rsidR="001D6A35">
        <w:rPr>
          <w:rFonts w:ascii="Arial" w:hAnsi="Arial" w:cs="Arial"/>
          <w:b/>
          <w:sz w:val="24"/>
          <w:szCs w:val="24"/>
        </w:rPr>
        <w:t>r</w:t>
      </w:r>
      <w:r>
        <w:rPr>
          <w:rFonts w:ascii="Arial" w:hAnsi="Arial" w:cs="Arial"/>
          <w:b/>
          <w:sz w:val="24"/>
          <w:szCs w:val="24"/>
        </w:rPr>
        <w:t>eviews for Admission Bodies</w:t>
      </w:r>
    </w:p>
    <w:p w:rsidR="005001C2" w:rsidRDefault="005001C2">
      <w:pPr>
        <w:rPr>
          <w:rFonts w:ascii="Arial" w:hAnsi="Arial" w:cs="Arial"/>
          <w:b/>
          <w:sz w:val="24"/>
          <w:szCs w:val="24"/>
        </w:rPr>
      </w:pPr>
    </w:p>
    <w:p w:rsidR="005001C2" w:rsidRPr="00935734" w:rsidRDefault="00373E14" w:rsidP="00935734">
      <w:pPr>
        <w:jc w:val="both"/>
        <w:rPr>
          <w:rFonts w:ascii="Arial" w:hAnsi="Arial" w:cs="Arial"/>
          <w:sz w:val="24"/>
          <w:szCs w:val="24"/>
        </w:rPr>
      </w:pPr>
      <w:r>
        <w:rPr>
          <w:rFonts w:ascii="Arial" w:hAnsi="Arial" w:cs="Arial"/>
          <w:sz w:val="24"/>
          <w:szCs w:val="24"/>
        </w:rPr>
        <w:t xml:space="preserve">Regulation 64 of the 2013 Regulations </w:t>
      </w:r>
      <w:r w:rsidR="005001C2" w:rsidRPr="00935734">
        <w:rPr>
          <w:rFonts w:ascii="Arial" w:hAnsi="Arial" w:cs="Arial"/>
          <w:sz w:val="24"/>
          <w:szCs w:val="24"/>
        </w:rPr>
        <w:t xml:space="preserve">provides the </w:t>
      </w:r>
      <w:r w:rsidR="00CD42B5">
        <w:rPr>
          <w:rFonts w:ascii="Arial" w:hAnsi="Arial" w:cs="Arial"/>
          <w:sz w:val="24"/>
          <w:szCs w:val="24"/>
        </w:rPr>
        <w:t>a</w:t>
      </w:r>
      <w:r w:rsidR="009B2027">
        <w:rPr>
          <w:rFonts w:ascii="Arial" w:hAnsi="Arial" w:cs="Arial"/>
          <w:sz w:val="24"/>
          <w:szCs w:val="24"/>
        </w:rPr>
        <w:t>dministering authority</w:t>
      </w:r>
      <w:r w:rsidR="005001C2" w:rsidRPr="00935734">
        <w:rPr>
          <w:rFonts w:ascii="Arial" w:hAnsi="Arial" w:cs="Arial"/>
          <w:sz w:val="24"/>
          <w:szCs w:val="24"/>
        </w:rPr>
        <w:t xml:space="preserve"> with a power to carry out valuations in respect of </w:t>
      </w:r>
      <w:r w:rsidR="006716C3">
        <w:rPr>
          <w:rFonts w:ascii="Arial" w:hAnsi="Arial" w:cs="Arial"/>
          <w:sz w:val="24"/>
          <w:szCs w:val="24"/>
        </w:rPr>
        <w:t>employers which are expected to cease at some point in the future</w:t>
      </w:r>
      <w:r w:rsidR="008745D0">
        <w:rPr>
          <w:rFonts w:ascii="Arial" w:hAnsi="Arial" w:cs="Arial"/>
          <w:sz w:val="24"/>
          <w:szCs w:val="24"/>
        </w:rPr>
        <w:t>,</w:t>
      </w:r>
      <w:r w:rsidR="005001C2" w:rsidRPr="00935734">
        <w:rPr>
          <w:rFonts w:ascii="Arial" w:hAnsi="Arial" w:cs="Arial"/>
          <w:sz w:val="24"/>
          <w:szCs w:val="24"/>
        </w:rPr>
        <w:t xml:space="preserve"> and for the </w:t>
      </w:r>
      <w:r w:rsidR="006716C3">
        <w:rPr>
          <w:rFonts w:ascii="Arial" w:hAnsi="Arial" w:cs="Arial"/>
          <w:sz w:val="24"/>
          <w:szCs w:val="24"/>
        </w:rPr>
        <w:t xml:space="preserve">Fund </w:t>
      </w:r>
      <w:r w:rsidR="00492D61">
        <w:rPr>
          <w:rFonts w:ascii="Arial" w:hAnsi="Arial" w:cs="Arial"/>
          <w:sz w:val="24"/>
          <w:szCs w:val="24"/>
        </w:rPr>
        <w:t>A</w:t>
      </w:r>
      <w:r w:rsidR="005001C2" w:rsidRPr="00935734">
        <w:rPr>
          <w:rFonts w:ascii="Arial" w:hAnsi="Arial" w:cs="Arial"/>
          <w:sz w:val="24"/>
          <w:szCs w:val="24"/>
        </w:rPr>
        <w:t>ctuary to certify revised contribution rates between triennial valuation dates.</w:t>
      </w:r>
    </w:p>
    <w:p w:rsidR="00935734" w:rsidRDefault="00935734" w:rsidP="00935734">
      <w:pPr>
        <w:jc w:val="both"/>
        <w:rPr>
          <w:rFonts w:ascii="Arial" w:hAnsi="Arial" w:cs="Arial"/>
          <w:sz w:val="24"/>
          <w:szCs w:val="24"/>
        </w:rPr>
      </w:pPr>
    </w:p>
    <w:p w:rsidR="005001C2" w:rsidRPr="00935734" w:rsidRDefault="005001C2" w:rsidP="00935734">
      <w:pPr>
        <w:jc w:val="both"/>
        <w:rPr>
          <w:rFonts w:ascii="Arial" w:hAnsi="Arial" w:cs="Arial"/>
          <w:sz w:val="24"/>
          <w:szCs w:val="24"/>
        </w:rPr>
      </w:pPr>
      <w:r w:rsidRPr="00935734">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935734">
        <w:rPr>
          <w:rFonts w:ascii="Arial" w:hAnsi="Arial" w:cs="Arial"/>
          <w:sz w:val="24"/>
          <w:szCs w:val="24"/>
        </w:rPr>
        <w:t xml:space="preserve">'s overriding objective at all times is that, where possible, there is clarity over the </w:t>
      </w:r>
      <w:r w:rsidR="007C1473">
        <w:rPr>
          <w:rFonts w:ascii="Arial" w:hAnsi="Arial" w:cs="Arial"/>
          <w:sz w:val="24"/>
          <w:szCs w:val="24"/>
        </w:rPr>
        <w:t>F</w:t>
      </w:r>
      <w:r w:rsidRPr="00935734">
        <w:rPr>
          <w:rFonts w:ascii="Arial" w:hAnsi="Arial" w:cs="Arial"/>
          <w:sz w:val="24"/>
          <w:szCs w:val="24"/>
        </w:rPr>
        <w:t xml:space="preserve">unding </w:t>
      </w:r>
      <w:r w:rsidR="007C1473">
        <w:rPr>
          <w:rFonts w:ascii="Arial" w:hAnsi="Arial" w:cs="Arial"/>
          <w:sz w:val="24"/>
          <w:szCs w:val="24"/>
        </w:rPr>
        <w:t>T</w:t>
      </w:r>
      <w:r w:rsidRPr="00935734">
        <w:rPr>
          <w:rFonts w:ascii="Arial" w:hAnsi="Arial" w:cs="Arial"/>
          <w:sz w:val="24"/>
          <w:szCs w:val="24"/>
        </w:rPr>
        <w:t xml:space="preserve">arget for that body, and that contribution rates payable are appropriate for that </w:t>
      </w:r>
      <w:r w:rsidR="007C1473">
        <w:rPr>
          <w:rFonts w:ascii="Arial" w:hAnsi="Arial" w:cs="Arial"/>
          <w:sz w:val="24"/>
          <w:szCs w:val="24"/>
        </w:rPr>
        <w:t>F</w:t>
      </w:r>
      <w:r w:rsidRPr="00935734">
        <w:rPr>
          <w:rFonts w:ascii="Arial" w:hAnsi="Arial" w:cs="Arial"/>
          <w:sz w:val="24"/>
          <w:szCs w:val="24"/>
        </w:rPr>
        <w:t xml:space="preserve">unding </w:t>
      </w:r>
      <w:r w:rsidR="007C1473">
        <w:rPr>
          <w:rFonts w:ascii="Arial" w:hAnsi="Arial" w:cs="Arial"/>
          <w:sz w:val="24"/>
          <w:szCs w:val="24"/>
        </w:rPr>
        <w:t>T</w:t>
      </w:r>
      <w:r w:rsidRPr="00935734">
        <w:rPr>
          <w:rFonts w:ascii="Arial" w:hAnsi="Arial" w:cs="Arial"/>
          <w:sz w:val="24"/>
          <w:szCs w:val="24"/>
        </w:rPr>
        <w:t>arget.</w:t>
      </w:r>
      <w:r w:rsidR="00C8640B" w:rsidRPr="00935734">
        <w:rPr>
          <w:rFonts w:ascii="Arial" w:hAnsi="Arial" w:cs="Arial"/>
          <w:sz w:val="24"/>
          <w:szCs w:val="24"/>
        </w:rPr>
        <w:t xml:space="preserve"> </w:t>
      </w:r>
      <w:r w:rsidR="000F1A26">
        <w:rPr>
          <w:rFonts w:ascii="Arial" w:hAnsi="Arial" w:cs="Arial"/>
          <w:sz w:val="24"/>
          <w:szCs w:val="24"/>
        </w:rPr>
        <w:t xml:space="preserve"> </w:t>
      </w:r>
      <w:r w:rsidRPr="00935734">
        <w:rPr>
          <w:rFonts w:ascii="Arial" w:hAnsi="Arial" w:cs="Arial"/>
          <w:sz w:val="24"/>
          <w:szCs w:val="24"/>
        </w:rPr>
        <w:t>However, this is not always possible</w:t>
      </w:r>
      <w:r w:rsidR="008745D0">
        <w:rPr>
          <w:rFonts w:ascii="Arial" w:hAnsi="Arial" w:cs="Arial"/>
          <w:sz w:val="24"/>
          <w:szCs w:val="24"/>
        </w:rPr>
        <w:t>,</w:t>
      </w:r>
      <w:r w:rsidRPr="00935734">
        <w:rPr>
          <w:rFonts w:ascii="Arial" w:hAnsi="Arial" w:cs="Arial"/>
          <w:sz w:val="24"/>
          <w:szCs w:val="24"/>
        </w:rPr>
        <w:t xml:space="preserve"> as any date of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of participation may be unknown (for example, participation may be assumed at present to be indefinite), and also because market conditions change daily.</w:t>
      </w:r>
    </w:p>
    <w:p w:rsidR="00935734" w:rsidRDefault="00935734" w:rsidP="00935734">
      <w:pPr>
        <w:jc w:val="both"/>
        <w:rPr>
          <w:rFonts w:ascii="Arial" w:hAnsi="Arial" w:cs="Arial"/>
          <w:sz w:val="24"/>
          <w:szCs w:val="24"/>
        </w:rPr>
      </w:pPr>
    </w:p>
    <w:p w:rsidR="005001C2" w:rsidRPr="00935734" w:rsidRDefault="005001C2" w:rsidP="00935734">
      <w:pPr>
        <w:jc w:val="both"/>
        <w:rPr>
          <w:rFonts w:ascii="Arial" w:hAnsi="Arial" w:cs="Arial"/>
          <w:sz w:val="24"/>
          <w:szCs w:val="24"/>
        </w:rPr>
      </w:pPr>
      <w:r w:rsidRPr="00935734">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935734">
        <w:rPr>
          <w:rFonts w:ascii="Arial" w:hAnsi="Arial" w:cs="Arial"/>
          <w:sz w:val="24"/>
          <w:szCs w:val="24"/>
        </w:rPr>
        <w:t>'s general approach in this area is as follows:</w:t>
      </w:r>
    </w:p>
    <w:p w:rsidR="00935734" w:rsidRDefault="00935734" w:rsidP="00935734">
      <w:pPr>
        <w:jc w:val="both"/>
        <w:rPr>
          <w:rFonts w:ascii="Arial" w:hAnsi="Arial" w:cs="Arial"/>
          <w:sz w:val="24"/>
          <w:szCs w:val="24"/>
        </w:rPr>
      </w:pPr>
    </w:p>
    <w:p w:rsidR="001D6A35" w:rsidRPr="001D6A35" w:rsidRDefault="00C122FB" w:rsidP="001D6A35">
      <w:pPr>
        <w:numPr>
          <w:ilvl w:val="0"/>
          <w:numId w:val="16"/>
        </w:numPr>
        <w:jc w:val="both"/>
        <w:rPr>
          <w:rFonts w:ascii="Arial" w:hAnsi="Arial" w:cs="Arial"/>
          <w:sz w:val="24"/>
          <w:szCs w:val="24"/>
        </w:rPr>
      </w:pPr>
      <w:proofErr w:type="gramStart"/>
      <w:r>
        <w:rPr>
          <w:rFonts w:ascii="Arial" w:hAnsi="Arial" w:cs="Arial"/>
          <w:sz w:val="24"/>
          <w:szCs w:val="24"/>
        </w:rPr>
        <w:t>w</w:t>
      </w:r>
      <w:r w:rsidR="001D6A35" w:rsidRPr="001D6A35">
        <w:rPr>
          <w:rFonts w:ascii="Arial" w:hAnsi="Arial" w:cs="Arial"/>
          <w:sz w:val="24"/>
          <w:szCs w:val="24"/>
        </w:rPr>
        <w:t>here</w:t>
      </w:r>
      <w:proofErr w:type="gramEnd"/>
      <w:r w:rsidR="001D6A35" w:rsidRPr="001D6A35">
        <w:rPr>
          <w:rFonts w:ascii="Arial" w:hAnsi="Arial" w:cs="Arial"/>
          <w:sz w:val="24"/>
          <w:szCs w:val="24"/>
        </w:rPr>
        <w:t xml:space="preserve"> the date of </w:t>
      </w:r>
      <w:r w:rsidR="00FF08B7">
        <w:rPr>
          <w:rFonts w:ascii="Arial" w:hAnsi="Arial" w:cs="Arial"/>
          <w:sz w:val="24"/>
          <w:szCs w:val="24"/>
        </w:rPr>
        <w:t>exit</w:t>
      </w:r>
      <w:r w:rsidR="00FF08B7" w:rsidRPr="001D6A35">
        <w:rPr>
          <w:rFonts w:ascii="Arial" w:hAnsi="Arial" w:cs="Arial"/>
          <w:sz w:val="24"/>
          <w:szCs w:val="24"/>
        </w:rPr>
        <w:t xml:space="preserve"> </w:t>
      </w:r>
      <w:r w:rsidR="001D6A35" w:rsidRPr="001D6A35">
        <w:rPr>
          <w:rFonts w:ascii="Arial" w:hAnsi="Arial" w:cs="Arial"/>
          <w:sz w:val="24"/>
          <w:szCs w:val="24"/>
        </w:rPr>
        <w:t xml:space="preserve">is known, and is more than three years after the most recent preceding triennial actuarial valuation, or is unknown and assumed to be indefinite, interim valuations will generally not be carried out at the behest of the </w:t>
      </w:r>
      <w:r w:rsidR="00CD42B5">
        <w:rPr>
          <w:rFonts w:ascii="Arial" w:hAnsi="Arial" w:cs="Arial"/>
          <w:sz w:val="24"/>
          <w:szCs w:val="24"/>
        </w:rPr>
        <w:t>a</w:t>
      </w:r>
      <w:r w:rsidR="009B2027">
        <w:rPr>
          <w:rFonts w:ascii="Arial" w:hAnsi="Arial" w:cs="Arial"/>
          <w:sz w:val="24"/>
          <w:szCs w:val="24"/>
        </w:rPr>
        <w:t>dministering authority</w:t>
      </w:r>
      <w:r w:rsidR="001D6A35" w:rsidRPr="001D6A35">
        <w:rPr>
          <w:rFonts w:ascii="Arial" w:hAnsi="Arial" w:cs="Arial"/>
          <w:sz w:val="24"/>
          <w:szCs w:val="24"/>
        </w:rPr>
        <w:t>.</w:t>
      </w:r>
    </w:p>
    <w:p w:rsidR="001D6A35" w:rsidRPr="001D6A35" w:rsidRDefault="00C122FB" w:rsidP="001D6A35">
      <w:pPr>
        <w:numPr>
          <w:ilvl w:val="0"/>
          <w:numId w:val="16"/>
        </w:numPr>
        <w:jc w:val="both"/>
        <w:rPr>
          <w:rFonts w:ascii="Arial" w:hAnsi="Arial" w:cs="Arial"/>
          <w:sz w:val="24"/>
          <w:szCs w:val="24"/>
        </w:rPr>
      </w:pPr>
      <w:r>
        <w:rPr>
          <w:rFonts w:ascii="Arial" w:hAnsi="Arial" w:cs="Arial"/>
          <w:sz w:val="24"/>
          <w:szCs w:val="24"/>
        </w:rPr>
        <w:t>f</w:t>
      </w:r>
      <w:r w:rsidR="001D6A35">
        <w:rPr>
          <w:rFonts w:ascii="Arial" w:hAnsi="Arial" w:cs="Arial"/>
          <w:sz w:val="24"/>
          <w:szCs w:val="24"/>
        </w:rPr>
        <w:t xml:space="preserve">or </w:t>
      </w:r>
      <w:r w:rsidR="00D2005C" w:rsidRPr="00D2005C">
        <w:rPr>
          <w:rFonts w:ascii="Arial" w:hAnsi="Arial" w:cs="Arial"/>
          <w:sz w:val="24"/>
          <w:szCs w:val="24"/>
        </w:rPr>
        <w:t>Admission Bodies admitted under paragraph 1(d) of Part 3, Schedule 2 of the Regulations</w:t>
      </w:r>
      <w:r w:rsidR="00D2005C">
        <w:rPr>
          <w:rFonts w:ascii="Arial" w:hAnsi="Arial" w:cs="Arial"/>
          <w:sz w:val="24"/>
          <w:szCs w:val="24"/>
        </w:rPr>
        <w:t xml:space="preserve"> (</w:t>
      </w:r>
      <w:r w:rsidR="00D2005C" w:rsidRPr="00D2005C">
        <w:rPr>
          <w:rFonts w:ascii="Arial" w:hAnsi="Arial" w:cs="Arial"/>
          <w:sz w:val="24"/>
          <w:szCs w:val="24"/>
        </w:rPr>
        <w:t>1(d) Admission Bodies</w:t>
      </w:r>
      <w:r w:rsidR="00D2005C">
        <w:rPr>
          <w:rFonts w:ascii="Arial" w:hAnsi="Arial" w:cs="Arial"/>
          <w:sz w:val="24"/>
          <w:szCs w:val="24"/>
        </w:rPr>
        <w:t xml:space="preserve">) (formerly known as </w:t>
      </w:r>
      <w:r w:rsidR="001D6A35">
        <w:rPr>
          <w:rFonts w:ascii="Arial" w:hAnsi="Arial" w:cs="Arial"/>
          <w:sz w:val="24"/>
          <w:szCs w:val="24"/>
        </w:rPr>
        <w:t>T</w:t>
      </w:r>
      <w:r w:rsidR="001D6A35" w:rsidRPr="001D6A35">
        <w:rPr>
          <w:rFonts w:ascii="Arial" w:hAnsi="Arial" w:cs="Arial"/>
          <w:sz w:val="24"/>
          <w:szCs w:val="24"/>
        </w:rPr>
        <w:t>ransferee Admission Bodies</w:t>
      </w:r>
      <w:r w:rsidR="00D2005C">
        <w:rPr>
          <w:rFonts w:ascii="Arial" w:hAnsi="Arial" w:cs="Arial"/>
          <w:sz w:val="24"/>
          <w:szCs w:val="24"/>
        </w:rPr>
        <w:t>)</w:t>
      </w:r>
      <w:r w:rsidR="001D6A35" w:rsidRPr="001D6A35">
        <w:rPr>
          <w:rFonts w:ascii="Arial" w:hAnsi="Arial" w:cs="Arial"/>
          <w:sz w:val="24"/>
          <w:szCs w:val="24"/>
        </w:rPr>
        <w:t xml:space="preserve"> falling into the above category, the </w:t>
      </w:r>
      <w:r w:rsidR="00CD42B5">
        <w:rPr>
          <w:rFonts w:ascii="Arial" w:hAnsi="Arial" w:cs="Arial"/>
          <w:sz w:val="24"/>
          <w:szCs w:val="24"/>
        </w:rPr>
        <w:t>a</w:t>
      </w:r>
      <w:r w:rsidR="009B2027">
        <w:rPr>
          <w:rFonts w:ascii="Arial" w:hAnsi="Arial" w:cs="Arial"/>
          <w:sz w:val="24"/>
          <w:szCs w:val="24"/>
        </w:rPr>
        <w:t>dministering authority</w:t>
      </w:r>
      <w:r w:rsidR="001D6A35" w:rsidRPr="001D6A35">
        <w:rPr>
          <w:rFonts w:ascii="Arial" w:hAnsi="Arial" w:cs="Arial"/>
          <w:sz w:val="24"/>
          <w:szCs w:val="24"/>
        </w:rPr>
        <w:t xml:space="preserve"> sees it as the responsibility of the relevant Scheme Employer to instruct it if an interim valuation is required. </w:t>
      </w:r>
      <w:r w:rsidR="001D6A35">
        <w:rPr>
          <w:rFonts w:ascii="Arial" w:hAnsi="Arial" w:cs="Arial"/>
          <w:sz w:val="24"/>
          <w:szCs w:val="24"/>
        </w:rPr>
        <w:t xml:space="preserve"> </w:t>
      </w:r>
      <w:r w:rsidR="001D6A35" w:rsidRPr="001D6A35">
        <w:rPr>
          <w:rFonts w:ascii="Arial" w:hAnsi="Arial" w:cs="Arial"/>
          <w:sz w:val="24"/>
          <w:szCs w:val="24"/>
        </w:rPr>
        <w:t>Such an exercise would be at the expense of the Relevant Scheme Employer unless otherwise agreed.</w:t>
      </w:r>
    </w:p>
    <w:p w:rsidR="001D6A35" w:rsidRPr="001D6A35" w:rsidRDefault="00C122FB" w:rsidP="001D6A35">
      <w:pPr>
        <w:numPr>
          <w:ilvl w:val="0"/>
          <w:numId w:val="16"/>
        </w:numPr>
        <w:jc w:val="both"/>
        <w:rPr>
          <w:rFonts w:ascii="Arial" w:hAnsi="Arial" w:cs="Arial"/>
          <w:sz w:val="24"/>
          <w:szCs w:val="24"/>
        </w:rPr>
      </w:pPr>
      <w:r>
        <w:rPr>
          <w:rFonts w:ascii="Arial" w:hAnsi="Arial" w:cs="Arial"/>
          <w:sz w:val="24"/>
          <w:szCs w:val="24"/>
        </w:rPr>
        <w:t>a</w:t>
      </w:r>
      <w:r w:rsidR="001D6A35" w:rsidRPr="001D6A35">
        <w:rPr>
          <w:rFonts w:ascii="Arial" w:hAnsi="Arial" w:cs="Arial"/>
          <w:sz w:val="24"/>
          <w:szCs w:val="24"/>
        </w:rPr>
        <w:t xml:space="preserve"> material change in circumstances, such as the date of </w:t>
      </w:r>
      <w:r w:rsidR="00FF08B7">
        <w:rPr>
          <w:rFonts w:ascii="Arial" w:hAnsi="Arial" w:cs="Arial"/>
          <w:sz w:val="24"/>
          <w:szCs w:val="24"/>
        </w:rPr>
        <w:t>exit</w:t>
      </w:r>
      <w:r w:rsidR="00FF08B7" w:rsidRPr="001D6A35">
        <w:rPr>
          <w:rFonts w:ascii="Arial" w:hAnsi="Arial" w:cs="Arial"/>
          <w:sz w:val="24"/>
          <w:szCs w:val="24"/>
        </w:rPr>
        <w:t xml:space="preserve"> </w:t>
      </w:r>
      <w:r w:rsidR="001D6A35" w:rsidRPr="001D6A35">
        <w:rPr>
          <w:rFonts w:ascii="Arial" w:hAnsi="Arial" w:cs="Arial"/>
          <w:sz w:val="24"/>
          <w:szCs w:val="24"/>
        </w:rPr>
        <w:t>becoming known, material membership movements or material financial information coming to light</w:t>
      </w:r>
      <w:r w:rsidR="008745D0">
        <w:rPr>
          <w:rFonts w:ascii="Arial" w:hAnsi="Arial" w:cs="Arial"/>
          <w:sz w:val="24"/>
          <w:szCs w:val="24"/>
        </w:rPr>
        <w:t>,</w:t>
      </w:r>
      <w:r w:rsidR="001D6A35" w:rsidRPr="001D6A35">
        <w:rPr>
          <w:rFonts w:ascii="Arial" w:hAnsi="Arial" w:cs="Arial"/>
          <w:sz w:val="24"/>
          <w:szCs w:val="24"/>
        </w:rPr>
        <w:t xml:space="preserve"> may cause the </w:t>
      </w:r>
      <w:r w:rsidR="00CD42B5">
        <w:rPr>
          <w:rFonts w:ascii="Arial" w:hAnsi="Arial" w:cs="Arial"/>
          <w:sz w:val="24"/>
          <w:szCs w:val="24"/>
        </w:rPr>
        <w:t>a</w:t>
      </w:r>
      <w:r w:rsidR="009B2027">
        <w:rPr>
          <w:rFonts w:ascii="Arial" w:hAnsi="Arial" w:cs="Arial"/>
          <w:sz w:val="24"/>
          <w:szCs w:val="24"/>
        </w:rPr>
        <w:t>dministering authority</w:t>
      </w:r>
      <w:r w:rsidR="001D6A35" w:rsidRPr="001D6A35">
        <w:rPr>
          <w:rFonts w:ascii="Arial" w:hAnsi="Arial" w:cs="Arial"/>
          <w:sz w:val="24"/>
          <w:szCs w:val="24"/>
        </w:rPr>
        <w:t xml:space="preserve"> to informally review the situation and subsequently formally request an interim valuation.</w:t>
      </w:r>
    </w:p>
    <w:p w:rsidR="001D6A35" w:rsidRPr="001D6A35" w:rsidRDefault="00C122FB" w:rsidP="001D6A35">
      <w:pPr>
        <w:numPr>
          <w:ilvl w:val="0"/>
          <w:numId w:val="16"/>
        </w:numPr>
        <w:jc w:val="both"/>
        <w:rPr>
          <w:rFonts w:ascii="Arial" w:hAnsi="Arial" w:cs="Arial"/>
          <w:sz w:val="24"/>
          <w:szCs w:val="24"/>
        </w:rPr>
      </w:pPr>
      <w:proofErr w:type="gramStart"/>
      <w:r>
        <w:rPr>
          <w:rFonts w:ascii="Arial" w:hAnsi="Arial" w:cs="Arial"/>
          <w:sz w:val="24"/>
          <w:szCs w:val="24"/>
        </w:rPr>
        <w:t>f</w:t>
      </w:r>
      <w:r w:rsidR="001D6A35" w:rsidRPr="001D6A35">
        <w:rPr>
          <w:rFonts w:ascii="Arial" w:hAnsi="Arial" w:cs="Arial"/>
          <w:sz w:val="24"/>
          <w:szCs w:val="24"/>
        </w:rPr>
        <w:t>or</w:t>
      </w:r>
      <w:proofErr w:type="gramEnd"/>
      <w:r w:rsidR="001D6A35" w:rsidRPr="001D6A35">
        <w:rPr>
          <w:rFonts w:ascii="Arial" w:hAnsi="Arial" w:cs="Arial"/>
          <w:sz w:val="24"/>
          <w:szCs w:val="24"/>
        </w:rPr>
        <w:t xml:space="preserve"> an employer whose participation is due to cease within three years of the most recent preceding triennial valuation, the </w:t>
      </w:r>
      <w:r w:rsidR="00CD42B5">
        <w:rPr>
          <w:rFonts w:ascii="Arial" w:hAnsi="Arial" w:cs="Arial"/>
          <w:sz w:val="24"/>
          <w:szCs w:val="24"/>
        </w:rPr>
        <w:t>a</w:t>
      </w:r>
      <w:r w:rsidR="009B2027">
        <w:rPr>
          <w:rFonts w:ascii="Arial" w:hAnsi="Arial" w:cs="Arial"/>
          <w:sz w:val="24"/>
          <w:szCs w:val="24"/>
        </w:rPr>
        <w:t>dministering authority</w:t>
      </w:r>
      <w:r w:rsidR="001D6A35" w:rsidRPr="001D6A35">
        <w:rPr>
          <w:rFonts w:ascii="Arial" w:hAnsi="Arial" w:cs="Arial"/>
          <w:sz w:val="24"/>
          <w:szCs w:val="24"/>
        </w:rPr>
        <w:t xml:space="preserve"> will monitor developments and may see fit to request an interim valuation at any time.</w:t>
      </w:r>
    </w:p>
    <w:p w:rsidR="001D6A35" w:rsidRDefault="001D6A35" w:rsidP="00935734">
      <w:pPr>
        <w:jc w:val="both"/>
        <w:rPr>
          <w:rFonts w:ascii="Arial" w:hAnsi="Arial" w:cs="Arial"/>
          <w:sz w:val="24"/>
          <w:szCs w:val="24"/>
        </w:rPr>
      </w:pPr>
    </w:p>
    <w:p w:rsidR="005001C2" w:rsidRDefault="005001C2" w:rsidP="00B938DD">
      <w:pPr>
        <w:jc w:val="both"/>
        <w:rPr>
          <w:rFonts w:ascii="Arial" w:hAnsi="Arial" w:cs="Arial"/>
          <w:sz w:val="24"/>
          <w:szCs w:val="24"/>
        </w:rPr>
      </w:pPr>
      <w:r w:rsidRPr="005001C2">
        <w:rPr>
          <w:rFonts w:ascii="Arial" w:hAnsi="Arial" w:cs="Arial"/>
          <w:sz w:val="24"/>
          <w:szCs w:val="24"/>
        </w:rPr>
        <w:t xml:space="preserve">Notwithstanding the above guidelines, the </w:t>
      </w:r>
      <w:r w:rsidR="00CD42B5">
        <w:rPr>
          <w:rFonts w:ascii="Arial" w:hAnsi="Arial" w:cs="Arial"/>
          <w:sz w:val="24"/>
          <w:szCs w:val="24"/>
        </w:rPr>
        <w:t>a</w:t>
      </w:r>
      <w:r w:rsidR="009B2027">
        <w:rPr>
          <w:rFonts w:ascii="Arial" w:hAnsi="Arial" w:cs="Arial"/>
          <w:sz w:val="24"/>
          <w:szCs w:val="24"/>
        </w:rPr>
        <w:t>dministering authority</w:t>
      </w:r>
      <w:r w:rsidRPr="005001C2">
        <w:rPr>
          <w:rFonts w:ascii="Arial" w:hAnsi="Arial" w:cs="Arial"/>
          <w:sz w:val="24"/>
          <w:szCs w:val="24"/>
        </w:rPr>
        <w:t xml:space="preserve"> reserves the right to request an interim valuation of any </w:t>
      </w:r>
      <w:r w:rsidR="00C5786F">
        <w:rPr>
          <w:rFonts w:ascii="Arial" w:hAnsi="Arial" w:cs="Arial"/>
          <w:sz w:val="24"/>
          <w:szCs w:val="24"/>
        </w:rPr>
        <w:t>employer</w:t>
      </w:r>
      <w:r w:rsidRPr="005001C2">
        <w:rPr>
          <w:rFonts w:ascii="Arial" w:hAnsi="Arial" w:cs="Arial"/>
          <w:sz w:val="24"/>
          <w:szCs w:val="24"/>
        </w:rPr>
        <w:t xml:space="preserve"> at any time</w:t>
      </w:r>
      <w:r w:rsidR="00C5786F">
        <w:rPr>
          <w:rFonts w:ascii="Arial" w:hAnsi="Arial" w:cs="Arial"/>
          <w:sz w:val="24"/>
          <w:szCs w:val="24"/>
        </w:rPr>
        <w:t xml:space="preserve"> if</w:t>
      </w:r>
      <w:r w:rsidRPr="005001C2">
        <w:rPr>
          <w:rFonts w:ascii="Arial" w:hAnsi="Arial" w:cs="Arial"/>
          <w:sz w:val="24"/>
          <w:szCs w:val="24"/>
        </w:rPr>
        <w:t xml:space="preserve"> </w:t>
      </w:r>
      <w:r w:rsidR="00373E14">
        <w:rPr>
          <w:rFonts w:ascii="Arial" w:hAnsi="Arial" w:cs="Arial"/>
          <w:sz w:val="24"/>
          <w:szCs w:val="24"/>
        </w:rPr>
        <w:t>Regulation 64</w:t>
      </w:r>
      <w:r w:rsidR="001638F8">
        <w:rPr>
          <w:rFonts w:ascii="Arial" w:hAnsi="Arial" w:cs="Arial"/>
          <w:sz w:val="24"/>
          <w:szCs w:val="24"/>
        </w:rPr>
        <w:t>(4)</w:t>
      </w:r>
      <w:r w:rsidR="00373E14">
        <w:rPr>
          <w:rFonts w:ascii="Arial" w:hAnsi="Arial" w:cs="Arial"/>
          <w:sz w:val="24"/>
          <w:szCs w:val="24"/>
        </w:rPr>
        <w:t xml:space="preserve"> of the 2013 Regulations </w:t>
      </w:r>
      <w:r w:rsidR="00C5786F">
        <w:rPr>
          <w:rFonts w:ascii="Arial" w:hAnsi="Arial" w:cs="Arial"/>
          <w:sz w:val="24"/>
          <w:szCs w:val="24"/>
        </w:rPr>
        <w:t>applies</w:t>
      </w:r>
      <w:r w:rsidRPr="005001C2">
        <w:rPr>
          <w:rFonts w:ascii="Arial" w:hAnsi="Arial" w:cs="Arial"/>
          <w:sz w:val="24"/>
          <w:szCs w:val="24"/>
        </w:rPr>
        <w:t>.</w:t>
      </w:r>
    </w:p>
    <w:p w:rsidR="005001C2" w:rsidRDefault="005001C2" w:rsidP="005001C2">
      <w:pPr>
        <w:rPr>
          <w:rFonts w:ascii="Arial" w:hAnsi="Arial" w:cs="Arial"/>
          <w:sz w:val="24"/>
          <w:szCs w:val="24"/>
        </w:rPr>
      </w:pPr>
    </w:p>
    <w:p w:rsidR="005001C2" w:rsidRPr="005001C2" w:rsidRDefault="005001C2" w:rsidP="001638F8">
      <w:pPr>
        <w:outlineLvl w:val="0"/>
        <w:rPr>
          <w:rFonts w:ascii="Arial" w:hAnsi="Arial" w:cs="Arial"/>
          <w:b/>
          <w:sz w:val="24"/>
          <w:szCs w:val="24"/>
        </w:rPr>
      </w:pPr>
      <w:r w:rsidRPr="005001C2">
        <w:rPr>
          <w:rFonts w:ascii="Arial" w:hAnsi="Arial" w:cs="Arial"/>
          <w:b/>
          <w:sz w:val="24"/>
          <w:szCs w:val="24"/>
        </w:rPr>
        <w:t>Guarantors</w:t>
      </w:r>
    </w:p>
    <w:p w:rsidR="005001C2" w:rsidRDefault="005001C2" w:rsidP="005001C2">
      <w:pPr>
        <w:rPr>
          <w:rFonts w:ascii="Arial" w:hAnsi="Arial" w:cs="Arial"/>
          <w:sz w:val="24"/>
          <w:szCs w:val="24"/>
        </w:rPr>
      </w:pPr>
    </w:p>
    <w:p w:rsidR="005001C2" w:rsidRDefault="005001C2" w:rsidP="00A1012A">
      <w:pPr>
        <w:jc w:val="both"/>
        <w:rPr>
          <w:rFonts w:ascii="Arial" w:hAnsi="Arial" w:cs="Arial"/>
          <w:sz w:val="24"/>
          <w:szCs w:val="24"/>
        </w:rPr>
      </w:pPr>
      <w:r w:rsidRPr="00394475">
        <w:rPr>
          <w:rFonts w:ascii="Arial" w:hAnsi="Arial" w:cs="Arial"/>
          <w:sz w:val="24"/>
          <w:szCs w:val="24"/>
        </w:rPr>
        <w:t xml:space="preserve">Some </w:t>
      </w:r>
      <w:r w:rsidR="00C5786F">
        <w:rPr>
          <w:rFonts w:ascii="Arial" w:hAnsi="Arial" w:cs="Arial"/>
          <w:sz w:val="24"/>
          <w:szCs w:val="24"/>
        </w:rPr>
        <w:t>employers</w:t>
      </w:r>
      <w:r w:rsidRPr="00394475">
        <w:rPr>
          <w:rFonts w:ascii="Arial" w:hAnsi="Arial" w:cs="Arial"/>
          <w:sz w:val="24"/>
          <w:szCs w:val="24"/>
        </w:rPr>
        <w:t xml:space="preserve"> may participate in the Fund by virtue of the existence of a Guarantor. </w:t>
      </w:r>
      <w:r w:rsidR="00CB22BE">
        <w:rPr>
          <w:rFonts w:ascii="Arial" w:hAnsi="Arial" w:cs="Arial"/>
          <w:sz w:val="24"/>
          <w:szCs w:val="24"/>
        </w:rPr>
        <w:t xml:space="preserve"> </w:t>
      </w:r>
      <w:r w:rsidRPr="00394475">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394475">
        <w:rPr>
          <w:rFonts w:ascii="Arial" w:hAnsi="Arial" w:cs="Arial"/>
          <w:sz w:val="24"/>
          <w:szCs w:val="24"/>
        </w:rPr>
        <w:t xml:space="preserve"> maintains a list of employers and their associated Guarantors. </w:t>
      </w:r>
      <w:r w:rsidR="00CB22BE">
        <w:rPr>
          <w:rFonts w:ascii="Arial" w:hAnsi="Arial" w:cs="Arial"/>
          <w:sz w:val="24"/>
          <w:szCs w:val="24"/>
        </w:rPr>
        <w:t xml:space="preserve"> </w:t>
      </w:r>
      <w:r w:rsidRPr="00394475">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394475">
        <w:rPr>
          <w:rFonts w:ascii="Arial" w:hAnsi="Arial" w:cs="Arial"/>
          <w:sz w:val="24"/>
          <w:szCs w:val="24"/>
        </w:rPr>
        <w:t>, unless notified otherwise, sees the duty of a Guarantor to include the following:</w:t>
      </w:r>
    </w:p>
    <w:p w:rsidR="00394475" w:rsidRDefault="00394475" w:rsidP="00A1012A">
      <w:pPr>
        <w:jc w:val="both"/>
        <w:rPr>
          <w:rFonts w:ascii="Arial" w:hAnsi="Arial" w:cs="Arial"/>
          <w:sz w:val="24"/>
          <w:szCs w:val="24"/>
        </w:rPr>
      </w:pPr>
    </w:p>
    <w:p w:rsidR="001D6A35" w:rsidRPr="001D6A35" w:rsidRDefault="001E340F" w:rsidP="001D6A35">
      <w:pPr>
        <w:numPr>
          <w:ilvl w:val="0"/>
          <w:numId w:val="16"/>
        </w:numPr>
        <w:jc w:val="both"/>
        <w:rPr>
          <w:rFonts w:ascii="Arial" w:hAnsi="Arial" w:cs="Arial"/>
          <w:sz w:val="24"/>
          <w:szCs w:val="24"/>
        </w:rPr>
      </w:pPr>
      <w:r>
        <w:rPr>
          <w:rFonts w:ascii="Arial" w:hAnsi="Arial" w:cs="Arial"/>
          <w:sz w:val="24"/>
          <w:szCs w:val="24"/>
        </w:rPr>
        <w:t>i</w:t>
      </w:r>
      <w:r w:rsidR="001D6A35" w:rsidRPr="001D6A35">
        <w:rPr>
          <w:rFonts w:ascii="Arial" w:hAnsi="Arial" w:cs="Arial"/>
          <w:sz w:val="24"/>
          <w:szCs w:val="24"/>
        </w:rPr>
        <w:t>f an employer ceases and defaults on any of its financial obligations to the Fund, the Guarantor is expected to provide finance to the Fund such that the Fund receives the amount certified by the Fund Actuary as due, including any interest payable thereon</w:t>
      </w:r>
      <w:r>
        <w:rPr>
          <w:rFonts w:ascii="Arial" w:hAnsi="Arial" w:cs="Arial"/>
          <w:sz w:val="24"/>
          <w:szCs w:val="24"/>
        </w:rPr>
        <w:t>; and</w:t>
      </w:r>
    </w:p>
    <w:p w:rsidR="001D6A35" w:rsidRPr="001D6A35" w:rsidRDefault="001D6A35" w:rsidP="001D6A35">
      <w:pPr>
        <w:numPr>
          <w:ilvl w:val="0"/>
          <w:numId w:val="16"/>
        </w:numPr>
        <w:jc w:val="both"/>
        <w:rPr>
          <w:rFonts w:ascii="Arial" w:hAnsi="Arial" w:cs="Arial"/>
          <w:sz w:val="24"/>
          <w:szCs w:val="24"/>
        </w:rPr>
      </w:pPr>
      <w:r>
        <w:rPr>
          <w:rFonts w:ascii="Arial" w:hAnsi="Arial" w:cs="Arial"/>
          <w:sz w:val="24"/>
          <w:szCs w:val="24"/>
        </w:rPr>
        <w:br w:type="page"/>
      </w:r>
      <w:proofErr w:type="gramStart"/>
      <w:r w:rsidR="001E340F">
        <w:rPr>
          <w:rFonts w:ascii="Arial" w:hAnsi="Arial" w:cs="Arial"/>
          <w:sz w:val="24"/>
          <w:szCs w:val="24"/>
        </w:rPr>
        <w:lastRenderedPageBreak/>
        <w:t>i</w:t>
      </w:r>
      <w:r w:rsidRPr="001D6A35">
        <w:rPr>
          <w:rFonts w:ascii="Arial" w:hAnsi="Arial" w:cs="Arial"/>
          <w:sz w:val="24"/>
          <w:szCs w:val="24"/>
        </w:rPr>
        <w:t>f</w:t>
      </w:r>
      <w:proofErr w:type="gramEnd"/>
      <w:r w:rsidRPr="001D6A35">
        <w:rPr>
          <w:rFonts w:ascii="Arial" w:hAnsi="Arial" w:cs="Arial"/>
          <w:sz w:val="24"/>
          <w:szCs w:val="24"/>
        </w:rPr>
        <w:t xml:space="preserve"> the Guarantor is an employer in the Fund and is judged to be of suitable covenant by the </w:t>
      </w:r>
      <w:r w:rsidR="00CD42B5">
        <w:rPr>
          <w:rFonts w:ascii="Arial" w:hAnsi="Arial" w:cs="Arial"/>
          <w:sz w:val="24"/>
          <w:szCs w:val="24"/>
        </w:rPr>
        <w:t>a</w:t>
      </w:r>
      <w:r w:rsidR="009B2027">
        <w:rPr>
          <w:rFonts w:ascii="Arial" w:hAnsi="Arial" w:cs="Arial"/>
          <w:sz w:val="24"/>
          <w:szCs w:val="24"/>
        </w:rPr>
        <w:t>dministering authority</w:t>
      </w:r>
      <w:r w:rsidRPr="001D6A35">
        <w:rPr>
          <w:rFonts w:ascii="Arial" w:hAnsi="Arial" w:cs="Arial"/>
          <w:sz w:val="24"/>
          <w:szCs w:val="24"/>
        </w:rPr>
        <w:t xml:space="preserve">, the Guarantor may defray some of the financial liability by subsuming the residual liabilities into its own pool of Fund liabilities. </w:t>
      </w:r>
      <w:r>
        <w:rPr>
          <w:rFonts w:ascii="Arial" w:hAnsi="Arial" w:cs="Arial"/>
          <w:sz w:val="24"/>
          <w:szCs w:val="24"/>
        </w:rPr>
        <w:t xml:space="preserve"> </w:t>
      </w:r>
      <w:r w:rsidRPr="001D6A35">
        <w:rPr>
          <w:rFonts w:ascii="Arial" w:hAnsi="Arial" w:cs="Arial"/>
          <w:sz w:val="24"/>
          <w:szCs w:val="24"/>
        </w:rPr>
        <w:t>In other words, it agrees to be a source of future funding in respect of those liabilities should future deficiencies emerge.</w:t>
      </w:r>
    </w:p>
    <w:p w:rsidR="00394475" w:rsidRDefault="00394475" w:rsidP="00B938DD">
      <w:pPr>
        <w:jc w:val="both"/>
        <w:rPr>
          <w:rFonts w:ascii="Arial" w:hAnsi="Arial" w:cs="Arial"/>
          <w:sz w:val="24"/>
          <w:szCs w:val="24"/>
        </w:rPr>
      </w:pPr>
    </w:p>
    <w:p w:rsidR="005001C2" w:rsidRDefault="005001C2" w:rsidP="00B938DD">
      <w:pPr>
        <w:jc w:val="both"/>
        <w:rPr>
          <w:rFonts w:ascii="Arial" w:hAnsi="Arial" w:cs="Arial"/>
          <w:sz w:val="24"/>
          <w:szCs w:val="24"/>
        </w:rPr>
      </w:pPr>
      <w:r w:rsidRPr="005001C2">
        <w:rPr>
          <w:rFonts w:ascii="Arial" w:hAnsi="Arial" w:cs="Arial"/>
          <w:sz w:val="24"/>
          <w:szCs w:val="24"/>
        </w:rPr>
        <w:t xml:space="preserve">During the period of participation of </w:t>
      </w:r>
      <w:r w:rsidR="00C5786F">
        <w:rPr>
          <w:rFonts w:ascii="Arial" w:hAnsi="Arial" w:cs="Arial"/>
          <w:sz w:val="24"/>
          <w:szCs w:val="24"/>
        </w:rPr>
        <w:t>an employer,</w:t>
      </w:r>
      <w:r w:rsidRPr="005001C2">
        <w:rPr>
          <w:rFonts w:ascii="Arial" w:hAnsi="Arial" w:cs="Arial"/>
          <w:sz w:val="24"/>
          <w:szCs w:val="24"/>
        </w:rPr>
        <w:t xml:space="preserve"> a </w:t>
      </w:r>
      <w:r w:rsidR="007C1473">
        <w:rPr>
          <w:rFonts w:ascii="Arial" w:hAnsi="Arial" w:cs="Arial"/>
          <w:sz w:val="24"/>
          <w:szCs w:val="24"/>
        </w:rPr>
        <w:t>G</w:t>
      </w:r>
      <w:r w:rsidRPr="005001C2">
        <w:rPr>
          <w:rFonts w:ascii="Arial" w:hAnsi="Arial" w:cs="Arial"/>
          <w:sz w:val="24"/>
          <w:szCs w:val="24"/>
        </w:rPr>
        <w:t xml:space="preserve">uarantor can at any time agree to the future subsumption of any residual liabilities of </w:t>
      </w:r>
      <w:r w:rsidR="00C5786F">
        <w:rPr>
          <w:rFonts w:ascii="Arial" w:hAnsi="Arial" w:cs="Arial"/>
          <w:sz w:val="24"/>
          <w:szCs w:val="24"/>
        </w:rPr>
        <w:t>the employer</w:t>
      </w:r>
      <w:r w:rsidRPr="005001C2">
        <w:rPr>
          <w:rFonts w:ascii="Arial" w:hAnsi="Arial" w:cs="Arial"/>
          <w:sz w:val="24"/>
          <w:szCs w:val="24"/>
        </w:rPr>
        <w:t>.</w:t>
      </w:r>
      <w:r w:rsidR="00B938DD">
        <w:rPr>
          <w:rFonts w:ascii="Arial" w:hAnsi="Arial" w:cs="Arial"/>
          <w:sz w:val="24"/>
          <w:szCs w:val="24"/>
        </w:rPr>
        <w:t xml:space="preserve"> </w:t>
      </w:r>
      <w:r w:rsidR="001D6A35">
        <w:rPr>
          <w:rFonts w:ascii="Arial" w:hAnsi="Arial" w:cs="Arial"/>
          <w:sz w:val="24"/>
          <w:szCs w:val="24"/>
        </w:rPr>
        <w:t xml:space="preserve"> </w:t>
      </w:r>
      <w:r w:rsidRPr="005001C2">
        <w:rPr>
          <w:rFonts w:ascii="Arial" w:hAnsi="Arial" w:cs="Arial"/>
          <w:sz w:val="24"/>
          <w:szCs w:val="24"/>
        </w:rPr>
        <w:t xml:space="preserve">The effect of that action </w:t>
      </w:r>
      <w:r w:rsidR="002F0D38">
        <w:rPr>
          <w:rFonts w:ascii="Arial" w:hAnsi="Arial" w:cs="Arial"/>
          <w:sz w:val="24"/>
          <w:szCs w:val="24"/>
        </w:rPr>
        <w:t>may</w:t>
      </w:r>
      <w:r w:rsidRPr="005001C2">
        <w:rPr>
          <w:rFonts w:ascii="Arial" w:hAnsi="Arial" w:cs="Arial"/>
          <w:sz w:val="24"/>
          <w:szCs w:val="24"/>
        </w:rPr>
        <w:t xml:space="preserve"> be to reduce the </w:t>
      </w:r>
      <w:r w:rsidR="00C5786F">
        <w:rPr>
          <w:rFonts w:ascii="Arial" w:hAnsi="Arial" w:cs="Arial"/>
          <w:sz w:val="24"/>
          <w:szCs w:val="24"/>
        </w:rPr>
        <w:t>F</w:t>
      </w:r>
      <w:r w:rsidRPr="005001C2">
        <w:rPr>
          <w:rFonts w:ascii="Arial" w:hAnsi="Arial" w:cs="Arial"/>
          <w:sz w:val="24"/>
          <w:szCs w:val="24"/>
        </w:rPr>
        <w:t>unding</w:t>
      </w:r>
      <w:r w:rsidR="00C5786F">
        <w:rPr>
          <w:rFonts w:ascii="Arial" w:hAnsi="Arial" w:cs="Arial"/>
          <w:sz w:val="24"/>
          <w:szCs w:val="24"/>
        </w:rPr>
        <w:t xml:space="preserve"> and Solvency T</w:t>
      </w:r>
      <w:r w:rsidRPr="005001C2">
        <w:rPr>
          <w:rFonts w:ascii="Arial" w:hAnsi="Arial" w:cs="Arial"/>
          <w:sz w:val="24"/>
          <w:szCs w:val="24"/>
        </w:rPr>
        <w:t>arget</w:t>
      </w:r>
      <w:r w:rsidR="00C5786F">
        <w:rPr>
          <w:rFonts w:ascii="Arial" w:hAnsi="Arial" w:cs="Arial"/>
          <w:sz w:val="24"/>
          <w:szCs w:val="24"/>
        </w:rPr>
        <w:t>s</w:t>
      </w:r>
      <w:r w:rsidRPr="005001C2">
        <w:rPr>
          <w:rFonts w:ascii="Arial" w:hAnsi="Arial" w:cs="Arial"/>
          <w:sz w:val="24"/>
          <w:szCs w:val="24"/>
        </w:rPr>
        <w:t xml:space="preserve"> for th</w:t>
      </w:r>
      <w:r w:rsidR="00755C01">
        <w:rPr>
          <w:rFonts w:ascii="Arial" w:hAnsi="Arial" w:cs="Arial"/>
          <w:sz w:val="24"/>
          <w:szCs w:val="24"/>
        </w:rPr>
        <w:t>is</w:t>
      </w:r>
      <w:r w:rsidRPr="005001C2">
        <w:rPr>
          <w:rFonts w:ascii="Arial" w:hAnsi="Arial" w:cs="Arial"/>
          <w:sz w:val="24"/>
          <w:szCs w:val="24"/>
        </w:rPr>
        <w:t xml:space="preserve"> </w:t>
      </w:r>
      <w:r w:rsidR="00C5786F">
        <w:rPr>
          <w:rFonts w:ascii="Arial" w:hAnsi="Arial" w:cs="Arial"/>
          <w:sz w:val="24"/>
          <w:szCs w:val="24"/>
        </w:rPr>
        <w:t>employer</w:t>
      </w:r>
      <w:r w:rsidRPr="005001C2">
        <w:rPr>
          <w:rFonts w:ascii="Arial" w:hAnsi="Arial" w:cs="Arial"/>
          <w:sz w:val="24"/>
          <w:szCs w:val="24"/>
        </w:rPr>
        <w:t>, which would probably lead to reduced contribution requirements.</w:t>
      </w:r>
    </w:p>
    <w:p w:rsidR="005001C2" w:rsidRDefault="005001C2" w:rsidP="005001C2">
      <w:pPr>
        <w:rPr>
          <w:rFonts w:ascii="Arial" w:hAnsi="Arial" w:cs="Arial"/>
          <w:sz w:val="24"/>
          <w:szCs w:val="24"/>
        </w:rPr>
      </w:pPr>
    </w:p>
    <w:p w:rsidR="005001C2" w:rsidRPr="005001C2" w:rsidRDefault="00B938DD" w:rsidP="001638F8">
      <w:pPr>
        <w:jc w:val="both"/>
        <w:outlineLvl w:val="0"/>
        <w:rPr>
          <w:rFonts w:ascii="Arial" w:hAnsi="Arial" w:cs="Arial"/>
          <w:b/>
          <w:sz w:val="24"/>
          <w:szCs w:val="24"/>
        </w:rPr>
      </w:pPr>
      <w:r>
        <w:rPr>
          <w:rFonts w:ascii="Arial" w:hAnsi="Arial" w:cs="Arial"/>
          <w:b/>
          <w:sz w:val="24"/>
          <w:szCs w:val="24"/>
        </w:rPr>
        <w:t xml:space="preserve">Bonds and </w:t>
      </w:r>
      <w:r w:rsidR="001D6A35">
        <w:rPr>
          <w:rFonts w:ascii="Arial" w:hAnsi="Arial" w:cs="Arial"/>
          <w:b/>
          <w:sz w:val="24"/>
          <w:szCs w:val="24"/>
        </w:rPr>
        <w:t>o</w:t>
      </w:r>
      <w:r>
        <w:rPr>
          <w:rFonts w:ascii="Arial" w:hAnsi="Arial" w:cs="Arial"/>
          <w:b/>
          <w:sz w:val="24"/>
          <w:szCs w:val="24"/>
        </w:rPr>
        <w:t xml:space="preserve">ther </w:t>
      </w:r>
      <w:r w:rsidR="001D6A35">
        <w:rPr>
          <w:rFonts w:ascii="Arial" w:hAnsi="Arial" w:cs="Arial"/>
          <w:b/>
          <w:sz w:val="24"/>
          <w:szCs w:val="24"/>
        </w:rPr>
        <w:t>s</w:t>
      </w:r>
      <w:r w:rsidR="00581EEF" w:rsidRPr="005001C2">
        <w:rPr>
          <w:rFonts w:ascii="Arial" w:hAnsi="Arial" w:cs="Arial"/>
          <w:b/>
          <w:sz w:val="24"/>
          <w:szCs w:val="24"/>
        </w:rPr>
        <w:t>ecuriti</w:t>
      </w:r>
      <w:r w:rsidR="00581EEF">
        <w:rPr>
          <w:rFonts w:ascii="Arial" w:hAnsi="Arial" w:cs="Arial"/>
          <w:b/>
          <w:sz w:val="24"/>
          <w:szCs w:val="24"/>
        </w:rPr>
        <w:t>s</w:t>
      </w:r>
      <w:r w:rsidR="00581EEF" w:rsidRPr="005001C2">
        <w:rPr>
          <w:rFonts w:ascii="Arial" w:hAnsi="Arial" w:cs="Arial"/>
          <w:b/>
          <w:sz w:val="24"/>
          <w:szCs w:val="24"/>
        </w:rPr>
        <w:t>ation</w:t>
      </w:r>
    </w:p>
    <w:p w:rsidR="005001C2" w:rsidRPr="005001C2" w:rsidRDefault="005001C2" w:rsidP="005001C2">
      <w:pPr>
        <w:rPr>
          <w:rFonts w:ascii="Arial" w:hAnsi="Arial" w:cs="Arial"/>
          <w:b/>
          <w:sz w:val="24"/>
          <w:szCs w:val="24"/>
        </w:rPr>
      </w:pPr>
    </w:p>
    <w:p w:rsidR="004168BB" w:rsidRPr="004168BB" w:rsidRDefault="00AA7D27" w:rsidP="007C1473">
      <w:pPr>
        <w:pStyle w:val="Normalplus"/>
        <w:spacing w:after="0"/>
        <w:jc w:val="both"/>
        <w:rPr>
          <w:rFonts w:ascii="Arial" w:hAnsi="Arial" w:cs="Arial"/>
          <w:sz w:val="24"/>
          <w:szCs w:val="24"/>
        </w:rPr>
      </w:pPr>
      <w:r>
        <w:rPr>
          <w:rFonts w:ascii="Arial" w:hAnsi="Arial" w:cs="Arial"/>
          <w:sz w:val="24"/>
          <w:szCs w:val="24"/>
        </w:rPr>
        <w:t xml:space="preserve">Part 3 of Schedule 2 of the 2013 Regulations </w:t>
      </w:r>
      <w:r w:rsidR="005001C2" w:rsidRPr="005001C2">
        <w:rPr>
          <w:rFonts w:ascii="Arial" w:hAnsi="Arial" w:cs="Arial"/>
          <w:sz w:val="24"/>
          <w:szCs w:val="24"/>
        </w:rPr>
        <w:t xml:space="preserve">creates a requirement for </w:t>
      </w:r>
      <w:r w:rsidR="004168BB" w:rsidRPr="004168BB">
        <w:rPr>
          <w:rFonts w:ascii="Arial" w:hAnsi="Arial" w:cs="Arial"/>
          <w:sz w:val="24"/>
          <w:szCs w:val="24"/>
        </w:rPr>
        <w:t>a new Admission Body to carry out</w:t>
      </w:r>
      <w:r w:rsidR="008745D0">
        <w:rPr>
          <w:rFonts w:ascii="Arial" w:hAnsi="Arial" w:cs="Arial"/>
          <w:sz w:val="24"/>
          <w:szCs w:val="24"/>
        </w:rPr>
        <w:t>,</w:t>
      </w:r>
      <w:r w:rsidR="004168BB" w:rsidRPr="004168BB">
        <w:rPr>
          <w:rFonts w:ascii="Arial" w:hAnsi="Arial" w:cs="Arial"/>
          <w:sz w:val="24"/>
          <w:szCs w:val="24"/>
        </w:rPr>
        <w:t xml:space="preserve"> to the satisfaction of the </w:t>
      </w:r>
      <w:r w:rsidR="00CD42B5">
        <w:rPr>
          <w:rFonts w:ascii="Arial" w:hAnsi="Arial" w:cs="Arial"/>
          <w:sz w:val="24"/>
          <w:szCs w:val="24"/>
        </w:rPr>
        <w:t>a</w:t>
      </w:r>
      <w:r w:rsidR="009B2027">
        <w:rPr>
          <w:rFonts w:ascii="Arial" w:hAnsi="Arial" w:cs="Arial"/>
          <w:sz w:val="24"/>
          <w:szCs w:val="24"/>
        </w:rPr>
        <w:t>dministering authority</w:t>
      </w:r>
      <w:r w:rsidR="004168BB" w:rsidRPr="004168BB">
        <w:rPr>
          <w:rFonts w:ascii="Arial" w:hAnsi="Arial" w:cs="Arial"/>
          <w:sz w:val="24"/>
          <w:szCs w:val="24"/>
        </w:rPr>
        <w:t xml:space="preserve"> (and the Scheme Employer in the case of a</w:t>
      </w:r>
      <w:r w:rsidR="008B5646">
        <w:rPr>
          <w:rFonts w:ascii="Arial" w:hAnsi="Arial" w:cs="Arial"/>
          <w:sz w:val="24"/>
          <w:szCs w:val="24"/>
        </w:rPr>
        <w:t xml:space="preserve">n </w:t>
      </w:r>
      <w:r w:rsidR="004168BB" w:rsidRPr="004168BB">
        <w:rPr>
          <w:rFonts w:ascii="Arial" w:hAnsi="Arial" w:cs="Arial"/>
          <w:sz w:val="24"/>
          <w:szCs w:val="24"/>
        </w:rPr>
        <w:t xml:space="preserve">Admission Body </w:t>
      </w:r>
      <w:r>
        <w:rPr>
          <w:rFonts w:ascii="Arial" w:hAnsi="Arial" w:cs="Arial"/>
          <w:sz w:val="24"/>
          <w:szCs w:val="24"/>
        </w:rPr>
        <w:t xml:space="preserve">falling under paragraph 1(d) </w:t>
      </w:r>
      <w:r w:rsidR="008B5646">
        <w:rPr>
          <w:rFonts w:ascii="Arial" w:hAnsi="Arial" w:cs="Arial"/>
          <w:sz w:val="24"/>
          <w:szCs w:val="24"/>
        </w:rPr>
        <w:t>(</w:t>
      </w:r>
      <w:proofErr w:type="spellStart"/>
      <w:r w:rsidR="008B5646">
        <w:rPr>
          <w:rFonts w:ascii="Arial" w:hAnsi="Arial" w:cs="Arial"/>
          <w:sz w:val="24"/>
          <w:szCs w:val="24"/>
        </w:rPr>
        <w:t>i</w:t>
      </w:r>
      <w:proofErr w:type="spellEnd"/>
      <w:r w:rsidR="008B5646">
        <w:rPr>
          <w:rFonts w:ascii="Arial" w:hAnsi="Arial" w:cs="Arial"/>
          <w:sz w:val="24"/>
          <w:szCs w:val="24"/>
        </w:rPr>
        <w:t xml:space="preserve">) </w:t>
      </w:r>
      <w:r>
        <w:rPr>
          <w:rFonts w:ascii="Arial" w:hAnsi="Arial" w:cs="Arial"/>
          <w:sz w:val="24"/>
          <w:szCs w:val="24"/>
        </w:rPr>
        <w:t>of Part 3 of Schedule 2 of the 2013 Regulations)</w:t>
      </w:r>
      <w:r w:rsidR="008745D0">
        <w:rPr>
          <w:rFonts w:ascii="Arial" w:hAnsi="Arial" w:cs="Arial"/>
          <w:sz w:val="24"/>
          <w:szCs w:val="24"/>
        </w:rPr>
        <w:t>,</w:t>
      </w:r>
      <w:r w:rsidR="004168BB" w:rsidRPr="004168BB">
        <w:rPr>
          <w:rFonts w:ascii="Arial" w:hAnsi="Arial" w:cs="Arial"/>
          <w:sz w:val="24"/>
          <w:szCs w:val="24"/>
        </w:rPr>
        <w:t xml:space="preserve"> an assessment taking account of actuarial advice of the level of risk on premature termination by reason of insolvency, winding up or liquidation. </w:t>
      </w:r>
    </w:p>
    <w:p w:rsidR="004168BB" w:rsidRPr="004168BB" w:rsidRDefault="004168BB" w:rsidP="007C1473">
      <w:pPr>
        <w:pStyle w:val="Normalplus"/>
        <w:spacing w:after="0"/>
        <w:jc w:val="both"/>
        <w:rPr>
          <w:rFonts w:ascii="Arial" w:hAnsi="Arial" w:cs="Arial"/>
          <w:sz w:val="24"/>
          <w:szCs w:val="24"/>
        </w:rPr>
      </w:pPr>
    </w:p>
    <w:p w:rsidR="004168BB" w:rsidRDefault="004168BB" w:rsidP="007C1473">
      <w:pPr>
        <w:pStyle w:val="Normalplus"/>
        <w:spacing w:after="0"/>
        <w:jc w:val="both"/>
        <w:rPr>
          <w:rFonts w:ascii="Arial" w:hAnsi="Arial" w:cs="Arial"/>
          <w:sz w:val="24"/>
          <w:szCs w:val="24"/>
        </w:rPr>
      </w:pPr>
      <w:r w:rsidRPr="004168BB">
        <w:rPr>
          <w:rFonts w:ascii="Arial" w:hAnsi="Arial" w:cs="Arial"/>
          <w:sz w:val="24"/>
          <w:szCs w:val="24"/>
        </w:rPr>
        <w:t>Where the level of risk identified by the assessment is such as to require it</w:t>
      </w:r>
      <w:r w:rsidR="008745D0">
        <w:rPr>
          <w:rFonts w:ascii="Arial" w:hAnsi="Arial" w:cs="Arial"/>
          <w:sz w:val="24"/>
          <w:szCs w:val="24"/>
        </w:rPr>
        <w:t>,</w:t>
      </w:r>
      <w:r w:rsidRPr="004168BB">
        <w:rPr>
          <w:rFonts w:ascii="Arial" w:hAnsi="Arial" w:cs="Arial"/>
          <w:sz w:val="24"/>
          <w:szCs w:val="24"/>
        </w:rPr>
        <w:t xml:space="preserve"> the </w:t>
      </w:r>
      <w:r>
        <w:rPr>
          <w:rFonts w:ascii="Arial" w:hAnsi="Arial" w:cs="Arial"/>
          <w:sz w:val="24"/>
          <w:szCs w:val="24"/>
        </w:rPr>
        <w:t>A</w:t>
      </w:r>
      <w:r w:rsidRPr="004168BB">
        <w:rPr>
          <w:rFonts w:ascii="Arial" w:hAnsi="Arial" w:cs="Arial"/>
          <w:sz w:val="24"/>
          <w:szCs w:val="24"/>
        </w:rPr>
        <w:t xml:space="preserve">dmission </w:t>
      </w:r>
      <w:r>
        <w:rPr>
          <w:rFonts w:ascii="Arial" w:hAnsi="Arial" w:cs="Arial"/>
          <w:sz w:val="24"/>
          <w:szCs w:val="24"/>
        </w:rPr>
        <w:t>B</w:t>
      </w:r>
      <w:r w:rsidRPr="004168BB">
        <w:rPr>
          <w:rFonts w:ascii="Arial" w:hAnsi="Arial" w:cs="Arial"/>
          <w:sz w:val="24"/>
          <w:szCs w:val="24"/>
        </w:rPr>
        <w:t>ody shall enter into an indemnity or bo</w:t>
      </w:r>
      <w:r w:rsidR="003B0C00">
        <w:rPr>
          <w:rFonts w:ascii="Arial" w:hAnsi="Arial" w:cs="Arial"/>
          <w:sz w:val="24"/>
          <w:szCs w:val="24"/>
        </w:rPr>
        <w:t xml:space="preserve">nd with an appropriate party. </w:t>
      </w:r>
      <w:r w:rsidR="005435CD">
        <w:rPr>
          <w:rFonts w:ascii="Arial" w:hAnsi="Arial" w:cs="Arial"/>
          <w:sz w:val="24"/>
          <w:szCs w:val="24"/>
        </w:rPr>
        <w:t xml:space="preserve"> </w:t>
      </w:r>
      <w:r w:rsidRPr="004168BB">
        <w:rPr>
          <w:rFonts w:ascii="Arial" w:hAnsi="Arial" w:cs="Arial"/>
          <w:sz w:val="24"/>
          <w:szCs w:val="24"/>
        </w:rPr>
        <w:t xml:space="preserve">Where it is not desirable for an Admission Body to enter into an indemnity or bond, the body is required to secure a guarantee in a form satisfactory to the </w:t>
      </w:r>
      <w:r w:rsidR="00CD42B5">
        <w:rPr>
          <w:rFonts w:ascii="Arial" w:hAnsi="Arial" w:cs="Arial"/>
          <w:sz w:val="24"/>
          <w:szCs w:val="24"/>
        </w:rPr>
        <w:t>a</w:t>
      </w:r>
      <w:r w:rsidR="009B2027">
        <w:rPr>
          <w:rFonts w:ascii="Arial" w:hAnsi="Arial" w:cs="Arial"/>
          <w:sz w:val="24"/>
          <w:szCs w:val="24"/>
        </w:rPr>
        <w:t>dministering authority</w:t>
      </w:r>
      <w:r w:rsidRPr="004168BB">
        <w:rPr>
          <w:rFonts w:ascii="Arial" w:hAnsi="Arial" w:cs="Arial"/>
          <w:sz w:val="24"/>
          <w:szCs w:val="24"/>
        </w:rPr>
        <w:t xml:space="preserve"> from an organisation </w:t>
      </w:r>
      <w:r w:rsidR="008E0365" w:rsidRPr="004168BB">
        <w:rPr>
          <w:rFonts w:ascii="Arial" w:hAnsi="Arial" w:cs="Arial"/>
          <w:sz w:val="24"/>
          <w:szCs w:val="24"/>
        </w:rPr>
        <w:t>that</w:t>
      </w:r>
      <w:r w:rsidRPr="004168BB">
        <w:rPr>
          <w:rFonts w:ascii="Arial" w:hAnsi="Arial" w:cs="Arial"/>
          <w:sz w:val="24"/>
          <w:szCs w:val="24"/>
        </w:rPr>
        <w:t xml:space="preserve"> </w:t>
      </w:r>
      <w:proofErr w:type="gramStart"/>
      <w:r w:rsidRPr="004168BB">
        <w:rPr>
          <w:rFonts w:ascii="Arial" w:hAnsi="Arial" w:cs="Arial"/>
          <w:sz w:val="24"/>
          <w:szCs w:val="24"/>
        </w:rPr>
        <w:t>either funds</w:t>
      </w:r>
      <w:proofErr w:type="gramEnd"/>
      <w:r w:rsidRPr="004168BB">
        <w:rPr>
          <w:rFonts w:ascii="Arial" w:hAnsi="Arial" w:cs="Arial"/>
          <w:sz w:val="24"/>
          <w:szCs w:val="24"/>
        </w:rPr>
        <w:t xml:space="preserve">, owns or controls the functions of the </w:t>
      </w:r>
      <w:r w:rsidR="00981D6C">
        <w:rPr>
          <w:rFonts w:ascii="Arial" w:hAnsi="Arial" w:cs="Arial"/>
          <w:sz w:val="24"/>
          <w:szCs w:val="24"/>
        </w:rPr>
        <w:t>A</w:t>
      </w:r>
      <w:r w:rsidRPr="004168BB">
        <w:rPr>
          <w:rFonts w:ascii="Arial" w:hAnsi="Arial" w:cs="Arial"/>
          <w:sz w:val="24"/>
          <w:szCs w:val="24"/>
        </w:rPr>
        <w:t xml:space="preserve">dmission </w:t>
      </w:r>
      <w:r w:rsidR="00981D6C">
        <w:rPr>
          <w:rFonts w:ascii="Arial" w:hAnsi="Arial" w:cs="Arial"/>
          <w:sz w:val="24"/>
          <w:szCs w:val="24"/>
        </w:rPr>
        <w:t>B</w:t>
      </w:r>
      <w:r w:rsidRPr="004168BB">
        <w:rPr>
          <w:rFonts w:ascii="Arial" w:hAnsi="Arial" w:cs="Arial"/>
          <w:sz w:val="24"/>
          <w:szCs w:val="24"/>
        </w:rPr>
        <w:t xml:space="preserve">ody. </w:t>
      </w:r>
    </w:p>
    <w:p w:rsidR="004168BB" w:rsidRPr="004168BB" w:rsidRDefault="004168BB" w:rsidP="004168BB">
      <w:pPr>
        <w:pStyle w:val="Normalplus"/>
        <w:spacing w:after="0"/>
        <w:rPr>
          <w:rFonts w:ascii="Arial" w:hAnsi="Arial" w:cs="Arial"/>
          <w:sz w:val="24"/>
          <w:szCs w:val="24"/>
        </w:rPr>
      </w:pPr>
    </w:p>
    <w:p w:rsidR="005001C2" w:rsidRDefault="005001C2" w:rsidP="00B938DD">
      <w:pPr>
        <w:pStyle w:val="Normalplus"/>
        <w:spacing w:after="0"/>
        <w:jc w:val="both"/>
        <w:rPr>
          <w:rFonts w:ascii="Arial" w:hAnsi="Arial" w:cs="Arial"/>
          <w:sz w:val="24"/>
          <w:szCs w:val="24"/>
        </w:rPr>
      </w:pPr>
      <w:r w:rsidRPr="005001C2">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5001C2">
        <w:rPr>
          <w:rFonts w:ascii="Arial" w:hAnsi="Arial" w:cs="Arial"/>
          <w:sz w:val="24"/>
          <w:szCs w:val="24"/>
        </w:rPr>
        <w:t>'s approach in this area is as follows:</w:t>
      </w:r>
    </w:p>
    <w:p w:rsidR="000E56F2" w:rsidRDefault="000E56F2" w:rsidP="000E56F2">
      <w:pPr>
        <w:pStyle w:val="Normalplus"/>
        <w:spacing w:after="0"/>
        <w:rPr>
          <w:rFonts w:ascii="Arial" w:hAnsi="Arial" w:cs="Arial"/>
          <w:sz w:val="24"/>
          <w:szCs w:val="24"/>
        </w:rPr>
      </w:pPr>
    </w:p>
    <w:p w:rsidR="001D6A35" w:rsidRPr="001D6A35" w:rsidRDefault="001D6A35" w:rsidP="00121B2F">
      <w:pPr>
        <w:pStyle w:val="Normalplus"/>
        <w:numPr>
          <w:ilvl w:val="0"/>
          <w:numId w:val="16"/>
        </w:numPr>
        <w:spacing w:after="0"/>
        <w:jc w:val="both"/>
        <w:rPr>
          <w:rFonts w:ascii="Arial" w:hAnsi="Arial" w:cs="Arial"/>
          <w:sz w:val="24"/>
          <w:szCs w:val="24"/>
        </w:rPr>
      </w:pPr>
      <w:r w:rsidRPr="001D6A35">
        <w:rPr>
          <w:rFonts w:ascii="Arial" w:hAnsi="Arial" w:cs="Arial"/>
          <w:sz w:val="24"/>
          <w:szCs w:val="24"/>
        </w:rPr>
        <w:t xml:space="preserve">In the case of </w:t>
      </w:r>
      <w:r w:rsidR="00D2005C">
        <w:rPr>
          <w:rFonts w:ascii="Arial" w:hAnsi="Arial" w:cs="Arial"/>
          <w:sz w:val="24"/>
          <w:szCs w:val="24"/>
        </w:rPr>
        <w:t>1(d)</w:t>
      </w:r>
      <w:r w:rsidRPr="001D6A35">
        <w:rPr>
          <w:rFonts w:ascii="Arial" w:hAnsi="Arial" w:cs="Arial"/>
          <w:sz w:val="24"/>
          <w:szCs w:val="24"/>
        </w:rPr>
        <w:t xml:space="preserve"> Admission Bodies and other Admission Bodies with a Guarantor, and so long as the </w:t>
      </w:r>
      <w:r w:rsidR="00CD42B5">
        <w:rPr>
          <w:rFonts w:ascii="Arial" w:hAnsi="Arial" w:cs="Arial"/>
          <w:sz w:val="24"/>
          <w:szCs w:val="24"/>
        </w:rPr>
        <w:t>a</w:t>
      </w:r>
      <w:r w:rsidR="009B2027">
        <w:rPr>
          <w:rFonts w:ascii="Arial" w:hAnsi="Arial" w:cs="Arial"/>
          <w:sz w:val="24"/>
          <w:szCs w:val="24"/>
        </w:rPr>
        <w:t>dministering authority</w:t>
      </w:r>
      <w:r w:rsidRPr="001D6A35">
        <w:rPr>
          <w:rFonts w:ascii="Arial" w:hAnsi="Arial" w:cs="Arial"/>
          <w:sz w:val="24"/>
          <w:szCs w:val="24"/>
        </w:rPr>
        <w:t xml:space="preserve"> judges the relevant Scheme Employer or Guarantor to be of sufficiently sound covenant, any bond exists purely to protect the relevant Scheme Employer or Guarantor on default of the Admission Body. </w:t>
      </w:r>
      <w:r w:rsidR="00CB22BE">
        <w:rPr>
          <w:rFonts w:ascii="Arial" w:hAnsi="Arial" w:cs="Arial"/>
          <w:sz w:val="24"/>
          <w:szCs w:val="24"/>
        </w:rPr>
        <w:t xml:space="preserve"> </w:t>
      </w:r>
      <w:r w:rsidRPr="001D6A35">
        <w:rPr>
          <w:rFonts w:ascii="Arial" w:hAnsi="Arial" w:cs="Arial"/>
          <w:sz w:val="24"/>
          <w:szCs w:val="24"/>
        </w:rPr>
        <w:t xml:space="preserve">As such, it is entirely the responsibility of the relevant Scheme Employer or Guarantor to arrange any risk assessments and decide the level of required bond. </w:t>
      </w:r>
      <w:r w:rsidR="00CB22BE">
        <w:rPr>
          <w:rFonts w:ascii="Arial" w:hAnsi="Arial" w:cs="Arial"/>
          <w:sz w:val="24"/>
          <w:szCs w:val="24"/>
        </w:rPr>
        <w:t xml:space="preserve"> </w:t>
      </w:r>
      <w:r w:rsidRPr="001D6A35">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1D6A35">
        <w:rPr>
          <w:rFonts w:ascii="Arial" w:hAnsi="Arial" w:cs="Arial"/>
          <w:sz w:val="24"/>
          <w:szCs w:val="24"/>
        </w:rPr>
        <w:t xml:space="preserve"> will be pleased to supply some standard calculations provided by the Fund Actuary to aid the relevant Scheme Employer or Guarantor, but this should not be construed as advice to the relevant Scheme Employer or Guarantor on this matter.  </w:t>
      </w:r>
    </w:p>
    <w:p w:rsidR="00FF08B7" w:rsidRPr="00396199" w:rsidRDefault="00FF08B7" w:rsidP="00396199">
      <w:pPr>
        <w:numPr>
          <w:ilvl w:val="0"/>
          <w:numId w:val="16"/>
        </w:numPr>
        <w:rPr>
          <w:rFonts w:ascii="Arial" w:hAnsi="Arial" w:cs="Arial"/>
          <w:sz w:val="24"/>
          <w:szCs w:val="24"/>
        </w:rPr>
      </w:pPr>
      <w:r w:rsidRPr="00396199">
        <w:rPr>
          <w:rFonts w:ascii="Arial" w:hAnsi="Arial" w:cs="Arial"/>
          <w:sz w:val="24"/>
          <w:szCs w:val="24"/>
        </w:rPr>
        <w:t>In the case of:</w:t>
      </w:r>
    </w:p>
    <w:p w:rsidR="00FF08B7" w:rsidRPr="00396199" w:rsidRDefault="00FF08B7" w:rsidP="008A515D">
      <w:pPr>
        <w:pStyle w:val="ListParagraph"/>
        <w:numPr>
          <w:ilvl w:val="0"/>
          <w:numId w:val="28"/>
        </w:numPr>
        <w:overflowPunct/>
        <w:autoSpaceDE/>
        <w:autoSpaceDN/>
        <w:adjustRightInd/>
        <w:ind w:left="1080"/>
        <w:jc w:val="both"/>
        <w:textAlignment w:val="auto"/>
        <w:rPr>
          <w:rFonts w:ascii="Arial" w:hAnsi="Arial" w:cs="Arial"/>
          <w:sz w:val="24"/>
          <w:szCs w:val="24"/>
        </w:rPr>
      </w:pPr>
      <w:r w:rsidRPr="00396199">
        <w:rPr>
          <w:rFonts w:ascii="Arial" w:hAnsi="Arial" w:cs="Arial"/>
          <w:sz w:val="24"/>
          <w:szCs w:val="24"/>
        </w:rPr>
        <w:t>Admission bodies admitted under paragraph 1(e)</w:t>
      </w:r>
      <w:r>
        <w:rPr>
          <w:rFonts w:ascii="Arial" w:hAnsi="Arial" w:cs="Arial"/>
          <w:sz w:val="24"/>
          <w:szCs w:val="24"/>
        </w:rPr>
        <w:t>;</w:t>
      </w:r>
    </w:p>
    <w:p w:rsidR="00FF08B7" w:rsidRPr="00396199" w:rsidRDefault="00FF08B7" w:rsidP="008A515D">
      <w:pPr>
        <w:pStyle w:val="ListParagraph"/>
        <w:numPr>
          <w:ilvl w:val="0"/>
          <w:numId w:val="28"/>
        </w:numPr>
        <w:overflowPunct/>
        <w:autoSpaceDE/>
        <w:autoSpaceDN/>
        <w:adjustRightInd/>
        <w:ind w:left="1080"/>
        <w:jc w:val="both"/>
        <w:textAlignment w:val="auto"/>
        <w:rPr>
          <w:rFonts w:ascii="Arial" w:hAnsi="Arial" w:cs="Arial"/>
          <w:sz w:val="24"/>
          <w:szCs w:val="24"/>
        </w:rPr>
      </w:pPr>
      <w:r w:rsidRPr="00396199">
        <w:rPr>
          <w:rFonts w:ascii="Arial" w:hAnsi="Arial" w:cs="Arial"/>
          <w:sz w:val="24"/>
          <w:szCs w:val="24"/>
        </w:rPr>
        <w:t xml:space="preserve">Admission bodies admitted under paragraph 1(d) where the </w:t>
      </w:r>
      <w:r w:rsidR="00CD42B5">
        <w:rPr>
          <w:rFonts w:ascii="Arial" w:hAnsi="Arial" w:cs="Arial"/>
          <w:sz w:val="24"/>
          <w:szCs w:val="24"/>
        </w:rPr>
        <w:t>a</w:t>
      </w:r>
      <w:r w:rsidR="009B2027">
        <w:rPr>
          <w:rFonts w:ascii="Arial" w:hAnsi="Arial" w:cs="Arial"/>
          <w:sz w:val="24"/>
          <w:szCs w:val="24"/>
        </w:rPr>
        <w:t>dministering authority</w:t>
      </w:r>
      <w:r w:rsidRPr="00396199">
        <w:rPr>
          <w:rFonts w:ascii="Arial" w:hAnsi="Arial" w:cs="Arial"/>
          <w:sz w:val="24"/>
          <w:szCs w:val="24"/>
        </w:rPr>
        <w:t xml:space="preserve"> does not judge the Scheme Employer to be of sufficiently strong covenant</w:t>
      </w:r>
      <w:r>
        <w:rPr>
          <w:rFonts w:ascii="Arial" w:hAnsi="Arial" w:cs="Arial"/>
          <w:sz w:val="24"/>
          <w:szCs w:val="24"/>
        </w:rPr>
        <w:t>; and</w:t>
      </w:r>
    </w:p>
    <w:p w:rsidR="00FF08B7" w:rsidRPr="00396199" w:rsidRDefault="00FF08B7" w:rsidP="008A515D">
      <w:pPr>
        <w:pStyle w:val="ListParagraph"/>
        <w:numPr>
          <w:ilvl w:val="0"/>
          <w:numId w:val="28"/>
        </w:numPr>
        <w:overflowPunct/>
        <w:autoSpaceDE/>
        <w:autoSpaceDN/>
        <w:adjustRightInd/>
        <w:ind w:left="1080"/>
        <w:jc w:val="both"/>
        <w:textAlignment w:val="auto"/>
        <w:rPr>
          <w:rFonts w:ascii="Arial" w:hAnsi="Arial" w:cs="Arial"/>
          <w:sz w:val="24"/>
          <w:szCs w:val="24"/>
        </w:rPr>
      </w:pPr>
      <w:r>
        <w:rPr>
          <w:rFonts w:ascii="Arial" w:hAnsi="Arial" w:cs="Arial"/>
          <w:sz w:val="24"/>
          <w:szCs w:val="24"/>
        </w:rPr>
        <w:t>o</w:t>
      </w:r>
      <w:r w:rsidRPr="00396199">
        <w:rPr>
          <w:rFonts w:ascii="Arial" w:hAnsi="Arial" w:cs="Arial"/>
          <w:sz w:val="24"/>
          <w:szCs w:val="24"/>
        </w:rPr>
        <w:t xml:space="preserve">ther Admission bodies with no Guarantor or where the </w:t>
      </w:r>
      <w:r w:rsidR="00CD42B5">
        <w:rPr>
          <w:rFonts w:ascii="Arial" w:hAnsi="Arial" w:cs="Arial"/>
          <w:sz w:val="24"/>
          <w:szCs w:val="24"/>
        </w:rPr>
        <w:t>a</w:t>
      </w:r>
      <w:r w:rsidR="009B2027">
        <w:rPr>
          <w:rFonts w:ascii="Arial" w:hAnsi="Arial" w:cs="Arial"/>
          <w:sz w:val="24"/>
          <w:szCs w:val="24"/>
        </w:rPr>
        <w:t>dministering authority</w:t>
      </w:r>
      <w:r w:rsidRPr="00396199">
        <w:rPr>
          <w:rFonts w:ascii="Arial" w:hAnsi="Arial" w:cs="Arial"/>
          <w:sz w:val="24"/>
          <w:szCs w:val="24"/>
        </w:rPr>
        <w:t xml:space="preserve"> does not judge the Guarantor to be of sufficiently strong covenant</w:t>
      </w:r>
      <w:r w:rsidR="008B5646">
        <w:rPr>
          <w:rFonts w:ascii="Arial" w:hAnsi="Arial" w:cs="Arial"/>
          <w:sz w:val="24"/>
          <w:szCs w:val="24"/>
        </w:rPr>
        <w:t>;</w:t>
      </w:r>
    </w:p>
    <w:p w:rsidR="001D6A35" w:rsidRPr="00396199" w:rsidRDefault="001D6A35" w:rsidP="00396199">
      <w:pPr>
        <w:pStyle w:val="Normalplus"/>
        <w:spacing w:after="0"/>
        <w:ind w:left="720"/>
        <w:jc w:val="both"/>
        <w:rPr>
          <w:rFonts w:ascii="Arial" w:hAnsi="Arial" w:cs="Arial"/>
          <w:sz w:val="24"/>
          <w:szCs w:val="24"/>
        </w:rPr>
      </w:pPr>
      <w:proofErr w:type="gramStart"/>
      <w:r w:rsidRPr="00396199">
        <w:rPr>
          <w:rFonts w:ascii="Arial" w:hAnsi="Arial" w:cs="Arial"/>
          <w:sz w:val="24"/>
          <w:szCs w:val="24"/>
        </w:rPr>
        <w:t>the</w:t>
      </w:r>
      <w:proofErr w:type="gramEnd"/>
      <w:r w:rsidRPr="00396199">
        <w:rPr>
          <w:rFonts w:ascii="Arial" w:hAnsi="Arial" w:cs="Arial"/>
          <w:sz w:val="24"/>
          <w:szCs w:val="24"/>
        </w:rPr>
        <w:t xml:space="preserve"> </w:t>
      </w:r>
      <w:r w:rsidR="00CD42B5">
        <w:rPr>
          <w:rFonts w:ascii="Arial" w:hAnsi="Arial" w:cs="Arial"/>
          <w:sz w:val="24"/>
          <w:szCs w:val="24"/>
        </w:rPr>
        <w:t>a</w:t>
      </w:r>
      <w:r w:rsidR="009B2027">
        <w:rPr>
          <w:rFonts w:ascii="Arial" w:hAnsi="Arial" w:cs="Arial"/>
          <w:sz w:val="24"/>
          <w:szCs w:val="24"/>
        </w:rPr>
        <w:t>dministering authority</w:t>
      </w:r>
      <w:r w:rsidRPr="00396199">
        <w:rPr>
          <w:rFonts w:ascii="Arial" w:hAnsi="Arial" w:cs="Arial"/>
          <w:sz w:val="24"/>
          <w:szCs w:val="24"/>
        </w:rPr>
        <w:t xml:space="preserve"> must be involved in the assessment of the required level of bond to protect the Fund. </w:t>
      </w:r>
      <w:r w:rsidR="00CB22BE" w:rsidRPr="00396199">
        <w:rPr>
          <w:rFonts w:ascii="Arial" w:hAnsi="Arial" w:cs="Arial"/>
          <w:sz w:val="24"/>
          <w:szCs w:val="24"/>
        </w:rPr>
        <w:t xml:space="preserve"> </w:t>
      </w:r>
      <w:r w:rsidRPr="00396199">
        <w:rPr>
          <w:rFonts w:ascii="Arial" w:hAnsi="Arial" w:cs="Arial"/>
          <w:sz w:val="24"/>
          <w:szCs w:val="24"/>
        </w:rPr>
        <w:t xml:space="preserve">The admission will only be able to proceed once the </w:t>
      </w:r>
      <w:r w:rsidR="00CD42B5">
        <w:rPr>
          <w:rFonts w:ascii="Arial" w:hAnsi="Arial" w:cs="Arial"/>
          <w:sz w:val="24"/>
          <w:szCs w:val="24"/>
        </w:rPr>
        <w:t>a</w:t>
      </w:r>
      <w:r w:rsidR="009B2027">
        <w:rPr>
          <w:rFonts w:ascii="Arial" w:hAnsi="Arial" w:cs="Arial"/>
          <w:sz w:val="24"/>
          <w:szCs w:val="24"/>
        </w:rPr>
        <w:t>dministering authority</w:t>
      </w:r>
      <w:r w:rsidRPr="00396199">
        <w:rPr>
          <w:rFonts w:ascii="Arial" w:hAnsi="Arial" w:cs="Arial"/>
          <w:sz w:val="24"/>
          <w:szCs w:val="24"/>
        </w:rPr>
        <w:t xml:space="preserve"> has agreed the level of bond cover. </w:t>
      </w:r>
      <w:r w:rsidR="00CB22BE" w:rsidRPr="00396199">
        <w:rPr>
          <w:rFonts w:ascii="Arial" w:hAnsi="Arial" w:cs="Arial"/>
          <w:sz w:val="24"/>
          <w:szCs w:val="24"/>
        </w:rPr>
        <w:t xml:space="preserve"> </w:t>
      </w:r>
      <w:r w:rsidRPr="00396199">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396199">
        <w:rPr>
          <w:rFonts w:ascii="Arial" w:hAnsi="Arial" w:cs="Arial"/>
          <w:sz w:val="24"/>
          <w:szCs w:val="24"/>
        </w:rPr>
        <w:t xml:space="preserve"> will supply some standard calculations provided by the Fund Actuary to aid the relevant Scheme Employer form a view on what level of bond would be satisfactory. </w:t>
      </w:r>
      <w:r w:rsidR="00CB22BE" w:rsidRPr="00396199">
        <w:rPr>
          <w:rFonts w:ascii="Arial" w:hAnsi="Arial" w:cs="Arial"/>
          <w:sz w:val="24"/>
          <w:szCs w:val="24"/>
        </w:rPr>
        <w:t xml:space="preserve"> </w:t>
      </w:r>
      <w:r w:rsidRPr="00396199">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396199">
        <w:rPr>
          <w:rFonts w:ascii="Arial" w:hAnsi="Arial" w:cs="Arial"/>
          <w:sz w:val="24"/>
          <w:szCs w:val="24"/>
        </w:rPr>
        <w:t xml:space="preserve"> will also on </w:t>
      </w:r>
      <w:r w:rsidRPr="00396199">
        <w:rPr>
          <w:rFonts w:ascii="Arial" w:hAnsi="Arial" w:cs="Arial"/>
          <w:sz w:val="24"/>
          <w:szCs w:val="24"/>
        </w:rPr>
        <w:lastRenderedPageBreak/>
        <w:t xml:space="preserve">request supply this to the Admission Body or Guarantor. </w:t>
      </w:r>
      <w:r w:rsidR="00CB22BE" w:rsidRPr="00396199">
        <w:rPr>
          <w:rFonts w:ascii="Arial" w:hAnsi="Arial" w:cs="Arial"/>
          <w:sz w:val="24"/>
          <w:szCs w:val="24"/>
        </w:rPr>
        <w:t xml:space="preserve"> </w:t>
      </w:r>
      <w:r w:rsidRPr="00396199">
        <w:rPr>
          <w:rFonts w:ascii="Arial" w:hAnsi="Arial" w:cs="Arial"/>
          <w:sz w:val="24"/>
          <w:szCs w:val="24"/>
        </w:rPr>
        <w:t>This should not be construed as advice to the Scheme Employer, Guarantor or Admission Body.</w:t>
      </w:r>
    </w:p>
    <w:p w:rsidR="001D6A35" w:rsidRPr="001D6A35" w:rsidRDefault="001D6A35" w:rsidP="00121B2F">
      <w:pPr>
        <w:pStyle w:val="Normalplus"/>
        <w:numPr>
          <w:ilvl w:val="0"/>
          <w:numId w:val="16"/>
        </w:numPr>
        <w:spacing w:after="0"/>
        <w:jc w:val="both"/>
        <w:rPr>
          <w:rFonts w:ascii="Arial" w:hAnsi="Arial" w:cs="Arial"/>
          <w:sz w:val="24"/>
          <w:szCs w:val="24"/>
        </w:rPr>
      </w:pPr>
      <w:r w:rsidRPr="001D6A35">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1D6A35">
        <w:rPr>
          <w:rFonts w:ascii="Arial" w:hAnsi="Arial" w:cs="Arial"/>
          <w:sz w:val="24"/>
          <w:szCs w:val="24"/>
        </w:rPr>
        <w:t xml:space="preserve"> notes that levels of required bond cover can fluctuate and it will review, or it recommends that the relevant Scheme Employer reviews</w:t>
      </w:r>
      <w:r w:rsidR="002250F1">
        <w:rPr>
          <w:rFonts w:ascii="Arial" w:hAnsi="Arial" w:cs="Arial"/>
          <w:sz w:val="24"/>
          <w:szCs w:val="24"/>
        </w:rPr>
        <w:t>,</w:t>
      </w:r>
      <w:r w:rsidRPr="001D6A35">
        <w:rPr>
          <w:rFonts w:ascii="Arial" w:hAnsi="Arial" w:cs="Arial"/>
          <w:sz w:val="24"/>
          <w:szCs w:val="24"/>
        </w:rPr>
        <w:t xml:space="preserve"> the required cover at least once a year.</w:t>
      </w:r>
    </w:p>
    <w:p w:rsidR="000E56F2" w:rsidRDefault="000E56F2" w:rsidP="007C1473">
      <w:pPr>
        <w:pStyle w:val="Bulletplus"/>
        <w:numPr>
          <w:ilvl w:val="0"/>
          <w:numId w:val="0"/>
        </w:numPr>
        <w:spacing w:after="0"/>
        <w:jc w:val="both"/>
        <w:rPr>
          <w:rFonts w:cs="Arial"/>
          <w:sz w:val="24"/>
          <w:szCs w:val="24"/>
        </w:rPr>
      </w:pPr>
    </w:p>
    <w:p w:rsidR="005001C2" w:rsidRDefault="005001C2" w:rsidP="001638F8">
      <w:pPr>
        <w:jc w:val="both"/>
        <w:outlineLvl w:val="0"/>
        <w:rPr>
          <w:rFonts w:ascii="Arial" w:hAnsi="Arial" w:cs="Arial"/>
          <w:b/>
          <w:sz w:val="24"/>
          <w:szCs w:val="24"/>
        </w:rPr>
      </w:pPr>
      <w:r>
        <w:rPr>
          <w:rFonts w:ascii="Arial" w:hAnsi="Arial" w:cs="Arial"/>
          <w:b/>
          <w:sz w:val="24"/>
          <w:szCs w:val="24"/>
        </w:rPr>
        <w:t xml:space="preserve">Subsumed </w:t>
      </w:r>
      <w:r w:rsidR="00CB22BE">
        <w:rPr>
          <w:rFonts w:ascii="Arial" w:hAnsi="Arial" w:cs="Arial"/>
          <w:b/>
          <w:sz w:val="24"/>
          <w:szCs w:val="24"/>
        </w:rPr>
        <w:t>l</w:t>
      </w:r>
      <w:r>
        <w:rPr>
          <w:rFonts w:ascii="Arial" w:hAnsi="Arial" w:cs="Arial"/>
          <w:b/>
          <w:sz w:val="24"/>
          <w:szCs w:val="24"/>
        </w:rPr>
        <w:t>iabilities</w:t>
      </w:r>
    </w:p>
    <w:p w:rsidR="00340EA5" w:rsidRDefault="00340EA5" w:rsidP="005001C2">
      <w:pPr>
        <w:rPr>
          <w:rFonts w:ascii="Arial" w:hAnsi="Arial" w:cs="Arial"/>
          <w:b/>
          <w:sz w:val="24"/>
          <w:szCs w:val="24"/>
        </w:rPr>
      </w:pPr>
    </w:p>
    <w:p w:rsidR="00EB0A88" w:rsidRPr="00935734" w:rsidRDefault="005001C2" w:rsidP="00935734">
      <w:pPr>
        <w:jc w:val="both"/>
        <w:rPr>
          <w:rFonts w:ascii="Arial" w:hAnsi="Arial" w:cs="Arial"/>
          <w:sz w:val="24"/>
          <w:szCs w:val="24"/>
        </w:rPr>
      </w:pPr>
      <w:r w:rsidRPr="00935734">
        <w:rPr>
          <w:rFonts w:ascii="Arial" w:hAnsi="Arial" w:cs="Arial"/>
          <w:sz w:val="24"/>
          <w:szCs w:val="24"/>
        </w:rPr>
        <w:t xml:space="preserve">Where an </w:t>
      </w:r>
      <w:r w:rsidR="00C5786F">
        <w:rPr>
          <w:rFonts w:ascii="Arial" w:hAnsi="Arial" w:cs="Arial"/>
          <w:sz w:val="24"/>
          <w:szCs w:val="24"/>
        </w:rPr>
        <w:t>employer</w:t>
      </w:r>
      <w:r w:rsidR="000E56F2" w:rsidRPr="00935734">
        <w:rPr>
          <w:rFonts w:ascii="Arial" w:hAnsi="Arial" w:cs="Arial"/>
          <w:sz w:val="24"/>
          <w:szCs w:val="24"/>
        </w:rPr>
        <w:t xml:space="preserve"> </w:t>
      </w:r>
      <w:r w:rsidRPr="00935734">
        <w:rPr>
          <w:rFonts w:ascii="Arial" w:hAnsi="Arial" w:cs="Arial"/>
          <w:sz w:val="24"/>
          <w:szCs w:val="24"/>
        </w:rPr>
        <w:t xml:space="preserve">is </w:t>
      </w:r>
      <w:r w:rsidR="008B5646">
        <w:rPr>
          <w:rFonts w:ascii="Arial" w:hAnsi="Arial" w:cs="Arial"/>
          <w:sz w:val="24"/>
          <w:szCs w:val="24"/>
        </w:rPr>
        <w:t>exiting</w:t>
      </w:r>
      <w:r w:rsidRPr="00935734">
        <w:rPr>
          <w:rFonts w:ascii="Arial" w:hAnsi="Arial" w:cs="Arial"/>
          <w:sz w:val="24"/>
          <w:szCs w:val="24"/>
        </w:rPr>
        <w:t xml:space="preserve"> the Fund such that it will no longer have any contributing members, it is possible that another employer in the Fund </w:t>
      </w:r>
      <w:r w:rsidR="000E0ED6" w:rsidRPr="00935734">
        <w:rPr>
          <w:rFonts w:ascii="Arial" w:hAnsi="Arial" w:cs="Arial"/>
          <w:sz w:val="24"/>
          <w:szCs w:val="24"/>
        </w:rPr>
        <w:t>(the 'accepting employer</w:t>
      </w:r>
      <w:r w:rsidR="00742D20" w:rsidRPr="00935734">
        <w:rPr>
          <w:rFonts w:ascii="Arial" w:hAnsi="Arial" w:cs="Arial"/>
          <w:sz w:val="24"/>
          <w:szCs w:val="24"/>
        </w:rPr>
        <w:t>'</w:t>
      </w:r>
      <w:r w:rsidR="000E0ED6" w:rsidRPr="00935734">
        <w:rPr>
          <w:rFonts w:ascii="Arial" w:hAnsi="Arial" w:cs="Arial"/>
          <w:sz w:val="24"/>
          <w:szCs w:val="24"/>
        </w:rPr>
        <w:t>) has agreed</w:t>
      </w:r>
      <w:r w:rsidRPr="00935734">
        <w:rPr>
          <w:rFonts w:ascii="Arial" w:hAnsi="Arial" w:cs="Arial"/>
          <w:sz w:val="24"/>
          <w:szCs w:val="24"/>
        </w:rPr>
        <w:t xml:space="preserve"> to provide a source of future funding in respect of any emerging deficiencies i</w:t>
      </w:r>
      <w:r w:rsidR="00EB0CAA" w:rsidRPr="00935734">
        <w:rPr>
          <w:rFonts w:ascii="Arial" w:hAnsi="Arial" w:cs="Arial"/>
          <w:sz w:val="24"/>
          <w:szCs w:val="24"/>
        </w:rPr>
        <w:t>n respect of those liabilities.</w:t>
      </w:r>
    </w:p>
    <w:p w:rsidR="00935734" w:rsidRDefault="00935734" w:rsidP="00935734">
      <w:pPr>
        <w:jc w:val="both"/>
        <w:rPr>
          <w:rFonts w:ascii="Arial" w:hAnsi="Arial" w:cs="Arial"/>
          <w:sz w:val="24"/>
          <w:szCs w:val="24"/>
        </w:rPr>
      </w:pPr>
    </w:p>
    <w:p w:rsidR="005001C2" w:rsidRPr="00935734" w:rsidRDefault="005001C2" w:rsidP="00935734">
      <w:pPr>
        <w:jc w:val="both"/>
        <w:rPr>
          <w:rFonts w:ascii="Arial" w:hAnsi="Arial" w:cs="Arial"/>
          <w:sz w:val="24"/>
          <w:szCs w:val="24"/>
        </w:rPr>
      </w:pPr>
      <w:r w:rsidRPr="00935734">
        <w:rPr>
          <w:rFonts w:ascii="Arial" w:hAnsi="Arial" w:cs="Arial"/>
          <w:sz w:val="24"/>
          <w:szCs w:val="24"/>
        </w:rPr>
        <w:t>In such circumstances</w:t>
      </w:r>
      <w:r w:rsidR="008745D0">
        <w:rPr>
          <w:rFonts w:ascii="Arial" w:hAnsi="Arial" w:cs="Arial"/>
          <w:sz w:val="24"/>
          <w:szCs w:val="24"/>
        </w:rPr>
        <w:t>,</w:t>
      </w:r>
      <w:r w:rsidRPr="00935734">
        <w:rPr>
          <w:rFonts w:ascii="Arial" w:hAnsi="Arial" w:cs="Arial"/>
          <w:sz w:val="24"/>
          <w:szCs w:val="24"/>
        </w:rPr>
        <w:t xml:space="preserve"> the liabilities are known as subsumed liabilities (in that responsibility for them is </w:t>
      </w:r>
      <w:r w:rsidR="00283506">
        <w:rPr>
          <w:rFonts w:ascii="Arial" w:hAnsi="Arial" w:cs="Arial"/>
          <w:sz w:val="24"/>
          <w:szCs w:val="24"/>
        </w:rPr>
        <w:t>taken on</w:t>
      </w:r>
      <w:r w:rsidR="00283506" w:rsidRPr="00935734">
        <w:rPr>
          <w:rFonts w:ascii="Arial" w:hAnsi="Arial" w:cs="Arial"/>
          <w:sz w:val="24"/>
          <w:szCs w:val="24"/>
        </w:rPr>
        <w:t xml:space="preserve"> </w:t>
      </w:r>
      <w:r w:rsidRPr="00935734">
        <w:rPr>
          <w:rFonts w:ascii="Arial" w:hAnsi="Arial" w:cs="Arial"/>
          <w:sz w:val="24"/>
          <w:szCs w:val="24"/>
        </w:rPr>
        <w:t xml:space="preserve">by the accepting employer). </w:t>
      </w:r>
      <w:r w:rsidR="00CB22BE">
        <w:rPr>
          <w:rFonts w:ascii="Arial" w:hAnsi="Arial" w:cs="Arial"/>
          <w:sz w:val="24"/>
          <w:szCs w:val="24"/>
        </w:rPr>
        <w:t xml:space="preserve"> </w:t>
      </w:r>
      <w:r w:rsidRPr="00935734">
        <w:rPr>
          <w:rFonts w:ascii="Arial" w:hAnsi="Arial" w:cs="Arial"/>
          <w:sz w:val="24"/>
          <w:szCs w:val="24"/>
        </w:rPr>
        <w:t xml:space="preserve">For such liabilities the </w:t>
      </w:r>
      <w:r w:rsidR="00CD42B5">
        <w:rPr>
          <w:rFonts w:ascii="Arial" w:hAnsi="Arial" w:cs="Arial"/>
          <w:sz w:val="24"/>
          <w:szCs w:val="24"/>
        </w:rPr>
        <w:t>a</w:t>
      </w:r>
      <w:r w:rsidR="009B2027">
        <w:rPr>
          <w:rFonts w:ascii="Arial" w:hAnsi="Arial" w:cs="Arial"/>
          <w:sz w:val="24"/>
          <w:szCs w:val="24"/>
        </w:rPr>
        <w:t>dministering authority</w:t>
      </w:r>
      <w:r w:rsidRPr="00935734">
        <w:rPr>
          <w:rFonts w:ascii="Arial" w:hAnsi="Arial" w:cs="Arial"/>
          <w:sz w:val="24"/>
          <w:szCs w:val="24"/>
        </w:rPr>
        <w:t xml:space="preserve"> will assume that the investments held in respect of those liabilities will be the same as those held for the rest of the liabilities of the accepting employer.</w:t>
      </w:r>
      <w:r w:rsidR="00CB22BE">
        <w:rPr>
          <w:rFonts w:ascii="Arial" w:hAnsi="Arial" w:cs="Arial"/>
          <w:sz w:val="24"/>
          <w:szCs w:val="24"/>
        </w:rPr>
        <w:t xml:space="preserve"> </w:t>
      </w:r>
      <w:r w:rsidRPr="00935734">
        <w:rPr>
          <w:rFonts w:ascii="Arial" w:hAnsi="Arial" w:cs="Arial"/>
          <w:sz w:val="24"/>
          <w:szCs w:val="24"/>
        </w:rPr>
        <w:t xml:space="preserve"> Generally</w:t>
      </w:r>
      <w:r w:rsidR="008745D0">
        <w:rPr>
          <w:rFonts w:ascii="Arial" w:hAnsi="Arial" w:cs="Arial"/>
          <w:sz w:val="24"/>
          <w:szCs w:val="24"/>
        </w:rPr>
        <w:t>,</w:t>
      </w:r>
      <w:r w:rsidRPr="00935734">
        <w:rPr>
          <w:rFonts w:ascii="Arial" w:hAnsi="Arial" w:cs="Arial"/>
          <w:sz w:val="24"/>
          <w:szCs w:val="24"/>
        </w:rPr>
        <w:t xml:space="preserve"> this will mean assuming continued investment in more risky investments than Government bonds.</w:t>
      </w:r>
    </w:p>
    <w:p w:rsidR="005001C2" w:rsidRPr="00935734" w:rsidRDefault="005001C2" w:rsidP="00935734">
      <w:pPr>
        <w:jc w:val="both"/>
        <w:rPr>
          <w:rFonts w:ascii="Arial" w:hAnsi="Arial" w:cs="Arial"/>
          <w:sz w:val="24"/>
          <w:szCs w:val="24"/>
        </w:rPr>
      </w:pPr>
    </w:p>
    <w:p w:rsidR="005001C2" w:rsidRDefault="005001C2" w:rsidP="001638F8">
      <w:pPr>
        <w:jc w:val="both"/>
        <w:outlineLvl w:val="0"/>
        <w:rPr>
          <w:rFonts w:ascii="Arial" w:hAnsi="Arial" w:cs="Arial"/>
          <w:b/>
          <w:sz w:val="24"/>
          <w:szCs w:val="24"/>
        </w:rPr>
      </w:pPr>
      <w:r>
        <w:rPr>
          <w:rFonts w:ascii="Arial" w:hAnsi="Arial" w:cs="Arial"/>
          <w:b/>
          <w:sz w:val="24"/>
          <w:szCs w:val="24"/>
        </w:rPr>
        <w:t xml:space="preserve">Orphan </w:t>
      </w:r>
      <w:r w:rsidR="00CB22BE">
        <w:rPr>
          <w:rFonts w:ascii="Arial" w:hAnsi="Arial" w:cs="Arial"/>
          <w:b/>
          <w:sz w:val="24"/>
          <w:szCs w:val="24"/>
        </w:rPr>
        <w:t>l</w:t>
      </w:r>
      <w:r>
        <w:rPr>
          <w:rFonts w:ascii="Arial" w:hAnsi="Arial" w:cs="Arial"/>
          <w:b/>
          <w:sz w:val="24"/>
          <w:szCs w:val="24"/>
        </w:rPr>
        <w:t>iabilities</w:t>
      </w:r>
    </w:p>
    <w:p w:rsidR="005001C2" w:rsidRDefault="005001C2" w:rsidP="005001C2">
      <w:pPr>
        <w:rPr>
          <w:rFonts w:ascii="Arial" w:hAnsi="Arial" w:cs="Arial"/>
          <w:b/>
          <w:sz w:val="24"/>
          <w:szCs w:val="24"/>
        </w:rPr>
      </w:pPr>
    </w:p>
    <w:p w:rsidR="005001C2" w:rsidRPr="00935734" w:rsidRDefault="005001C2" w:rsidP="00935734">
      <w:pPr>
        <w:jc w:val="both"/>
        <w:rPr>
          <w:rFonts w:ascii="Arial" w:hAnsi="Arial" w:cs="Arial"/>
          <w:sz w:val="24"/>
          <w:szCs w:val="24"/>
        </w:rPr>
      </w:pPr>
      <w:r w:rsidRPr="00935734">
        <w:rPr>
          <w:rFonts w:ascii="Arial" w:hAnsi="Arial" w:cs="Arial"/>
          <w:sz w:val="24"/>
          <w:szCs w:val="24"/>
        </w:rPr>
        <w:t xml:space="preserve">Where an </w:t>
      </w:r>
      <w:r w:rsidR="00C5786F">
        <w:rPr>
          <w:rFonts w:ascii="Arial" w:hAnsi="Arial" w:cs="Arial"/>
          <w:sz w:val="24"/>
          <w:szCs w:val="24"/>
        </w:rPr>
        <w:t>employer</w:t>
      </w:r>
      <w:r w:rsidRPr="00935734">
        <w:rPr>
          <w:rFonts w:ascii="Arial" w:hAnsi="Arial" w:cs="Arial"/>
          <w:sz w:val="24"/>
          <w:szCs w:val="24"/>
        </w:rPr>
        <w:t xml:space="preserve"> is </w:t>
      </w:r>
      <w:r w:rsidR="008B5646">
        <w:rPr>
          <w:rFonts w:ascii="Arial" w:hAnsi="Arial" w:cs="Arial"/>
          <w:sz w:val="24"/>
          <w:szCs w:val="24"/>
        </w:rPr>
        <w:t>exiting</w:t>
      </w:r>
      <w:r w:rsidRPr="00935734">
        <w:rPr>
          <w:rFonts w:ascii="Arial" w:hAnsi="Arial" w:cs="Arial"/>
          <w:sz w:val="24"/>
          <w:szCs w:val="24"/>
        </w:rPr>
        <w:t xml:space="preserve"> the Fund such that it will no longer have any contributing members, unless any residual liabilities are to become subsumed liabilities, the </w:t>
      </w:r>
      <w:r w:rsidR="00CD42B5">
        <w:rPr>
          <w:rFonts w:ascii="Arial" w:hAnsi="Arial" w:cs="Arial"/>
          <w:sz w:val="24"/>
          <w:szCs w:val="24"/>
        </w:rPr>
        <w:t>a</w:t>
      </w:r>
      <w:r w:rsidR="009B2027">
        <w:rPr>
          <w:rFonts w:ascii="Arial" w:hAnsi="Arial" w:cs="Arial"/>
          <w:sz w:val="24"/>
          <w:szCs w:val="24"/>
        </w:rPr>
        <w:t>dministering authority</w:t>
      </w:r>
      <w:r w:rsidRPr="00935734">
        <w:rPr>
          <w:rFonts w:ascii="Arial" w:hAnsi="Arial" w:cs="Arial"/>
          <w:sz w:val="24"/>
          <w:szCs w:val="24"/>
        </w:rPr>
        <w:t xml:space="preserve"> </w:t>
      </w:r>
      <w:r w:rsidR="001D344B" w:rsidRPr="00935734">
        <w:rPr>
          <w:rFonts w:ascii="Arial" w:hAnsi="Arial" w:cs="Arial"/>
          <w:sz w:val="24"/>
          <w:szCs w:val="24"/>
        </w:rPr>
        <w:t xml:space="preserve">may </w:t>
      </w:r>
      <w:r w:rsidRPr="00935734">
        <w:rPr>
          <w:rFonts w:ascii="Arial" w:hAnsi="Arial" w:cs="Arial"/>
          <w:sz w:val="24"/>
          <w:szCs w:val="24"/>
        </w:rPr>
        <w:t xml:space="preserve">act on the basis that it will have no further access for funding from that employer once any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 xml:space="preserve">valuation, carried out in accordance with </w:t>
      </w:r>
      <w:r w:rsidR="0025436E">
        <w:rPr>
          <w:rFonts w:ascii="Arial" w:hAnsi="Arial" w:cs="Arial"/>
          <w:sz w:val="24"/>
          <w:szCs w:val="24"/>
        </w:rPr>
        <w:t>Regulation 64 of the 2013 Regulations</w:t>
      </w:r>
      <w:r w:rsidRPr="00935734">
        <w:rPr>
          <w:rFonts w:ascii="Arial" w:hAnsi="Arial" w:cs="Arial"/>
          <w:sz w:val="24"/>
          <w:szCs w:val="24"/>
        </w:rPr>
        <w:t xml:space="preserve">, has been completed and any sums due have been paid. </w:t>
      </w:r>
      <w:r w:rsidR="00CB22BE">
        <w:rPr>
          <w:rFonts w:ascii="Arial" w:hAnsi="Arial" w:cs="Arial"/>
          <w:sz w:val="24"/>
          <w:szCs w:val="24"/>
        </w:rPr>
        <w:t xml:space="preserve"> </w:t>
      </w:r>
      <w:r w:rsidRPr="00935734">
        <w:rPr>
          <w:rFonts w:ascii="Arial" w:hAnsi="Arial" w:cs="Arial"/>
          <w:sz w:val="24"/>
          <w:szCs w:val="24"/>
        </w:rPr>
        <w:t>Residual liabilities of employers from whom no further funding can be obtained are known as orphan liabilities.</w:t>
      </w:r>
    </w:p>
    <w:p w:rsidR="00935734" w:rsidRDefault="00935734" w:rsidP="00935734">
      <w:pPr>
        <w:jc w:val="both"/>
        <w:rPr>
          <w:rFonts w:ascii="Arial" w:hAnsi="Arial" w:cs="Arial"/>
          <w:sz w:val="24"/>
          <w:szCs w:val="24"/>
        </w:rPr>
      </w:pPr>
    </w:p>
    <w:p w:rsidR="005001C2" w:rsidRPr="00935734" w:rsidRDefault="005001C2" w:rsidP="00935734">
      <w:pPr>
        <w:jc w:val="both"/>
        <w:rPr>
          <w:rFonts w:ascii="Arial" w:hAnsi="Arial" w:cs="Arial"/>
          <w:sz w:val="24"/>
          <w:szCs w:val="24"/>
        </w:rPr>
      </w:pPr>
      <w:r w:rsidRPr="00935734">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935734">
        <w:rPr>
          <w:rFonts w:ascii="Arial" w:hAnsi="Arial" w:cs="Arial"/>
          <w:sz w:val="24"/>
          <w:szCs w:val="24"/>
        </w:rPr>
        <w:t xml:space="preserve"> will seek to minimise the risk to other employers in the Fund that any deficiency aris</w:t>
      </w:r>
      <w:r w:rsidR="000E0ED6" w:rsidRPr="00935734">
        <w:rPr>
          <w:rFonts w:ascii="Arial" w:hAnsi="Arial" w:cs="Arial"/>
          <w:sz w:val="24"/>
          <w:szCs w:val="24"/>
        </w:rPr>
        <w:t>ing</w:t>
      </w:r>
      <w:r w:rsidRPr="00935734">
        <w:rPr>
          <w:rFonts w:ascii="Arial" w:hAnsi="Arial" w:cs="Arial"/>
          <w:sz w:val="24"/>
          <w:szCs w:val="24"/>
        </w:rPr>
        <w:t xml:space="preserve"> on the orphan liabilities creates a cost for those other employers to make good </w:t>
      </w:r>
      <w:r w:rsidR="000E0ED6" w:rsidRPr="00935734">
        <w:rPr>
          <w:rFonts w:ascii="Arial" w:hAnsi="Arial" w:cs="Arial"/>
          <w:sz w:val="24"/>
          <w:szCs w:val="24"/>
        </w:rPr>
        <w:t>such</w:t>
      </w:r>
      <w:r w:rsidRPr="00935734">
        <w:rPr>
          <w:rFonts w:ascii="Arial" w:hAnsi="Arial" w:cs="Arial"/>
          <w:sz w:val="24"/>
          <w:szCs w:val="24"/>
        </w:rPr>
        <w:t xml:space="preserve"> deficiency. </w:t>
      </w:r>
      <w:r w:rsidR="00CB22BE">
        <w:rPr>
          <w:rFonts w:ascii="Arial" w:hAnsi="Arial" w:cs="Arial"/>
          <w:sz w:val="24"/>
          <w:szCs w:val="24"/>
        </w:rPr>
        <w:t xml:space="preserve"> </w:t>
      </w:r>
      <w:r w:rsidRPr="00935734">
        <w:rPr>
          <w:rFonts w:ascii="Arial" w:hAnsi="Arial" w:cs="Arial"/>
          <w:sz w:val="24"/>
          <w:szCs w:val="24"/>
        </w:rPr>
        <w:t xml:space="preserve">To give effect to this, the </w:t>
      </w:r>
      <w:r w:rsidR="00CD42B5">
        <w:rPr>
          <w:rFonts w:ascii="Arial" w:hAnsi="Arial" w:cs="Arial"/>
          <w:sz w:val="24"/>
          <w:szCs w:val="24"/>
        </w:rPr>
        <w:t>a</w:t>
      </w:r>
      <w:r w:rsidR="009B2027">
        <w:rPr>
          <w:rFonts w:ascii="Arial" w:hAnsi="Arial" w:cs="Arial"/>
          <w:sz w:val="24"/>
          <w:szCs w:val="24"/>
        </w:rPr>
        <w:t>dministering authority</w:t>
      </w:r>
      <w:r w:rsidRPr="00935734">
        <w:rPr>
          <w:rFonts w:ascii="Arial" w:hAnsi="Arial" w:cs="Arial"/>
          <w:sz w:val="24"/>
          <w:szCs w:val="24"/>
        </w:rPr>
        <w:t xml:space="preserve"> </w:t>
      </w:r>
      <w:r w:rsidR="001D344B" w:rsidRPr="00935734">
        <w:rPr>
          <w:rFonts w:ascii="Arial" w:hAnsi="Arial" w:cs="Arial"/>
          <w:sz w:val="24"/>
          <w:szCs w:val="24"/>
        </w:rPr>
        <w:t xml:space="preserve">may </w:t>
      </w:r>
      <w:r w:rsidRPr="00935734">
        <w:rPr>
          <w:rFonts w:ascii="Arial" w:hAnsi="Arial" w:cs="Arial"/>
          <w:sz w:val="24"/>
          <w:szCs w:val="24"/>
        </w:rPr>
        <w:t>seek funding from the outgoing employer sufficient to enable it to match the liabilities with low risk investments, generally Government fixed interest and index linked bonds.</w:t>
      </w:r>
    </w:p>
    <w:p w:rsidR="00935734" w:rsidRDefault="00935734" w:rsidP="00935734">
      <w:pPr>
        <w:jc w:val="both"/>
        <w:rPr>
          <w:rFonts w:ascii="Arial" w:hAnsi="Arial" w:cs="Arial"/>
          <w:sz w:val="24"/>
          <w:szCs w:val="24"/>
        </w:rPr>
      </w:pPr>
    </w:p>
    <w:p w:rsidR="001D344B" w:rsidRPr="00935734" w:rsidRDefault="001D344B" w:rsidP="00935734">
      <w:pPr>
        <w:jc w:val="both"/>
        <w:rPr>
          <w:rFonts w:ascii="Arial" w:hAnsi="Arial" w:cs="Arial"/>
          <w:sz w:val="24"/>
          <w:szCs w:val="24"/>
        </w:rPr>
      </w:pPr>
      <w:r w:rsidRPr="00121B2F">
        <w:rPr>
          <w:rFonts w:ascii="Arial" w:hAnsi="Arial" w:cs="Arial"/>
          <w:sz w:val="24"/>
          <w:szCs w:val="24"/>
        </w:rPr>
        <w:t xml:space="preserve">However, if these liabilities are deemed to be small compared to the liabilities of the whole Fund </w:t>
      </w:r>
      <w:r w:rsidR="00583339" w:rsidRPr="00121B2F">
        <w:rPr>
          <w:rFonts w:ascii="Arial" w:hAnsi="Arial" w:cs="Arial"/>
          <w:sz w:val="24"/>
          <w:szCs w:val="24"/>
        </w:rPr>
        <w:t>(</w:t>
      </w:r>
      <w:r w:rsidRPr="00121B2F">
        <w:rPr>
          <w:rFonts w:ascii="Arial" w:hAnsi="Arial" w:cs="Arial"/>
          <w:sz w:val="24"/>
          <w:szCs w:val="24"/>
        </w:rPr>
        <w:t>and therefore the risk related to these liabilities is small</w:t>
      </w:r>
      <w:r w:rsidR="00583339" w:rsidRPr="00121B2F">
        <w:rPr>
          <w:rFonts w:ascii="Arial" w:hAnsi="Arial" w:cs="Arial"/>
          <w:sz w:val="24"/>
          <w:szCs w:val="24"/>
        </w:rPr>
        <w:t>)</w:t>
      </w:r>
      <w:r w:rsidRPr="00121B2F">
        <w:rPr>
          <w:rFonts w:ascii="Arial" w:hAnsi="Arial" w:cs="Arial"/>
          <w:sz w:val="24"/>
          <w:szCs w:val="24"/>
        </w:rPr>
        <w:t xml:space="preserve"> then the </w:t>
      </w:r>
      <w:r w:rsidR="00CD42B5">
        <w:rPr>
          <w:rFonts w:ascii="Arial" w:hAnsi="Arial" w:cs="Arial"/>
          <w:sz w:val="24"/>
          <w:szCs w:val="24"/>
        </w:rPr>
        <w:t>a</w:t>
      </w:r>
      <w:r w:rsidR="009B2027">
        <w:rPr>
          <w:rFonts w:ascii="Arial" w:hAnsi="Arial" w:cs="Arial"/>
          <w:sz w:val="24"/>
          <w:szCs w:val="24"/>
        </w:rPr>
        <w:t>dministering authority</w:t>
      </w:r>
      <w:r w:rsidRPr="00121B2F">
        <w:rPr>
          <w:rFonts w:ascii="Arial" w:hAnsi="Arial" w:cs="Arial"/>
          <w:sz w:val="24"/>
          <w:szCs w:val="24"/>
        </w:rPr>
        <w:t xml:space="preserve"> may decide to use the Funding Target used for Scheduled Bodies</w:t>
      </w:r>
      <w:r w:rsidR="00583339" w:rsidRPr="00121B2F">
        <w:rPr>
          <w:rFonts w:ascii="Arial" w:hAnsi="Arial" w:cs="Arial"/>
          <w:sz w:val="24"/>
          <w:szCs w:val="24"/>
        </w:rPr>
        <w:t xml:space="preserve"> for practical reasons</w:t>
      </w:r>
      <w:r w:rsidRPr="00121B2F">
        <w:rPr>
          <w:rFonts w:ascii="Arial" w:hAnsi="Arial" w:cs="Arial"/>
          <w:sz w:val="24"/>
          <w:szCs w:val="24"/>
        </w:rPr>
        <w:t>.</w:t>
      </w:r>
    </w:p>
    <w:p w:rsidR="00935734" w:rsidRDefault="00935734" w:rsidP="00935734">
      <w:pPr>
        <w:jc w:val="both"/>
        <w:rPr>
          <w:rFonts w:ascii="Arial" w:hAnsi="Arial" w:cs="Arial"/>
          <w:sz w:val="24"/>
          <w:szCs w:val="24"/>
        </w:rPr>
      </w:pPr>
    </w:p>
    <w:p w:rsidR="00677A07" w:rsidRPr="00935734" w:rsidRDefault="00677A07" w:rsidP="00935734">
      <w:pPr>
        <w:jc w:val="both"/>
        <w:rPr>
          <w:rFonts w:ascii="Arial" w:hAnsi="Arial" w:cs="Arial"/>
          <w:sz w:val="24"/>
          <w:szCs w:val="24"/>
        </w:rPr>
      </w:pPr>
      <w:r w:rsidRPr="005810F5">
        <w:rPr>
          <w:rFonts w:ascii="Arial" w:hAnsi="Arial" w:cs="Arial"/>
          <w:sz w:val="24"/>
          <w:szCs w:val="24"/>
        </w:rPr>
        <w:t xml:space="preserve">Any excess or deficient returns on the notional or actual assets attributable to these liabilities relative to the Funding </w:t>
      </w:r>
      <w:proofErr w:type="gramStart"/>
      <w:r w:rsidRPr="005810F5">
        <w:rPr>
          <w:rFonts w:ascii="Arial" w:hAnsi="Arial" w:cs="Arial"/>
          <w:sz w:val="24"/>
          <w:szCs w:val="24"/>
        </w:rPr>
        <w:t>Target</w:t>
      </w:r>
      <w:r w:rsidR="008745D0">
        <w:rPr>
          <w:rFonts w:ascii="Arial" w:hAnsi="Arial" w:cs="Arial"/>
          <w:sz w:val="24"/>
          <w:szCs w:val="24"/>
        </w:rPr>
        <w:t>,</w:t>
      </w:r>
      <w:proofErr w:type="gramEnd"/>
      <w:r w:rsidRPr="005810F5">
        <w:rPr>
          <w:rFonts w:ascii="Arial" w:hAnsi="Arial" w:cs="Arial"/>
          <w:sz w:val="24"/>
          <w:szCs w:val="24"/>
        </w:rPr>
        <w:t xml:space="preserve"> will be added to or deducted from the investment return to be attributed to the notional assets of all employers in the Fund.</w:t>
      </w:r>
    </w:p>
    <w:p w:rsidR="000D24DD" w:rsidRDefault="000D24DD" w:rsidP="001638F8">
      <w:pPr>
        <w:jc w:val="both"/>
        <w:outlineLvl w:val="0"/>
        <w:rPr>
          <w:rFonts w:ascii="Arial" w:hAnsi="Arial" w:cs="Arial"/>
          <w:b/>
          <w:sz w:val="24"/>
          <w:szCs w:val="24"/>
        </w:rPr>
      </w:pPr>
    </w:p>
    <w:p w:rsidR="005001C2" w:rsidRPr="005001C2" w:rsidRDefault="00FF08B7" w:rsidP="001638F8">
      <w:pPr>
        <w:jc w:val="both"/>
        <w:outlineLvl w:val="0"/>
        <w:rPr>
          <w:rFonts w:ascii="Arial" w:hAnsi="Arial" w:cs="Arial"/>
          <w:b/>
          <w:sz w:val="24"/>
          <w:szCs w:val="24"/>
        </w:rPr>
      </w:pPr>
      <w:r>
        <w:rPr>
          <w:rFonts w:ascii="Arial" w:hAnsi="Arial" w:cs="Arial"/>
          <w:b/>
          <w:sz w:val="24"/>
          <w:szCs w:val="24"/>
        </w:rPr>
        <w:t>Exit</w:t>
      </w:r>
      <w:r w:rsidRPr="005001C2">
        <w:rPr>
          <w:rFonts w:ascii="Arial" w:hAnsi="Arial" w:cs="Arial"/>
          <w:b/>
          <w:sz w:val="24"/>
          <w:szCs w:val="24"/>
        </w:rPr>
        <w:t xml:space="preserve"> </w:t>
      </w:r>
      <w:r w:rsidR="00CB22BE">
        <w:rPr>
          <w:rFonts w:ascii="Arial" w:hAnsi="Arial" w:cs="Arial"/>
          <w:b/>
          <w:sz w:val="24"/>
          <w:szCs w:val="24"/>
        </w:rPr>
        <w:t>v</w:t>
      </w:r>
      <w:r w:rsidR="005001C2" w:rsidRPr="005001C2">
        <w:rPr>
          <w:rFonts w:ascii="Arial" w:hAnsi="Arial" w:cs="Arial"/>
          <w:b/>
          <w:sz w:val="24"/>
          <w:szCs w:val="24"/>
        </w:rPr>
        <w:t>aluations</w:t>
      </w:r>
    </w:p>
    <w:p w:rsidR="005001C2" w:rsidRDefault="005001C2" w:rsidP="005001C2">
      <w:pPr>
        <w:rPr>
          <w:rFonts w:ascii="Arial" w:hAnsi="Arial" w:cs="Arial"/>
          <w:sz w:val="24"/>
          <w:szCs w:val="24"/>
        </w:rPr>
      </w:pPr>
    </w:p>
    <w:p w:rsidR="005001C2" w:rsidRPr="00935734" w:rsidRDefault="005001C2" w:rsidP="00935734">
      <w:pPr>
        <w:jc w:val="both"/>
        <w:rPr>
          <w:rFonts w:ascii="Arial" w:hAnsi="Arial" w:cs="Arial"/>
          <w:sz w:val="24"/>
          <w:szCs w:val="24"/>
        </w:rPr>
      </w:pPr>
      <w:r w:rsidRPr="00935734">
        <w:rPr>
          <w:rFonts w:ascii="Arial" w:hAnsi="Arial" w:cs="Arial"/>
          <w:sz w:val="24"/>
          <w:szCs w:val="24"/>
        </w:rPr>
        <w:t xml:space="preserve">Where an </w:t>
      </w:r>
      <w:r w:rsidR="00A316D2">
        <w:rPr>
          <w:rFonts w:ascii="Arial" w:hAnsi="Arial" w:cs="Arial"/>
          <w:sz w:val="24"/>
          <w:szCs w:val="24"/>
        </w:rPr>
        <w:t>employer</w:t>
      </w:r>
      <w:r w:rsidRPr="00935734">
        <w:rPr>
          <w:rFonts w:ascii="Arial" w:hAnsi="Arial" w:cs="Arial"/>
          <w:sz w:val="24"/>
          <w:szCs w:val="24"/>
        </w:rPr>
        <w:t xml:space="preserve"> </w:t>
      </w:r>
      <w:r w:rsidR="008B5646">
        <w:rPr>
          <w:rFonts w:ascii="Arial" w:hAnsi="Arial" w:cs="Arial"/>
          <w:sz w:val="24"/>
          <w:szCs w:val="24"/>
        </w:rPr>
        <w:t>exits the Fund</w:t>
      </w:r>
      <w:r w:rsidRPr="00935734">
        <w:rPr>
          <w:rFonts w:ascii="Arial" w:hAnsi="Arial" w:cs="Arial"/>
          <w:sz w:val="24"/>
          <w:szCs w:val="24"/>
        </w:rPr>
        <w:t>, a</w:t>
      </w:r>
      <w:r w:rsidR="00FF08B7">
        <w:rPr>
          <w:rFonts w:ascii="Arial" w:hAnsi="Arial" w:cs="Arial"/>
          <w:sz w:val="24"/>
          <w:szCs w:val="24"/>
        </w:rPr>
        <w:t>n exit</w:t>
      </w:r>
      <w:r w:rsidRPr="00935734">
        <w:rPr>
          <w:rFonts w:ascii="Arial" w:hAnsi="Arial" w:cs="Arial"/>
          <w:sz w:val="24"/>
          <w:szCs w:val="24"/>
        </w:rPr>
        <w:t xml:space="preserve"> valuation will be carried out </w:t>
      </w:r>
      <w:r w:rsidR="002F0D38">
        <w:rPr>
          <w:rFonts w:ascii="Arial" w:hAnsi="Arial" w:cs="Arial"/>
          <w:sz w:val="24"/>
          <w:szCs w:val="24"/>
        </w:rPr>
        <w:t>(</w:t>
      </w:r>
      <w:r w:rsidRPr="00935734">
        <w:rPr>
          <w:rFonts w:ascii="Arial" w:hAnsi="Arial" w:cs="Arial"/>
          <w:sz w:val="24"/>
          <w:szCs w:val="24"/>
        </w:rPr>
        <w:t xml:space="preserve">in accordance with </w:t>
      </w:r>
      <w:r w:rsidR="0025436E">
        <w:rPr>
          <w:rFonts w:ascii="Arial" w:hAnsi="Arial" w:cs="Arial"/>
          <w:sz w:val="24"/>
          <w:szCs w:val="24"/>
        </w:rPr>
        <w:t>Regulation 64 of the 2013 Regulations)</w:t>
      </w:r>
      <w:r w:rsidRPr="00935734">
        <w:rPr>
          <w:rFonts w:ascii="Arial" w:hAnsi="Arial" w:cs="Arial"/>
          <w:sz w:val="24"/>
          <w:szCs w:val="24"/>
        </w:rPr>
        <w:t xml:space="preserve">. </w:t>
      </w:r>
      <w:r w:rsidR="00CB22BE">
        <w:rPr>
          <w:rFonts w:ascii="Arial" w:hAnsi="Arial" w:cs="Arial"/>
          <w:sz w:val="24"/>
          <w:szCs w:val="24"/>
        </w:rPr>
        <w:t xml:space="preserve"> </w:t>
      </w:r>
      <w:r w:rsidRPr="00935734">
        <w:rPr>
          <w:rFonts w:ascii="Arial" w:hAnsi="Arial" w:cs="Arial"/>
          <w:sz w:val="24"/>
          <w:szCs w:val="24"/>
        </w:rPr>
        <w:t xml:space="preserve">That valuation will take account of any activity as a consequence of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regarding any existing contributing members (for example any bulk transfer payments due) and the status of any liabilities that will remain in the Fund.</w:t>
      </w:r>
    </w:p>
    <w:p w:rsidR="005D6301" w:rsidRDefault="005D6301" w:rsidP="00935734">
      <w:pPr>
        <w:jc w:val="both"/>
        <w:rPr>
          <w:rFonts w:ascii="Arial" w:hAnsi="Arial" w:cs="Arial"/>
          <w:sz w:val="24"/>
          <w:szCs w:val="24"/>
        </w:rPr>
      </w:pPr>
    </w:p>
    <w:p w:rsidR="00677A07" w:rsidRPr="00935734" w:rsidRDefault="005001C2" w:rsidP="00935734">
      <w:pPr>
        <w:jc w:val="both"/>
        <w:rPr>
          <w:rFonts w:ascii="Arial" w:hAnsi="Arial" w:cs="Arial"/>
          <w:sz w:val="24"/>
          <w:szCs w:val="24"/>
        </w:rPr>
      </w:pPr>
      <w:r w:rsidRPr="00935734">
        <w:rPr>
          <w:rFonts w:ascii="Arial" w:hAnsi="Arial" w:cs="Arial"/>
          <w:sz w:val="24"/>
          <w:szCs w:val="24"/>
        </w:rPr>
        <w:lastRenderedPageBreak/>
        <w:t xml:space="preserve">In particular, the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 xml:space="preserve">valuation </w:t>
      </w:r>
      <w:r w:rsidR="001D344B" w:rsidRPr="00935734">
        <w:rPr>
          <w:rFonts w:ascii="Arial" w:hAnsi="Arial" w:cs="Arial"/>
          <w:sz w:val="24"/>
          <w:szCs w:val="24"/>
        </w:rPr>
        <w:t xml:space="preserve">may </w:t>
      </w:r>
      <w:r w:rsidRPr="00935734">
        <w:rPr>
          <w:rFonts w:ascii="Arial" w:hAnsi="Arial" w:cs="Arial"/>
          <w:sz w:val="24"/>
          <w:szCs w:val="24"/>
        </w:rPr>
        <w:t xml:space="preserve">distinguish between residual liabilities which will become orphan liabilities, and liabilities which will be subsumed </w:t>
      </w:r>
      <w:r w:rsidR="000E0ED6" w:rsidRPr="00935734">
        <w:rPr>
          <w:rFonts w:ascii="Arial" w:hAnsi="Arial" w:cs="Arial"/>
          <w:sz w:val="24"/>
          <w:szCs w:val="24"/>
        </w:rPr>
        <w:t xml:space="preserve">(see above) </w:t>
      </w:r>
      <w:r w:rsidRPr="00935734">
        <w:rPr>
          <w:rFonts w:ascii="Arial" w:hAnsi="Arial" w:cs="Arial"/>
          <w:sz w:val="24"/>
          <w:szCs w:val="24"/>
        </w:rPr>
        <w:t xml:space="preserve">by other employers. </w:t>
      </w:r>
    </w:p>
    <w:p w:rsidR="005D6301" w:rsidRDefault="005D6301" w:rsidP="00935734">
      <w:pPr>
        <w:jc w:val="both"/>
        <w:rPr>
          <w:rFonts w:ascii="Arial" w:hAnsi="Arial" w:cs="Arial"/>
          <w:sz w:val="24"/>
          <w:szCs w:val="24"/>
        </w:rPr>
      </w:pPr>
    </w:p>
    <w:p w:rsidR="00677A07" w:rsidRPr="00935734" w:rsidRDefault="00677A07" w:rsidP="00935734">
      <w:pPr>
        <w:jc w:val="both"/>
        <w:rPr>
          <w:rFonts w:ascii="Arial" w:hAnsi="Arial" w:cs="Arial"/>
          <w:sz w:val="24"/>
          <w:szCs w:val="24"/>
        </w:rPr>
      </w:pPr>
      <w:r w:rsidRPr="00935734">
        <w:rPr>
          <w:rFonts w:ascii="Arial" w:hAnsi="Arial" w:cs="Arial"/>
          <w:sz w:val="24"/>
          <w:szCs w:val="24"/>
        </w:rPr>
        <w:t>For subsumed liabilities</w:t>
      </w:r>
      <w:r w:rsidR="008745D0">
        <w:rPr>
          <w:rFonts w:ascii="Arial" w:hAnsi="Arial" w:cs="Arial"/>
          <w:sz w:val="24"/>
          <w:szCs w:val="24"/>
        </w:rPr>
        <w:t>,</w:t>
      </w:r>
      <w:r w:rsidRPr="00935734">
        <w:rPr>
          <w:rFonts w:ascii="Arial" w:hAnsi="Arial" w:cs="Arial"/>
          <w:sz w:val="24"/>
          <w:szCs w:val="24"/>
        </w:rPr>
        <w:t xml:space="preserve"> the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valuation will anticipate continued investment in assets similar to those held in respect of the subsuming employer's liabilities.</w:t>
      </w:r>
    </w:p>
    <w:p w:rsidR="005D6301" w:rsidRDefault="005D6301" w:rsidP="00935734">
      <w:pPr>
        <w:jc w:val="both"/>
        <w:rPr>
          <w:rFonts w:ascii="Arial" w:hAnsi="Arial" w:cs="Arial"/>
          <w:sz w:val="24"/>
          <w:szCs w:val="24"/>
        </w:rPr>
      </w:pPr>
    </w:p>
    <w:p w:rsidR="00EB0A88" w:rsidRDefault="005001C2" w:rsidP="00935734">
      <w:pPr>
        <w:jc w:val="both"/>
        <w:rPr>
          <w:rFonts w:ascii="Arial" w:hAnsi="Arial" w:cs="Arial"/>
          <w:sz w:val="24"/>
          <w:szCs w:val="24"/>
        </w:rPr>
      </w:pPr>
      <w:r w:rsidRPr="00935734">
        <w:rPr>
          <w:rFonts w:ascii="Arial" w:hAnsi="Arial" w:cs="Arial"/>
          <w:sz w:val="24"/>
          <w:szCs w:val="24"/>
        </w:rPr>
        <w:t xml:space="preserve">For orphan liabilities the </w:t>
      </w:r>
      <w:r w:rsidR="00256A99">
        <w:rPr>
          <w:rFonts w:ascii="Arial" w:hAnsi="Arial" w:cs="Arial"/>
          <w:sz w:val="24"/>
          <w:szCs w:val="24"/>
        </w:rPr>
        <w:t>F</w:t>
      </w:r>
      <w:r w:rsidRPr="00935734">
        <w:rPr>
          <w:rFonts w:ascii="Arial" w:hAnsi="Arial" w:cs="Arial"/>
          <w:sz w:val="24"/>
          <w:szCs w:val="24"/>
        </w:rPr>
        <w:t xml:space="preserve">unding </w:t>
      </w:r>
      <w:r w:rsidR="00256A99">
        <w:rPr>
          <w:rFonts w:ascii="Arial" w:hAnsi="Arial" w:cs="Arial"/>
          <w:sz w:val="24"/>
          <w:szCs w:val="24"/>
        </w:rPr>
        <w:t>T</w:t>
      </w:r>
      <w:r w:rsidRPr="00935734">
        <w:rPr>
          <w:rFonts w:ascii="Arial" w:hAnsi="Arial" w:cs="Arial"/>
          <w:sz w:val="24"/>
          <w:szCs w:val="24"/>
        </w:rPr>
        <w:t xml:space="preserve">arget in the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 xml:space="preserve">valuation </w:t>
      </w:r>
      <w:r w:rsidR="00256A99">
        <w:rPr>
          <w:rFonts w:ascii="Arial" w:hAnsi="Arial" w:cs="Arial"/>
          <w:sz w:val="24"/>
          <w:szCs w:val="24"/>
        </w:rPr>
        <w:t>will</w:t>
      </w:r>
      <w:r w:rsidR="001D344B" w:rsidRPr="00935734">
        <w:rPr>
          <w:rFonts w:ascii="Arial" w:hAnsi="Arial" w:cs="Arial"/>
          <w:sz w:val="24"/>
          <w:szCs w:val="24"/>
        </w:rPr>
        <w:t xml:space="preserve"> </w:t>
      </w:r>
      <w:r w:rsidRPr="00935734">
        <w:rPr>
          <w:rFonts w:ascii="Arial" w:hAnsi="Arial" w:cs="Arial"/>
          <w:sz w:val="24"/>
          <w:szCs w:val="24"/>
        </w:rPr>
        <w:t>anticipate investment in low risk investments</w:t>
      </w:r>
      <w:r w:rsidR="008745D0">
        <w:rPr>
          <w:rFonts w:ascii="Arial" w:hAnsi="Arial" w:cs="Arial"/>
          <w:sz w:val="24"/>
          <w:szCs w:val="24"/>
        </w:rPr>
        <w:t>,</w:t>
      </w:r>
      <w:r w:rsidRPr="00935734">
        <w:rPr>
          <w:rFonts w:ascii="Arial" w:hAnsi="Arial" w:cs="Arial"/>
          <w:sz w:val="24"/>
          <w:szCs w:val="24"/>
        </w:rPr>
        <w:t xml:space="preserve"> such as Government bonds</w:t>
      </w:r>
      <w:r w:rsidR="008745D0">
        <w:rPr>
          <w:rFonts w:ascii="Arial" w:hAnsi="Arial" w:cs="Arial"/>
          <w:sz w:val="24"/>
          <w:szCs w:val="24"/>
        </w:rPr>
        <w:t>,</w:t>
      </w:r>
      <w:r w:rsidR="00677A07" w:rsidRPr="00935734">
        <w:rPr>
          <w:rFonts w:ascii="Arial" w:hAnsi="Arial" w:cs="Arial"/>
          <w:sz w:val="24"/>
          <w:szCs w:val="24"/>
        </w:rPr>
        <w:t xml:space="preserve"> or be calculated in the same way as subsumed liabilities as considered appropriate</w:t>
      </w:r>
      <w:r w:rsidRPr="00935734">
        <w:rPr>
          <w:rFonts w:ascii="Arial" w:hAnsi="Arial" w:cs="Arial"/>
          <w:sz w:val="24"/>
          <w:szCs w:val="24"/>
        </w:rPr>
        <w:t>.</w:t>
      </w:r>
    </w:p>
    <w:p w:rsidR="00A316D2" w:rsidRDefault="00A316D2" w:rsidP="00935734">
      <w:pPr>
        <w:jc w:val="both"/>
        <w:rPr>
          <w:rFonts w:ascii="Arial" w:hAnsi="Arial" w:cs="Arial"/>
          <w:sz w:val="24"/>
          <w:szCs w:val="24"/>
        </w:rPr>
      </w:pPr>
    </w:p>
    <w:p w:rsidR="00A316D2" w:rsidRPr="00935734" w:rsidRDefault="00A316D2" w:rsidP="00935734">
      <w:pPr>
        <w:jc w:val="both"/>
        <w:rPr>
          <w:rFonts w:ascii="Arial" w:hAnsi="Arial" w:cs="Arial"/>
          <w:sz w:val="24"/>
          <w:szCs w:val="24"/>
        </w:rPr>
      </w:pPr>
      <w:r>
        <w:rPr>
          <w:rFonts w:ascii="Arial" w:hAnsi="Arial" w:cs="Arial"/>
          <w:sz w:val="24"/>
          <w:szCs w:val="24"/>
        </w:rPr>
        <w:t xml:space="preserve">For the avoidance of doubt, if an academy were to cease participation in the Fund, </w:t>
      </w:r>
      <w:r w:rsidR="006C5F8A">
        <w:rPr>
          <w:rFonts w:ascii="Arial" w:hAnsi="Arial" w:cs="Arial"/>
          <w:sz w:val="24"/>
          <w:szCs w:val="24"/>
        </w:rPr>
        <w:t xml:space="preserve">in the absence of another employer of sound covenant taking responsibility for future funding of residual liabilities, the resulting </w:t>
      </w:r>
      <w:r w:rsidR="00FF08B7">
        <w:rPr>
          <w:rFonts w:ascii="Arial" w:hAnsi="Arial" w:cs="Arial"/>
          <w:sz w:val="24"/>
          <w:szCs w:val="24"/>
        </w:rPr>
        <w:t xml:space="preserve">exit </w:t>
      </w:r>
      <w:r w:rsidR="006C5F8A">
        <w:rPr>
          <w:rFonts w:ascii="Arial" w:hAnsi="Arial" w:cs="Arial"/>
          <w:sz w:val="24"/>
          <w:szCs w:val="24"/>
        </w:rPr>
        <w:t xml:space="preserve">valuation would be carried out on a Funding Target consistent with orphan liabilities as detailed above. </w:t>
      </w:r>
    </w:p>
    <w:p w:rsidR="00935734" w:rsidRDefault="00935734" w:rsidP="00935734">
      <w:pPr>
        <w:jc w:val="both"/>
        <w:rPr>
          <w:rFonts w:ascii="Arial" w:hAnsi="Arial" w:cs="Arial"/>
          <w:sz w:val="24"/>
          <w:szCs w:val="24"/>
        </w:rPr>
      </w:pPr>
    </w:p>
    <w:p w:rsidR="005001C2" w:rsidRDefault="005001C2" w:rsidP="00935734">
      <w:pPr>
        <w:jc w:val="both"/>
        <w:rPr>
          <w:rFonts w:ascii="Arial" w:hAnsi="Arial" w:cs="Arial"/>
          <w:sz w:val="24"/>
          <w:szCs w:val="24"/>
        </w:rPr>
      </w:pPr>
      <w:r w:rsidRPr="00935734">
        <w:rPr>
          <w:rFonts w:ascii="Arial" w:hAnsi="Arial" w:cs="Arial"/>
          <w:sz w:val="24"/>
          <w:szCs w:val="24"/>
        </w:rPr>
        <w:t xml:space="preserve">Regardless of whether the residual liabilities are orphan liabilities or subsumed liabilities, the departing employer will be expected to make good the funding position revealed in the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valuation.</w:t>
      </w:r>
      <w:r w:rsidR="00CB22BE">
        <w:rPr>
          <w:rFonts w:ascii="Arial" w:hAnsi="Arial" w:cs="Arial"/>
          <w:sz w:val="24"/>
          <w:szCs w:val="24"/>
        </w:rPr>
        <w:t xml:space="preserve"> </w:t>
      </w:r>
      <w:r w:rsidRPr="00935734">
        <w:rPr>
          <w:rFonts w:ascii="Arial" w:hAnsi="Arial" w:cs="Arial"/>
          <w:sz w:val="24"/>
          <w:szCs w:val="24"/>
        </w:rPr>
        <w:t xml:space="preserve"> In other words, the fact that liabilities may become subsumed liabilities does not remove the possibility of a</w:t>
      </w:r>
      <w:r w:rsidR="00FF08B7">
        <w:rPr>
          <w:rFonts w:ascii="Arial" w:hAnsi="Arial" w:cs="Arial"/>
          <w:sz w:val="24"/>
          <w:szCs w:val="24"/>
        </w:rPr>
        <w:t>n</w:t>
      </w:r>
      <w:r w:rsidRPr="00935734">
        <w:rPr>
          <w:rFonts w:ascii="Arial" w:hAnsi="Arial" w:cs="Arial"/>
          <w:sz w:val="24"/>
          <w:szCs w:val="24"/>
        </w:rPr>
        <w:t xml:space="preserve"> </w:t>
      </w:r>
      <w:r w:rsidR="00FF08B7">
        <w:rPr>
          <w:rFonts w:ascii="Arial" w:hAnsi="Arial" w:cs="Arial"/>
          <w:sz w:val="24"/>
          <w:szCs w:val="24"/>
        </w:rPr>
        <w:t>exit</w:t>
      </w:r>
      <w:r w:rsidR="00FF08B7" w:rsidRPr="00935734">
        <w:rPr>
          <w:rFonts w:ascii="Arial" w:hAnsi="Arial" w:cs="Arial"/>
          <w:sz w:val="24"/>
          <w:szCs w:val="24"/>
        </w:rPr>
        <w:t xml:space="preserve"> </w:t>
      </w:r>
      <w:r w:rsidRPr="00935734">
        <w:rPr>
          <w:rFonts w:ascii="Arial" w:hAnsi="Arial" w:cs="Arial"/>
          <w:sz w:val="24"/>
          <w:szCs w:val="24"/>
        </w:rPr>
        <w:t>payment being required.</w:t>
      </w:r>
    </w:p>
    <w:p w:rsidR="00256A99" w:rsidRDefault="00256A99" w:rsidP="00935734">
      <w:pPr>
        <w:jc w:val="both"/>
        <w:rPr>
          <w:rFonts w:ascii="Arial" w:hAnsi="Arial" w:cs="Arial"/>
          <w:sz w:val="24"/>
          <w:szCs w:val="24"/>
        </w:rPr>
      </w:pPr>
    </w:p>
    <w:p w:rsidR="00256A99" w:rsidRPr="00935734" w:rsidRDefault="00256A99" w:rsidP="00935734">
      <w:pPr>
        <w:jc w:val="both"/>
        <w:rPr>
          <w:rFonts w:ascii="Arial" w:hAnsi="Arial" w:cs="Arial"/>
          <w:sz w:val="24"/>
          <w:szCs w:val="24"/>
        </w:rPr>
      </w:pPr>
      <w:r>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Pr>
          <w:rFonts w:ascii="Arial" w:hAnsi="Arial" w:cs="Arial"/>
          <w:sz w:val="24"/>
          <w:szCs w:val="24"/>
        </w:rPr>
        <w:t>'s policy is that in the normal course of events</w:t>
      </w:r>
      <w:r w:rsidR="008745D0">
        <w:rPr>
          <w:rFonts w:ascii="Arial" w:hAnsi="Arial" w:cs="Arial"/>
          <w:sz w:val="24"/>
          <w:szCs w:val="24"/>
        </w:rPr>
        <w:t>,</w:t>
      </w:r>
      <w:r>
        <w:rPr>
          <w:rFonts w:ascii="Arial" w:hAnsi="Arial" w:cs="Arial"/>
          <w:sz w:val="24"/>
          <w:szCs w:val="24"/>
        </w:rPr>
        <w:t xml:space="preserve"> any deficiency that exists at the </w:t>
      </w:r>
      <w:r w:rsidR="00FF08B7">
        <w:rPr>
          <w:rFonts w:ascii="Arial" w:hAnsi="Arial" w:cs="Arial"/>
          <w:sz w:val="24"/>
          <w:szCs w:val="24"/>
        </w:rPr>
        <w:t xml:space="preserve">exit </w:t>
      </w:r>
      <w:r>
        <w:rPr>
          <w:rFonts w:ascii="Arial" w:hAnsi="Arial" w:cs="Arial"/>
          <w:sz w:val="24"/>
          <w:szCs w:val="24"/>
        </w:rPr>
        <w:t>of an employer</w:t>
      </w:r>
      <w:r w:rsidR="008B5646">
        <w:rPr>
          <w:rFonts w:ascii="Arial" w:hAnsi="Arial" w:cs="Arial"/>
          <w:sz w:val="24"/>
          <w:szCs w:val="24"/>
        </w:rPr>
        <w:t xml:space="preserve"> from the Fund</w:t>
      </w:r>
      <w:r>
        <w:rPr>
          <w:rFonts w:ascii="Arial" w:hAnsi="Arial" w:cs="Arial"/>
          <w:sz w:val="24"/>
          <w:szCs w:val="24"/>
        </w:rPr>
        <w:t xml:space="preserve">, will be payable immediately as a single payment. </w:t>
      </w:r>
      <w:r w:rsidR="00CB22BE">
        <w:rPr>
          <w:rFonts w:ascii="Arial" w:hAnsi="Arial" w:cs="Arial"/>
          <w:sz w:val="24"/>
          <w:szCs w:val="24"/>
        </w:rPr>
        <w:t xml:space="preserve"> </w:t>
      </w:r>
      <w:r>
        <w:rPr>
          <w:rFonts w:ascii="Arial" w:hAnsi="Arial" w:cs="Arial"/>
          <w:sz w:val="24"/>
          <w:szCs w:val="24"/>
        </w:rPr>
        <w:t>In extreme cases</w:t>
      </w:r>
      <w:r w:rsidR="008745D0">
        <w:rPr>
          <w:rFonts w:ascii="Arial" w:hAnsi="Arial" w:cs="Arial"/>
          <w:sz w:val="24"/>
          <w:szCs w:val="24"/>
        </w:rPr>
        <w:t>,</w:t>
      </w:r>
      <w:r>
        <w:rPr>
          <w:rFonts w:ascii="Arial" w:hAnsi="Arial" w:cs="Arial"/>
          <w:sz w:val="24"/>
          <w:szCs w:val="24"/>
        </w:rPr>
        <w:t xml:space="preserve"> the </w:t>
      </w:r>
      <w:r w:rsidR="00CD42B5">
        <w:rPr>
          <w:rFonts w:ascii="Arial" w:hAnsi="Arial" w:cs="Arial"/>
          <w:sz w:val="24"/>
          <w:szCs w:val="24"/>
        </w:rPr>
        <w:t>a</w:t>
      </w:r>
      <w:r w:rsidR="009B2027">
        <w:rPr>
          <w:rFonts w:ascii="Arial" w:hAnsi="Arial" w:cs="Arial"/>
          <w:sz w:val="24"/>
          <w:szCs w:val="24"/>
        </w:rPr>
        <w:t>dministering authority</w:t>
      </w:r>
      <w:r>
        <w:rPr>
          <w:rFonts w:ascii="Arial" w:hAnsi="Arial" w:cs="Arial"/>
          <w:sz w:val="24"/>
          <w:szCs w:val="24"/>
        </w:rPr>
        <w:t xml:space="preserve"> may be prepared to agree payment over a period of years. </w:t>
      </w:r>
      <w:r w:rsidR="005435CD">
        <w:rPr>
          <w:rFonts w:ascii="Arial" w:hAnsi="Arial" w:cs="Arial"/>
          <w:sz w:val="24"/>
          <w:szCs w:val="24"/>
        </w:rPr>
        <w:t xml:space="preserve"> </w:t>
      </w:r>
      <w:r>
        <w:rPr>
          <w:rFonts w:ascii="Arial" w:hAnsi="Arial" w:cs="Arial"/>
          <w:sz w:val="24"/>
          <w:szCs w:val="24"/>
        </w:rPr>
        <w:t>However</w:t>
      </w:r>
      <w:r w:rsidR="005C4461">
        <w:rPr>
          <w:rFonts w:ascii="Arial" w:hAnsi="Arial" w:cs="Arial"/>
          <w:sz w:val="24"/>
          <w:szCs w:val="24"/>
        </w:rPr>
        <w:t>,</w:t>
      </w:r>
      <w:r>
        <w:rPr>
          <w:rFonts w:ascii="Arial" w:hAnsi="Arial" w:cs="Arial"/>
          <w:sz w:val="24"/>
          <w:szCs w:val="24"/>
        </w:rPr>
        <w:t xml:space="preserve"> this period is very unlikely to exceed five years and any decision will be at the </w:t>
      </w:r>
      <w:r w:rsidR="00CD42B5">
        <w:rPr>
          <w:rFonts w:ascii="Arial" w:hAnsi="Arial" w:cs="Arial"/>
          <w:sz w:val="24"/>
          <w:szCs w:val="24"/>
        </w:rPr>
        <w:t>a</w:t>
      </w:r>
      <w:r w:rsidR="009B2027">
        <w:rPr>
          <w:rFonts w:ascii="Arial" w:hAnsi="Arial" w:cs="Arial"/>
          <w:sz w:val="24"/>
          <w:szCs w:val="24"/>
        </w:rPr>
        <w:t>dministering authority</w:t>
      </w:r>
      <w:r>
        <w:rPr>
          <w:rFonts w:ascii="Arial" w:hAnsi="Arial" w:cs="Arial"/>
          <w:sz w:val="24"/>
          <w:szCs w:val="24"/>
        </w:rPr>
        <w:t>'s discretion.</w:t>
      </w:r>
    </w:p>
    <w:p w:rsidR="00B1437F" w:rsidRPr="00681B91" w:rsidRDefault="000C19E1">
      <w:pPr>
        <w:rPr>
          <w:rFonts w:ascii="Arial" w:hAnsi="Arial" w:cs="Arial"/>
          <w:b/>
          <w:sz w:val="24"/>
          <w:szCs w:val="24"/>
          <w:u w:val="single"/>
        </w:rPr>
      </w:pPr>
      <w:r>
        <w:rPr>
          <w:rFonts w:ascii="Arial" w:hAnsi="Arial" w:cs="Arial"/>
          <w:b/>
          <w:sz w:val="24"/>
          <w:szCs w:val="24"/>
          <w:u w:val="single"/>
        </w:rPr>
        <w:br w:type="page"/>
      </w:r>
      <w:r w:rsidR="005001C2" w:rsidRPr="008E3062">
        <w:rPr>
          <w:rFonts w:ascii="Arial" w:hAnsi="Arial" w:cs="Arial"/>
          <w:b/>
          <w:sz w:val="24"/>
          <w:szCs w:val="24"/>
          <w:u w:val="single"/>
        </w:rPr>
        <w:lastRenderedPageBreak/>
        <w:t>6</w:t>
      </w:r>
      <w:r w:rsidR="00040A96" w:rsidRPr="00F0515A">
        <w:rPr>
          <w:rFonts w:ascii="Arial" w:hAnsi="Arial" w:cs="Arial"/>
          <w:b/>
          <w:sz w:val="24"/>
          <w:szCs w:val="24"/>
          <w:u w:val="single"/>
        </w:rPr>
        <w:t>. IDENTIFICATION</w:t>
      </w:r>
      <w:r w:rsidR="00040A96" w:rsidRPr="00681B91">
        <w:rPr>
          <w:rFonts w:ascii="Arial" w:hAnsi="Arial" w:cs="Arial"/>
          <w:b/>
          <w:sz w:val="24"/>
          <w:szCs w:val="24"/>
          <w:u w:val="single"/>
        </w:rPr>
        <w:t xml:space="preserve"> OF RISKS AND COUNTER MEASURES</w:t>
      </w:r>
    </w:p>
    <w:p w:rsidR="00BA54BF" w:rsidRPr="00A24997" w:rsidRDefault="00BA54BF">
      <w:pPr>
        <w:rPr>
          <w:rFonts w:ascii="Arial" w:hAnsi="Arial" w:cs="Arial"/>
          <w:sz w:val="24"/>
          <w:szCs w:val="24"/>
        </w:rPr>
      </w:pPr>
    </w:p>
    <w:p w:rsidR="00BA54BF" w:rsidRPr="00A24997" w:rsidRDefault="00E66695">
      <w:pPr>
        <w:pStyle w:val="BodyText"/>
      </w:pPr>
      <w:r w:rsidRPr="00A24997">
        <w:t xml:space="preserve">The </w:t>
      </w:r>
      <w:r w:rsidR="00CD42B5">
        <w:t>a</w:t>
      </w:r>
      <w:r w:rsidR="009B2027">
        <w:t>dministering authority</w:t>
      </w:r>
      <w:r w:rsidR="00BA54BF" w:rsidRPr="00A24997">
        <w:t xml:space="preserve">’s overall policy on risk is to identify all risks to the Fund and to consider the position both in aggregate and at an individual risk level. </w:t>
      </w:r>
      <w:r w:rsidR="00C90E51">
        <w:t xml:space="preserve"> </w:t>
      </w:r>
      <w:r w:rsidRPr="00A24997">
        <w:t xml:space="preserve">The </w:t>
      </w:r>
      <w:r w:rsidR="00CD42B5">
        <w:t>a</w:t>
      </w:r>
      <w:r w:rsidR="009B2027">
        <w:t>dministering authority</w:t>
      </w:r>
      <w:r w:rsidR="00BA54BF" w:rsidRPr="00A24997">
        <w:t xml:space="preserve"> will monitor the risks to the Fund, and will take appropriate action to limit the impact of these</w:t>
      </w:r>
      <w:r w:rsidR="005C4461">
        <w:t>,</w:t>
      </w:r>
      <w:r w:rsidR="00BA54BF" w:rsidRPr="00A24997">
        <w:t xml:space="preserve"> both before and after they emerge</w:t>
      </w:r>
      <w:r w:rsidR="00524F5E">
        <w:t>,</w:t>
      </w:r>
      <w:r w:rsidR="00BA54BF" w:rsidRPr="00A24997">
        <w:t xml:space="preserve"> wherever possible. </w:t>
      </w:r>
      <w:r w:rsidR="00CB22BE">
        <w:t xml:space="preserve"> </w:t>
      </w:r>
      <w:r w:rsidR="00D24FE7">
        <w:t xml:space="preserve">The </w:t>
      </w:r>
      <w:r w:rsidR="00CD42B5">
        <w:t>a</w:t>
      </w:r>
      <w:r w:rsidR="009B2027">
        <w:t>dministering authority</w:t>
      </w:r>
      <w:r w:rsidR="00D24FE7">
        <w:t xml:space="preserve"> will ensure that funding risks are included within the overarching risk management framework and strategy, linking to their risk register and risk management policy as appropriate and including a defined role for the Local Pension Board within this framework. </w:t>
      </w:r>
      <w:r w:rsidR="00E114C4">
        <w:t xml:space="preserve"> </w:t>
      </w:r>
      <w:r w:rsidR="00BA54BF" w:rsidRPr="00A24997">
        <w:t>The main risks to the Fund are:</w:t>
      </w:r>
    </w:p>
    <w:p w:rsidR="00220634" w:rsidRPr="00C325AC" w:rsidRDefault="00220634">
      <w:pPr>
        <w:rPr>
          <w:rFonts w:ascii="Arial" w:hAnsi="Arial" w:cs="Arial"/>
          <w:b/>
          <w:sz w:val="24"/>
          <w:szCs w:val="24"/>
        </w:rPr>
      </w:pPr>
    </w:p>
    <w:p w:rsidR="00BA54BF" w:rsidRPr="00A24997" w:rsidRDefault="00167765" w:rsidP="001638F8">
      <w:pPr>
        <w:jc w:val="both"/>
        <w:outlineLvl w:val="0"/>
        <w:rPr>
          <w:rFonts w:ascii="Arial" w:hAnsi="Arial" w:cs="Arial"/>
          <w:sz w:val="24"/>
          <w:szCs w:val="24"/>
          <w:u w:val="single"/>
        </w:rPr>
      </w:pPr>
      <w:r>
        <w:rPr>
          <w:rFonts w:ascii="Arial" w:hAnsi="Arial" w:cs="Arial"/>
          <w:b/>
          <w:sz w:val="24"/>
          <w:szCs w:val="24"/>
        </w:rPr>
        <w:t>Liability</w:t>
      </w:r>
    </w:p>
    <w:p w:rsidR="00BA54BF" w:rsidRPr="00A24997" w:rsidRDefault="00BA54BF">
      <w:pPr>
        <w:rPr>
          <w:rFonts w:ascii="Arial" w:hAnsi="Arial" w:cs="Arial"/>
          <w:sz w:val="24"/>
          <w:szCs w:val="24"/>
        </w:rPr>
      </w:pPr>
    </w:p>
    <w:p w:rsidR="00BA54BF" w:rsidRDefault="00BA54BF" w:rsidP="00220634">
      <w:pPr>
        <w:pStyle w:val="Normalplus"/>
        <w:spacing w:after="0"/>
        <w:jc w:val="both"/>
        <w:rPr>
          <w:rFonts w:ascii="Arial" w:hAnsi="Arial" w:cs="Arial"/>
          <w:sz w:val="24"/>
          <w:szCs w:val="24"/>
        </w:rPr>
      </w:pPr>
      <w:r w:rsidRPr="00A24997">
        <w:rPr>
          <w:rFonts w:ascii="Arial" w:hAnsi="Arial" w:cs="Arial"/>
          <w:sz w:val="24"/>
          <w:szCs w:val="24"/>
        </w:rPr>
        <w:t xml:space="preserve">The main risks include </w:t>
      </w:r>
      <w:r w:rsidR="00167765">
        <w:rPr>
          <w:rFonts w:ascii="Arial" w:hAnsi="Arial" w:cs="Arial"/>
          <w:sz w:val="24"/>
          <w:szCs w:val="24"/>
        </w:rPr>
        <w:t>interest rates, pay and price inflation,</w:t>
      </w:r>
      <w:r w:rsidR="00167765" w:rsidRPr="00A24997">
        <w:rPr>
          <w:rFonts w:ascii="Arial" w:hAnsi="Arial" w:cs="Arial"/>
          <w:sz w:val="24"/>
          <w:szCs w:val="24"/>
        </w:rPr>
        <w:t xml:space="preserve"> </w:t>
      </w:r>
      <w:r w:rsidRPr="00A24997">
        <w:rPr>
          <w:rFonts w:ascii="Arial" w:hAnsi="Arial" w:cs="Arial"/>
          <w:sz w:val="24"/>
          <w:szCs w:val="24"/>
        </w:rPr>
        <w:t>changing retireme</w:t>
      </w:r>
      <w:r w:rsidR="00E66695" w:rsidRPr="00A24997">
        <w:rPr>
          <w:rFonts w:ascii="Arial" w:hAnsi="Arial" w:cs="Arial"/>
          <w:sz w:val="24"/>
          <w:szCs w:val="24"/>
        </w:rPr>
        <w:t xml:space="preserve">nt patterns and </w:t>
      </w:r>
      <w:r w:rsidR="00167765">
        <w:rPr>
          <w:rFonts w:ascii="Arial" w:hAnsi="Arial" w:cs="Arial"/>
          <w:sz w:val="24"/>
          <w:szCs w:val="24"/>
        </w:rPr>
        <w:t>other demographic risks</w:t>
      </w:r>
      <w:r w:rsidR="00E66695" w:rsidRPr="00A24997">
        <w:rPr>
          <w:rFonts w:ascii="Arial" w:hAnsi="Arial" w:cs="Arial"/>
          <w:sz w:val="24"/>
          <w:szCs w:val="24"/>
        </w:rPr>
        <w:t xml:space="preserve">. </w:t>
      </w:r>
      <w:r w:rsidR="00CB22BE">
        <w:rPr>
          <w:rFonts w:ascii="Arial" w:hAnsi="Arial" w:cs="Arial"/>
          <w:sz w:val="24"/>
          <w:szCs w:val="24"/>
        </w:rPr>
        <w:t xml:space="preserve"> </w:t>
      </w:r>
      <w:r w:rsidR="00E66695"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E66695" w:rsidRPr="00A24997">
        <w:rPr>
          <w:rFonts w:ascii="Arial" w:hAnsi="Arial" w:cs="Arial"/>
          <w:sz w:val="24"/>
          <w:szCs w:val="24"/>
        </w:rPr>
        <w:t xml:space="preserve"> will ensure that the Fund </w:t>
      </w:r>
      <w:r w:rsidR="00492D61">
        <w:rPr>
          <w:rFonts w:ascii="Arial" w:hAnsi="Arial" w:cs="Arial"/>
          <w:sz w:val="24"/>
          <w:szCs w:val="24"/>
        </w:rPr>
        <w:t>A</w:t>
      </w:r>
      <w:r w:rsidRPr="00A24997">
        <w:rPr>
          <w:rFonts w:ascii="Arial" w:hAnsi="Arial" w:cs="Arial"/>
          <w:sz w:val="24"/>
          <w:szCs w:val="24"/>
        </w:rPr>
        <w:t xml:space="preserve">ctuary investigates these matters at each valuation or, if appropriate, more frequently, and reports on developments. </w:t>
      </w:r>
      <w:r w:rsidR="00CB22BE">
        <w:rPr>
          <w:rFonts w:ascii="Arial" w:hAnsi="Arial" w:cs="Arial"/>
          <w:sz w:val="24"/>
          <w:szCs w:val="24"/>
        </w:rPr>
        <w:t xml:space="preserve"> </w:t>
      </w:r>
      <w:r w:rsidR="00E66695" w:rsidRPr="00677A0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E66695" w:rsidRPr="00677A07">
        <w:rPr>
          <w:rFonts w:ascii="Arial" w:hAnsi="Arial" w:cs="Arial"/>
          <w:sz w:val="24"/>
          <w:szCs w:val="24"/>
        </w:rPr>
        <w:t xml:space="preserve"> will agree with the Fund </w:t>
      </w:r>
      <w:r w:rsidR="00492D61">
        <w:rPr>
          <w:rFonts w:ascii="Arial" w:hAnsi="Arial" w:cs="Arial"/>
          <w:sz w:val="24"/>
          <w:szCs w:val="24"/>
        </w:rPr>
        <w:t>A</w:t>
      </w:r>
      <w:r w:rsidRPr="00677A07">
        <w:rPr>
          <w:rFonts w:ascii="Arial" w:hAnsi="Arial" w:cs="Arial"/>
          <w:sz w:val="24"/>
          <w:szCs w:val="24"/>
        </w:rPr>
        <w:t xml:space="preserve">ctuary </w:t>
      </w:r>
      <w:r w:rsidRPr="00A24997">
        <w:rPr>
          <w:rFonts w:ascii="Arial" w:hAnsi="Arial" w:cs="Arial"/>
          <w:sz w:val="24"/>
          <w:szCs w:val="24"/>
        </w:rPr>
        <w:t>any changes which are necessary to the assumptions underlying the measure of solvency</w:t>
      </w:r>
      <w:r w:rsidR="005C4461">
        <w:rPr>
          <w:rFonts w:ascii="Arial" w:hAnsi="Arial" w:cs="Arial"/>
          <w:sz w:val="24"/>
          <w:szCs w:val="24"/>
        </w:rPr>
        <w:t>,</w:t>
      </w:r>
      <w:r w:rsidRPr="00A24997">
        <w:rPr>
          <w:rFonts w:ascii="Arial" w:hAnsi="Arial" w:cs="Arial"/>
          <w:sz w:val="24"/>
          <w:szCs w:val="24"/>
        </w:rPr>
        <w:t xml:space="preserve"> to allow for observed or anticipated changes.</w:t>
      </w:r>
    </w:p>
    <w:p w:rsidR="00220634" w:rsidRPr="00A24997" w:rsidRDefault="00220634" w:rsidP="00220634">
      <w:pPr>
        <w:pStyle w:val="Normalplus"/>
        <w:spacing w:after="0"/>
        <w:jc w:val="both"/>
        <w:rPr>
          <w:rFonts w:ascii="Arial" w:hAnsi="Arial" w:cs="Arial"/>
          <w:sz w:val="24"/>
          <w:szCs w:val="24"/>
        </w:rPr>
      </w:pPr>
    </w:p>
    <w:p w:rsidR="00BA54BF" w:rsidRPr="00A24997" w:rsidRDefault="00BA54BF" w:rsidP="00220634">
      <w:pPr>
        <w:pStyle w:val="Normalplus"/>
        <w:spacing w:after="0"/>
        <w:jc w:val="both"/>
        <w:rPr>
          <w:rFonts w:ascii="Arial" w:hAnsi="Arial" w:cs="Arial"/>
          <w:sz w:val="24"/>
          <w:szCs w:val="24"/>
        </w:rPr>
      </w:pPr>
      <w:r w:rsidRPr="00A24997">
        <w:rPr>
          <w:rFonts w:ascii="Arial" w:hAnsi="Arial" w:cs="Arial"/>
          <w:sz w:val="24"/>
          <w:szCs w:val="24"/>
        </w:rPr>
        <w:t xml:space="preserve">If significant </w:t>
      </w:r>
      <w:r w:rsidR="00167765">
        <w:rPr>
          <w:rFonts w:ascii="Arial" w:hAnsi="Arial" w:cs="Arial"/>
          <w:sz w:val="24"/>
          <w:szCs w:val="24"/>
        </w:rPr>
        <w:t>liability</w:t>
      </w:r>
      <w:r w:rsidRPr="00A24997">
        <w:rPr>
          <w:rFonts w:ascii="Arial" w:hAnsi="Arial" w:cs="Arial"/>
          <w:sz w:val="24"/>
          <w:szCs w:val="24"/>
        </w:rPr>
        <w:t xml:space="preserve"> changes become ap</w:t>
      </w:r>
      <w:r w:rsidR="000A0473" w:rsidRPr="00A24997">
        <w:rPr>
          <w:rFonts w:ascii="Arial" w:hAnsi="Arial" w:cs="Arial"/>
          <w:sz w:val="24"/>
          <w:szCs w:val="24"/>
        </w:rPr>
        <w:t xml:space="preserve">parent between valuations, the </w:t>
      </w:r>
      <w:r w:rsidR="00CD42B5">
        <w:rPr>
          <w:rFonts w:ascii="Arial" w:hAnsi="Arial" w:cs="Arial"/>
          <w:sz w:val="24"/>
          <w:szCs w:val="24"/>
        </w:rPr>
        <w:t>a</w:t>
      </w:r>
      <w:r w:rsidR="009B2027">
        <w:rPr>
          <w:rFonts w:ascii="Arial" w:hAnsi="Arial" w:cs="Arial"/>
          <w:sz w:val="24"/>
          <w:szCs w:val="24"/>
        </w:rPr>
        <w:t>dministering authority</w:t>
      </w:r>
      <w:r w:rsidRPr="00A24997">
        <w:rPr>
          <w:rFonts w:ascii="Arial" w:hAnsi="Arial" w:cs="Arial"/>
          <w:sz w:val="24"/>
          <w:szCs w:val="24"/>
        </w:rPr>
        <w:t xml:space="preserve"> will notify all participating employers of the anticipated impact on costs that will emerge at the next valuation</w:t>
      </w:r>
      <w:r w:rsidR="005C4461">
        <w:rPr>
          <w:rFonts w:ascii="Arial" w:hAnsi="Arial" w:cs="Arial"/>
          <w:sz w:val="24"/>
          <w:szCs w:val="24"/>
        </w:rPr>
        <w:t>,</w:t>
      </w:r>
      <w:r w:rsidRPr="00A24997">
        <w:rPr>
          <w:rFonts w:ascii="Arial" w:hAnsi="Arial" w:cs="Arial"/>
          <w:sz w:val="24"/>
          <w:szCs w:val="24"/>
        </w:rPr>
        <w:t xml:space="preserve"> and </w:t>
      </w:r>
      <w:r w:rsidR="00167765">
        <w:rPr>
          <w:rFonts w:ascii="Arial" w:hAnsi="Arial" w:cs="Arial"/>
          <w:sz w:val="24"/>
          <w:szCs w:val="24"/>
        </w:rPr>
        <w:t xml:space="preserve">consider whether to require the </w:t>
      </w:r>
      <w:r w:rsidRPr="00A24997">
        <w:rPr>
          <w:rFonts w:ascii="Arial" w:hAnsi="Arial" w:cs="Arial"/>
          <w:sz w:val="24"/>
          <w:szCs w:val="24"/>
        </w:rPr>
        <w:t xml:space="preserve">review </w:t>
      </w:r>
      <w:r w:rsidR="00C90E51">
        <w:rPr>
          <w:rFonts w:ascii="Arial" w:hAnsi="Arial" w:cs="Arial"/>
          <w:sz w:val="24"/>
          <w:szCs w:val="24"/>
        </w:rPr>
        <w:t>of</w:t>
      </w:r>
      <w:r w:rsidRPr="00A24997">
        <w:rPr>
          <w:rFonts w:ascii="Arial" w:hAnsi="Arial" w:cs="Arial"/>
          <w:sz w:val="24"/>
          <w:szCs w:val="24"/>
        </w:rPr>
        <w:t xml:space="preserve"> bonds that are in plac</w:t>
      </w:r>
      <w:r w:rsidR="000A0473" w:rsidRPr="00A24997">
        <w:rPr>
          <w:rFonts w:ascii="Arial" w:hAnsi="Arial" w:cs="Arial"/>
          <w:sz w:val="24"/>
          <w:szCs w:val="24"/>
        </w:rPr>
        <w:t>e for</w:t>
      </w:r>
      <w:r w:rsidR="00167765">
        <w:rPr>
          <w:rFonts w:ascii="Arial" w:hAnsi="Arial" w:cs="Arial"/>
          <w:sz w:val="24"/>
          <w:szCs w:val="24"/>
        </w:rPr>
        <w:t xml:space="preserve"> A</w:t>
      </w:r>
      <w:r w:rsidR="000A0473" w:rsidRPr="00A24997">
        <w:rPr>
          <w:rFonts w:ascii="Arial" w:hAnsi="Arial" w:cs="Arial"/>
          <w:sz w:val="24"/>
          <w:szCs w:val="24"/>
        </w:rPr>
        <w:t>dmi</w:t>
      </w:r>
      <w:r w:rsidR="00167765">
        <w:rPr>
          <w:rFonts w:ascii="Arial" w:hAnsi="Arial" w:cs="Arial"/>
          <w:sz w:val="24"/>
          <w:szCs w:val="24"/>
        </w:rPr>
        <w:t>ssion B</w:t>
      </w:r>
      <w:r w:rsidRPr="00A24997">
        <w:rPr>
          <w:rFonts w:ascii="Arial" w:hAnsi="Arial" w:cs="Arial"/>
          <w:sz w:val="24"/>
          <w:szCs w:val="24"/>
        </w:rPr>
        <w:t>odies.</w:t>
      </w:r>
    </w:p>
    <w:p w:rsidR="00BA54BF" w:rsidRPr="00A24997" w:rsidRDefault="00BA54BF">
      <w:pPr>
        <w:rPr>
          <w:rFonts w:ascii="Arial" w:hAnsi="Arial" w:cs="Arial"/>
          <w:sz w:val="24"/>
          <w:szCs w:val="24"/>
        </w:rPr>
      </w:pPr>
    </w:p>
    <w:p w:rsidR="00BA54BF" w:rsidRPr="00C325AC" w:rsidRDefault="00BA54BF" w:rsidP="001638F8">
      <w:pPr>
        <w:jc w:val="both"/>
        <w:outlineLvl w:val="0"/>
        <w:rPr>
          <w:rFonts w:ascii="Arial" w:hAnsi="Arial" w:cs="Arial"/>
          <w:b/>
          <w:sz w:val="24"/>
          <w:szCs w:val="24"/>
        </w:rPr>
      </w:pPr>
      <w:r w:rsidRPr="00C325AC">
        <w:rPr>
          <w:rFonts w:ascii="Arial" w:hAnsi="Arial" w:cs="Arial"/>
          <w:b/>
          <w:sz w:val="24"/>
          <w:szCs w:val="24"/>
        </w:rPr>
        <w:t>Regulatory</w:t>
      </w:r>
      <w:r w:rsidR="008C79D1">
        <w:rPr>
          <w:rFonts w:ascii="Arial" w:hAnsi="Arial" w:cs="Arial"/>
          <w:b/>
          <w:sz w:val="24"/>
          <w:szCs w:val="24"/>
        </w:rPr>
        <w:t xml:space="preserve"> and </w:t>
      </w:r>
      <w:r w:rsidR="00C90E51">
        <w:rPr>
          <w:rFonts w:ascii="Arial" w:hAnsi="Arial" w:cs="Arial"/>
          <w:b/>
          <w:sz w:val="24"/>
          <w:szCs w:val="24"/>
        </w:rPr>
        <w:t>c</w:t>
      </w:r>
      <w:r w:rsidR="00087BF3">
        <w:rPr>
          <w:rFonts w:ascii="Arial" w:hAnsi="Arial" w:cs="Arial"/>
          <w:b/>
          <w:sz w:val="24"/>
          <w:szCs w:val="24"/>
        </w:rPr>
        <w:t>ompliance</w:t>
      </w:r>
    </w:p>
    <w:p w:rsidR="00BA54BF" w:rsidRPr="00A24997" w:rsidRDefault="00BA54BF">
      <w:pPr>
        <w:rPr>
          <w:rFonts w:ascii="Arial" w:hAnsi="Arial" w:cs="Arial"/>
          <w:sz w:val="24"/>
          <w:szCs w:val="24"/>
        </w:rPr>
      </w:pPr>
    </w:p>
    <w:p w:rsidR="00BA54BF" w:rsidRPr="00A24997" w:rsidRDefault="00BA54BF">
      <w:pPr>
        <w:jc w:val="both"/>
        <w:rPr>
          <w:rFonts w:ascii="Arial" w:hAnsi="Arial" w:cs="Arial"/>
          <w:sz w:val="24"/>
          <w:szCs w:val="24"/>
        </w:rPr>
      </w:pPr>
      <w:r w:rsidRPr="00A24997">
        <w:rPr>
          <w:rFonts w:ascii="Arial" w:hAnsi="Arial" w:cs="Arial"/>
          <w:sz w:val="24"/>
          <w:szCs w:val="24"/>
        </w:rPr>
        <w:t>The</w:t>
      </w:r>
      <w:r w:rsidR="00524F5E">
        <w:rPr>
          <w:rFonts w:ascii="Arial" w:hAnsi="Arial" w:cs="Arial"/>
          <w:sz w:val="24"/>
          <w:szCs w:val="24"/>
        </w:rPr>
        <w:t>se</w:t>
      </w:r>
      <w:r w:rsidRPr="00A24997">
        <w:rPr>
          <w:rFonts w:ascii="Arial" w:hAnsi="Arial" w:cs="Arial"/>
          <w:sz w:val="24"/>
          <w:szCs w:val="24"/>
        </w:rPr>
        <w:t xml:space="preserve"> risks rel</w:t>
      </w:r>
      <w:r w:rsidR="000A0473" w:rsidRPr="00A24997">
        <w:rPr>
          <w:rFonts w:ascii="Arial" w:hAnsi="Arial" w:cs="Arial"/>
          <w:sz w:val="24"/>
          <w:szCs w:val="24"/>
        </w:rPr>
        <w:t xml:space="preserve">ate to changes to </w:t>
      </w:r>
      <w:r w:rsidR="00167765">
        <w:rPr>
          <w:rFonts w:ascii="Arial" w:hAnsi="Arial" w:cs="Arial"/>
          <w:sz w:val="24"/>
          <w:szCs w:val="24"/>
        </w:rPr>
        <w:t xml:space="preserve">general and LGPS </w:t>
      </w:r>
      <w:r w:rsidR="000A0473" w:rsidRPr="00A24997">
        <w:rPr>
          <w:rFonts w:ascii="Arial" w:hAnsi="Arial" w:cs="Arial"/>
          <w:sz w:val="24"/>
          <w:szCs w:val="24"/>
        </w:rPr>
        <w:t>regulations, n</w:t>
      </w:r>
      <w:r w:rsidRPr="00A24997">
        <w:rPr>
          <w:rFonts w:ascii="Arial" w:hAnsi="Arial" w:cs="Arial"/>
          <w:sz w:val="24"/>
          <w:szCs w:val="24"/>
        </w:rPr>
        <w:t xml:space="preserve">ational pension requirements or </w:t>
      </w:r>
      <w:r w:rsidR="000A0473" w:rsidRPr="00A24997">
        <w:rPr>
          <w:rFonts w:ascii="Arial" w:hAnsi="Arial" w:cs="Arial"/>
          <w:sz w:val="24"/>
          <w:szCs w:val="24"/>
        </w:rPr>
        <w:t>HM</w:t>
      </w:r>
      <w:r w:rsidR="00B13D38">
        <w:rPr>
          <w:rFonts w:ascii="Arial" w:hAnsi="Arial" w:cs="Arial"/>
          <w:sz w:val="24"/>
          <w:szCs w:val="24"/>
        </w:rPr>
        <w:t xml:space="preserve"> </w:t>
      </w:r>
      <w:r w:rsidR="000A0473" w:rsidRPr="00A24997">
        <w:rPr>
          <w:rFonts w:ascii="Arial" w:hAnsi="Arial" w:cs="Arial"/>
          <w:sz w:val="24"/>
          <w:szCs w:val="24"/>
        </w:rPr>
        <w:t>R</w:t>
      </w:r>
      <w:r w:rsidR="00B13D38">
        <w:rPr>
          <w:rFonts w:ascii="Arial" w:hAnsi="Arial" w:cs="Arial"/>
          <w:sz w:val="24"/>
          <w:szCs w:val="24"/>
        </w:rPr>
        <w:t xml:space="preserve">evenue &amp; </w:t>
      </w:r>
      <w:r w:rsidR="000A0473" w:rsidRPr="00A24997">
        <w:rPr>
          <w:rFonts w:ascii="Arial" w:hAnsi="Arial" w:cs="Arial"/>
          <w:sz w:val="24"/>
          <w:szCs w:val="24"/>
        </w:rPr>
        <w:t>C</w:t>
      </w:r>
      <w:r w:rsidR="00B13D38">
        <w:rPr>
          <w:rFonts w:ascii="Arial" w:hAnsi="Arial" w:cs="Arial"/>
          <w:sz w:val="24"/>
          <w:szCs w:val="24"/>
        </w:rPr>
        <w:t>ustoms</w:t>
      </w:r>
      <w:r w:rsidR="000A0473" w:rsidRPr="00A24997">
        <w:rPr>
          <w:rFonts w:ascii="Arial" w:hAnsi="Arial" w:cs="Arial"/>
          <w:sz w:val="24"/>
          <w:szCs w:val="24"/>
        </w:rPr>
        <w:t xml:space="preserve"> rules.  The </w:t>
      </w:r>
      <w:r w:rsidR="00CD42B5">
        <w:rPr>
          <w:rFonts w:ascii="Arial" w:hAnsi="Arial" w:cs="Arial"/>
          <w:sz w:val="24"/>
          <w:szCs w:val="24"/>
        </w:rPr>
        <w:t>a</w:t>
      </w:r>
      <w:r w:rsidR="009B2027">
        <w:rPr>
          <w:rFonts w:ascii="Arial" w:hAnsi="Arial" w:cs="Arial"/>
          <w:sz w:val="24"/>
          <w:szCs w:val="24"/>
        </w:rPr>
        <w:t>dministering authority</w:t>
      </w:r>
      <w:r w:rsidRPr="00A24997">
        <w:rPr>
          <w:rFonts w:ascii="Arial" w:hAnsi="Arial" w:cs="Arial"/>
          <w:sz w:val="24"/>
          <w:szCs w:val="24"/>
        </w:rPr>
        <w:t xml:space="preserve"> will keep abreast of proposed changes</w:t>
      </w:r>
      <w:r w:rsidR="008B5646">
        <w:rPr>
          <w:rFonts w:ascii="Arial" w:hAnsi="Arial" w:cs="Arial"/>
          <w:sz w:val="24"/>
          <w:szCs w:val="24"/>
        </w:rPr>
        <w:t xml:space="preserve"> to the LGPS</w:t>
      </w:r>
      <w:r w:rsidRPr="00A24997">
        <w:rPr>
          <w:rFonts w:ascii="Arial" w:hAnsi="Arial" w:cs="Arial"/>
          <w:sz w:val="24"/>
          <w:szCs w:val="24"/>
        </w:rPr>
        <w:t xml:space="preserve"> and, where possible, express its opinion during consultation periods aft</w:t>
      </w:r>
      <w:r w:rsidR="000A0473" w:rsidRPr="00A24997">
        <w:rPr>
          <w:rFonts w:ascii="Arial" w:hAnsi="Arial" w:cs="Arial"/>
          <w:sz w:val="24"/>
          <w:szCs w:val="24"/>
        </w:rPr>
        <w:t xml:space="preserve">er careful consideration. </w:t>
      </w:r>
      <w:r w:rsidR="00CB22BE">
        <w:rPr>
          <w:rFonts w:ascii="Arial" w:hAnsi="Arial" w:cs="Arial"/>
          <w:sz w:val="24"/>
          <w:szCs w:val="24"/>
        </w:rPr>
        <w:t xml:space="preserve"> </w:t>
      </w:r>
      <w:r w:rsidR="000A0473"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A24997">
        <w:rPr>
          <w:rFonts w:ascii="Arial" w:hAnsi="Arial" w:cs="Arial"/>
          <w:sz w:val="24"/>
          <w:szCs w:val="24"/>
        </w:rPr>
        <w:t xml:space="preserve">’s </w:t>
      </w:r>
      <w:r w:rsidR="000A0473" w:rsidRPr="00A24997">
        <w:rPr>
          <w:rFonts w:ascii="Arial" w:hAnsi="Arial" w:cs="Arial"/>
          <w:sz w:val="24"/>
          <w:szCs w:val="24"/>
        </w:rPr>
        <w:t xml:space="preserve">policy will be to ask the Fund </w:t>
      </w:r>
      <w:r w:rsidR="00492D61">
        <w:rPr>
          <w:rFonts w:ascii="Arial" w:hAnsi="Arial" w:cs="Arial"/>
          <w:sz w:val="24"/>
          <w:szCs w:val="24"/>
        </w:rPr>
        <w:t>A</w:t>
      </w:r>
      <w:r w:rsidRPr="00A24997">
        <w:rPr>
          <w:rFonts w:ascii="Arial" w:hAnsi="Arial" w:cs="Arial"/>
          <w:sz w:val="24"/>
          <w:szCs w:val="24"/>
        </w:rPr>
        <w:t>ctuary to assess the impact on costs of any changes and, where these are</w:t>
      </w:r>
      <w:r w:rsidR="000A0473" w:rsidRPr="00A24997">
        <w:rPr>
          <w:rFonts w:ascii="Arial" w:hAnsi="Arial" w:cs="Arial"/>
          <w:sz w:val="24"/>
          <w:szCs w:val="24"/>
        </w:rPr>
        <w:t xml:space="preserve"> likely to be significant, the </w:t>
      </w:r>
      <w:r w:rsidR="00CD42B5">
        <w:rPr>
          <w:rFonts w:ascii="Arial" w:hAnsi="Arial" w:cs="Arial"/>
          <w:sz w:val="24"/>
          <w:szCs w:val="24"/>
        </w:rPr>
        <w:t>a</w:t>
      </w:r>
      <w:r w:rsidR="009B2027">
        <w:rPr>
          <w:rFonts w:ascii="Arial" w:hAnsi="Arial" w:cs="Arial"/>
          <w:sz w:val="24"/>
          <w:szCs w:val="24"/>
        </w:rPr>
        <w:t>dministering authority</w:t>
      </w:r>
      <w:r w:rsidRPr="00A24997">
        <w:rPr>
          <w:rFonts w:ascii="Arial" w:hAnsi="Arial" w:cs="Arial"/>
          <w:sz w:val="24"/>
          <w:szCs w:val="24"/>
        </w:rPr>
        <w:t xml:space="preserve"> will not</w:t>
      </w:r>
      <w:r w:rsidR="000A0473" w:rsidRPr="00A24997">
        <w:rPr>
          <w:rFonts w:ascii="Arial" w:hAnsi="Arial" w:cs="Arial"/>
          <w:sz w:val="24"/>
          <w:szCs w:val="24"/>
        </w:rPr>
        <w:t>ify e</w:t>
      </w:r>
      <w:r w:rsidRPr="00A24997">
        <w:rPr>
          <w:rFonts w:ascii="Arial" w:hAnsi="Arial" w:cs="Arial"/>
          <w:sz w:val="24"/>
          <w:szCs w:val="24"/>
        </w:rPr>
        <w:t>mployers of this likely impact and the timing of any change.</w:t>
      </w:r>
    </w:p>
    <w:p w:rsidR="00BA54BF" w:rsidRPr="00A24997" w:rsidRDefault="00BA54BF">
      <w:pPr>
        <w:rPr>
          <w:rFonts w:ascii="Arial" w:hAnsi="Arial" w:cs="Arial"/>
          <w:sz w:val="24"/>
          <w:szCs w:val="24"/>
        </w:rPr>
      </w:pPr>
    </w:p>
    <w:p w:rsidR="00167765" w:rsidRPr="00F469B4" w:rsidRDefault="008C79D1" w:rsidP="001638F8">
      <w:pPr>
        <w:widowControl w:val="0"/>
        <w:jc w:val="both"/>
        <w:outlineLvl w:val="0"/>
        <w:rPr>
          <w:rFonts w:ascii="Arial" w:hAnsi="Arial"/>
          <w:b/>
          <w:snapToGrid w:val="0"/>
          <w:sz w:val="24"/>
          <w:szCs w:val="24"/>
        </w:rPr>
      </w:pPr>
      <w:r w:rsidRPr="00F469B4">
        <w:rPr>
          <w:rFonts w:ascii="Arial" w:hAnsi="Arial"/>
          <w:b/>
          <w:snapToGrid w:val="0"/>
          <w:sz w:val="24"/>
          <w:szCs w:val="24"/>
        </w:rPr>
        <w:t xml:space="preserve">Liquidity and </w:t>
      </w:r>
      <w:r w:rsidR="00C90E51">
        <w:rPr>
          <w:rFonts w:ascii="Arial" w:hAnsi="Arial"/>
          <w:b/>
          <w:snapToGrid w:val="0"/>
          <w:sz w:val="24"/>
          <w:szCs w:val="24"/>
        </w:rPr>
        <w:t>m</w:t>
      </w:r>
      <w:r w:rsidR="00167765" w:rsidRPr="00F469B4">
        <w:rPr>
          <w:rFonts w:ascii="Arial" w:hAnsi="Arial"/>
          <w:b/>
          <w:snapToGrid w:val="0"/>
          <w:sz w:val="24"/>
          <w:szCs w:val="24"/>
        </w:rPr>
        <w:t>aturity</w:t>
      </w:r>
    </w:p>
    <w:p w:rsidR="00167765" w:rsidRPr="00167765" w:rsidRDefault="00167765" w:rsidP="008016C5">
      <w:pPr>
        <w:widowControl w:val="0"/>
        <w:jc w:val="both"/>
        <w:rPr>
          <w:rFonts w:ascii="Arial" w:hAnsi="Arial"/>
          <w:b/>
          <w:i/>
          <w:snapToGrid w:val="0"/>
          <w:sz w:val="24"/>
          <w:szCs w:val="24"/>
        </w:rPr>
      </w:pPr>
    </w:p>
    <w:p w:rsidR="00167765" w:rsidRPr="00167765" w:rsidRDefault="00167765" w:rsidP="008016C5">
      <w:pPr>
        <w:jc w:val="both"/>
        <w:rPr>
          <w:rFonts w:ascii="Arial" w:hAnsi="Arial"/>
          <w:sz w:val="24"/>
          <w:szCs w:val="24"/>
        </w:rPr>
      </w:pPr>
      <w:r w:rsidRPr="00167765">
        <w:rPr>
          <w:rFonts w:ascii="Arial" w:hAnsi="Arial"/>
          <w:sz w:val="24"/>
          <w:szCs w:val="24"/>
        </w:rPr>
        <w:t xml:space="preserve">The LGPS is going through a series of changes, each of which will impact upon the maturity profile of the LGPS and have potential cash flow implications. </w:t>
      </w:r>
      <w:r w:rsidR="00CB22BE">
        <w:rPr>
          <w:rFonts w:ascii="Arial" w:hAnsi="Arial"/>
          <w:sz w:val="24"/>
          <w:szCs w:val="24"/>
        </w:rPr>
        <w:t xml:space="preserve"> </w:t>
      </w:r>
      <w:r w:rsidRPr="00167765">
        <w:rPr>
          <w:rFonts w:ascii="Arial" w:hAnsi="Arial"/>
          <w:sz w:val="24"/>
          <w:szCs w:val="24"/>
        </w:rPr>
        <w:t>The increased emphasis on outsourcing and other alternative models for service delivery may result in the following:</w:t>
      </w:r>
    </w:p>
    <w:p w:rsidR="00C90E51" w:rsidRDefault="00C90E51" w:rsidP="008016C5">
      <w:pPr>
        <w:jc w:val="both"/>
        <w:rPr>
          <w:rFonts w:ascii="Arial" w:hAnsi="Arial"/>
          <w:sz w:val="24"/>
          <w:szCs w:val="24"/>
        </w:rPr>
      </w:pPr>
    </w:p>
    <w:p w:rsidR="00C90E51" w:rsidRPr="00C90E51" w:rsidRDefault="00C90E51" w:rsidP="00C90E51">
      <w:pPr>
        <w:numPr>
          <w:ilvl w:val="0"/>
          <w:numId w:val="16"/>
        </w:numPr>
        <w:jc w:val="both"/>
        <w:rPr>
          <w:rFonts w:ascii="Arial" w:hAnsi="Arial"/>
          <w:sz w:val="24"/>
          <w:szCs w:val="24"/>
        </w:rPr>
      </w:pPr>
      <w:r>
        <w:rPr>
          <w:rFonts w:ascii="Arial" w:hAnsi="Arial"/>
          <w:sz w:val="24"/>
          <w:szCs w:val="24"/>
        </w:rPr>
        <w:t>active members leaving the LGPS;</w:t>
      </w:r>
      <w:r w:rsidRPr="00C90E51">
        <w:rPr>
          <w:rFonts w:ascii="Arial" w:hAnsi="Arial"/>
          <w:sz w:val="24"/>
          <w:szCs w:val="24"/>
        </w:rPr>
        <w:t xml:space="preserve"> </w:t>
      </w:r>
    </w:p>
    <w:p w:rsidR="00C90E51" w:rsidRPr="00C90E51" w:rsidRDefault="00C90E51" w:rsidP="00C90E51">
      <w:pPr>
        <w:numPr>
          <w:ilvl w:val="0"/>
          <w:numId w:val="16"/>
        </w:numPr>
        <w:jc w:val="both"/>
        <w:rPr>
          <w:rFonts w:ascii="Arial" w:hAnsi="Arial"/>
          <w:sz w:val="24"/>
          <w:szCs w:val="24"/>
        </w:rPr>
      </w:pPr>
      <w:r w:rsidRPr="00C90E51">
        <w:rPr>
          <w:rFonts w:ascii="Arial" w:hAnsi="Arial"/>
          <w:sz w:val="24"/>
          <w:szCs w:val="24"/>
        </w:rPr>
        <w:t>transfer</w:t>
      </w:r>
      <w:r w:rsidR="00921CFA">
        <w:rPr>
          <w:rFonts w:ascii="Arial" w:hAnsi="Arial"/>
          <w:sz w:val="24"/>
          <w:szCs w:val="24"/>
        </w:rPr>
        <w:t>s of responsibilities</w:t>
      </w:r>
      <w:r w:rsidRPr="00C90E51">
        <w:rPr>
          <w:rFonts w:ascii="Arial" w:hAnsi="Arial"/>
          <w:sz w:val="24"/>
          <w:szCs w:val="24"/>
        </w:rPr>
        <w:t xml:space="preserve"> between</w:t>
      </w:r>
      <w:r>
        <w:rPr>
          <w:rFonts w:ascii="Arial" w:hAnsi="Arial"/>
          <w:sz w:val="24"/>
          <w:szCs w:val="24"/>
        </w:rPr>
        <w:t xml:space="preserve"> different public sector bodies;</w:t>
      </w:r>
    </w:p>
    <w:p w:rsidR="00C90E51" w:rsidRPr="00C90E51" w:rsidRDefault="00C90E51" w:rsidP="00C90E51">
      <w:pPr>
        <w:numPr>
          <w:ilvl w:val="0"/>
          <w:numId w:val="16"/>
        </w:numPr>
        <w:jc w:val="both"/>
        <w:rPr>
          <w:rFonts w:ascii="Arial" w:hAnsi="Arial"/>
          <w:sz w:val="24"/>
          <w:szCs w:val="24"/>
        </w:rPr>
      </w:pPr>
      <w:r w:rsidRPr="00C90E51">
        <w:rPr>
          <w:rFonts w:ascii="Arial" w:hAnsi="Arial"/>
          <w:sz w:val="24"/>
          <w:szCs w:val="24"/>
        </w:rPr>
        <w:t>scheme changes which might lead to increased opt-outs</w:t>
      </w:r>
      <w:r>
        <w:rPr>
          <w:rFonts w:ascii="Arial" w:hAnsi="Arial"/>
          <w:sz w:val="24"/>
          <w:szCs w:val="24"/>
        </w:rPr>
        <w:t>;</w:t>
      </w:r>
      <w:r w:rsidR="00921CFA">
        <w:rPr>
          <w:rFonts w:ascii="Arial" w:hAnsi="Arial"/>
          <w:sz w:val="24"/>
          <w:szCs w:val="24"/>
        </w:rPr>
        <w:t xml:space="preserve"> and/or</w:t>
      </w:r>
    </w:p>
    <w:p w:rsidR="00C90E51" w:rsidRPr="00C90E51" w:rsidRDefault="00C90E51" w:rsidP="00C90E51">
      <w:pPr>
        <w:numPr>
          <w:ilvl w:val="0"/>
          <w:numId w:val="16"/>
        </w:numPr>
        <w:jc w:val="both"/>
        <w:rPr>
          <w:rFonts w:ascii="Arial" w:hAnsi="Arial"/>
          <w:sz w:val="24"/>
          <w:szCs w:val="24"/>
        </w:rPr>
      </w:pPr>
      <w:r w:rsidRPr="00C90E51">
        <w:rPr>
          <w:rFonts w:ascii="Arial" w:hAnsi="Arial"/>
          <w:sz w:val="24"/>
          <w:szCs w:val="24"/>
        </w:rPr>
        <w:t xml:space="preserve">spending cuts and </w:t>
      </w:r>
      <w:r w:rsidR="00921CFA">
        <w:rPr>
          <w:rFonts w:ascii="Arial" w:hAnsi="Arial"/>
          <w:sz w:val="24"/>
          <w:szCs w:val="24"/>
        </w:rPr>
        <w:t>their</w:t>
      </w:r>
      <w:r w:rsidRPr="00C90E51">
        <w:rPr>
          <w:rFonts w:ascii="Arial" w:hAnsi="Arial"/>
          <w:sz w:val="24"/>
          <w:szCs w:val="24"/>
        </w:rPr>
        <w:t xml:space="preserve"> implications</w:t>
      </w:r>
      <w:r w:rsidR="00921CFA">
        <w:rPr>
          <w:rFonts w:ascii="Arial" w:hAnsi="Arial"/>
          <w:sz w:val="24"/>
          <w:szCs w:val="24"/>
        </w:rPr>
        <w:t>.</w:t>
      </w:r>
      <w:r w:rsidRPr="00C90E51">
        <w:rPr>
          <w:rFonts w:ascii="Arial" w:hAnsi="Arial"/>
          <w:sz w:val="24"/>
          <w:szCs w:val="24"/>
        </w:rPr>
        <w:t xml:space="preserve"> </w:t>
      </w:r>
    </w:p>
    <w:p w:rsidR="00C90E51" w:rsidRPr="00C90E51" w:rsidRDefault="00C90E51" w:rsidP="00C90E51">
      <w:pPr>
        <w:jc w:val="both"/>
        <w:rPr>
          <w:rFonts w:ascii="Arial" w:hAnsi="Arial"/>
          <w:sz w:val="24"/>
          <w:szCs w:val="24"/>
        </w:rPr>
      </w:pPr>
    </w:p>
    <w:p w:rsidR="00167765" w:rsidRPr="00167765" w:rsidRDefault="00167765" w:rsidP="008016C5">
      <w:pPr>
        <w:jc w:val="both"/>
        <w:rPr>
          <w:rFonts w:ascii="Arial" w:hAnsi="Arial"/>
          <w:sz w:val="24"/>
          <w:szCs w:val="24"/>
        </w:rPr>
      </w:pPr>
      <w:r w:rsidRPr="00167765">
        <w:rPr>
          <w:rFonts w:ascii="Arial" w:hAnsi="Arial"/>
          <w:sz w:val="24"/>
          <w:szCs w:val="24"/>
        </w:rPr>
        <w:t xml:space="preserve">All of these may result in workforce reductions that would reduce membership, reduce contributions and prematurely increase retirements in ways that may not </w:t>
      </w:r>
      <w:r w:rsidR="008256A4">
        <w:rPr>
          <w:rFonts w:ascii="Arial" w:hAnsi="Arial"/>
          <w:sz w:val="24"/>
          <w:szCs w:val="24"/>
        </w:rPr>
        <w:t xml:space="preserve">have </w:t>
      </w:r>
      <w:r w:rsidRPr="00167765">
        <w:rPr>
          <w:rFonts w:ascii="Arial" w:hAnsi="Arial"/>
          <w:sz w:val="24"/>
          <w:szCs w:val="24"/>
        </w:rPr>
        <w:t>been taken into account in previous forecasts.</w:t>
      </w:r>
    </w:p>
    <w:p w:rsidR="00167765" w:rsidRPr="00167765" w:rsidRDefault="00167765" w:rsidP="008016C5">
      <w:pPr>
        <w:jc w:val="both"/>
        <w:rPr>
          <w:rFonts w:ascii="Arial" w:hAnsi="Arial"/>
          <w:sz w:val="24"/>
          <w:szCs w:val="24"/>
        </w:rPr>
      </w:pPr>
    </w:p>
    <w:p w:rsidR="00167765" w:rsidRPr="00167765" w:rsidRDefault="00167765" w:rsidP="008016C5">
      <w:pPr>
        <w:jc w:val="both"/>
        <w:rPr>
          <w:rFonts w:ascii="Arial" w:hAnsi="Arial"/>
          <w:sz w:val="24"/>
          <w:szCs w:val="24"/>
        </w:rPr>
      </w:pPr>
      <w:r w:rsidRPr="00167765">
        <w:rPr>
          <w:rFonts w:ascii="Arial" w:hAnsi="Arial" w:cs="Verdana"/>
          <w:spacing w:val="-1"/>
          <w:sz w:val="24"/>
          <w:szCs w:val="24"/>
        </w:rPr>
        <w:t xml:space="preserve">The </w:t>
      </w:r>
      <w:r w:rsidR="00CD42B5">
        <w:rPr>
          <w:rFonts w:ascii="Arial" w:hAnsi="Arial" w:cs="Verdana"/>
          <w:spacing w:val="-1"/>
          <w:sz w:val="24"/>
          <w:szCs w:val="24"/>
        </w:rPr>
        <w:t>a</w:t>
      </w:r>
      <w:r w:rsidR="009B2027">
        <w:rPr>
          <w:rFonts w:ascii="Arial" w:hAnsi="Arial" w:cs="Verdana"/>
          <w:spacing w:val="-1"/>
          <w:sz w:val="24"/>
          <w:szCs w:val="24"/>
        </w:rPr>
        <w:t>dministering authority</w:t>
      </w:r>
      <w:r w:rsidRPr="00167765">
        <w:rPr>
          <w:rFonts w:ascii="Arial" w:hAnsi="Arial" w:cs="Verdana"/>
          <w:sz w:val="24"/>
          <w:szCs w:val="24"/>
        </w:rPr>
        <w:t>’s po</w:t>
      </w:r>
      <w:r w:rsidRPr="00167765">
        <w:rPr>
          <w:rFonts w:ascii="Arial" w:hAnsi="Arial" w:cs="Verdana"/>
          <w:spacing w:val="-1"/>
          <w:sz w:val="24"/>
          <w:szCs w:val="24"/>
        </w:rPr>
        <w:t>li</w:t>
      </w:r>
      <w:r w:rsidRPr="00167765">
        <w:rPr>
          <w:rFonts w:ascii="Arial" w:hAnsi="Arial" w:cs="Verdana"/>
          <w:sz w:val="24"/>
          <w:szCs w:val="24"/>
        </w:rPr>
        <w:t>cy</w:t>
      </w:r>
      <w:r w:rsidRPr="00167765">
        <w:rPr>
          <w:rFonts w:ascii="Arial" w:hAnsi="Arial" w:cs="Verdana"/>
          <w:spacing w:val="8"/>
          <w:sz w:val="24"/>
          <w:szCs w:val="24"/>
        </w:rPr>
        <w:t xml:space="preserve"> </w:t>
      </w:r>
      <w:r w:rsidRPr="00167765">
        <w:rPr>
          <w:rFonts w:ascii="Arial" w:hAnsi="Arial" w:cs="Verdana"/>
          <w:spacing w:val="-1"/>
          <w:sz w:val="24"/>
          <w:szCs w:val="24"/>
        </w:rPr>
        <w:t>i</w:t>
      </w:r>
      <w:r w:rsidRPr="00167765">
        <w:rPr>
          <w:rFonts w:ascii="Arial" w:hAnsi="Arial" w:cs="Verdana"/>
          <w:sz w:val="24"/>
          <w:szCs w:val="24"/>
        </w:rPr>
        <w:t>s</w:t>
      </w:r>
      <w:r w:rsidRPr="00167765">
        <w:rPr>
          <w:rFonts w:ascii="Arial" w:hAnsi="Arial" w:cs="Verdana"/>
          <w:spacing w:val="11"/>
          <w:sz w:val="24"/>
          <w:szCs w:val="24"/>
        </w:rPr>
        <w:t xml:space="preserve"> </w:t>
      </w:r>
      <w:r w:rsidRPr="00167765">
        <w:rPr>
          <w:rFonts w:ascii="Arial" w:hAnsi="Arial" w:cs="Verdana"/>
          <w:sz w:val="24"/>
          <w:szCs w:val="24"/>
        </w:rPr>
        <w:t>to</w:t>
      </w:r>
      <w:r w:rsidRPr="00167765">
        <w:rPr>
          <w:rFonts w:ascii="Arial" w:hAnsi="Arial" w:cs="Verdana"/>
          <w:spacing w:val="8"/>
          <w:sz w:val="24"/>
          <w:szCs w:val="24"/>
        </w:rPr>
        <w:t xml:space="preserve"> </w:t>
      </w:r>
      <w:r w:rsidRPr="00167765">
        <w:rPr>
          <w:rFonts w:ascii="Arial" w:hAnsi="Arial" w:cs="Verdana"/>
          <w:sz w:val="24"/>
          <w:szCs w:val="24"/>
        </w:rPr>
        <w:t>req</w:t>
      </w:r>
      <w:r w:rsidRPr="00167765">
        <w:rPr>
          <w:rFonts w:ascii="Arial" w:hAnsi="Arial" w:cs="Verdana"/>
          <w:spacing w:val="-1"/>
          <w:sz w:val="24"/>
          <w:szCs w:val="24"/>
        </w:rPr>
        <w:t>ui</w:t>
      </w:r>
      <w:r w:rsidRPr="00167765">
        <w:rPr>
          <w:rFonts w:ascii="Arial" w:hAnsi="Arial" w:cs="Verdana"/>
          <w:sz w:val="24"/>
          <w:szCs w:val="24"/>
        </w:rPr>
        <w:t>re</w:t>
      </w:r>
      <w:r w:rsidRPr="00167765">
        <w:rPr>
          <w:rFonts w:ascii="Arial" w:hAnsi="Arial" w:cs="Verdana"/>
          <w:spacing w:val="6"/>
          <w:sz w:val="24"/>
          <w:szCs w:val="24"/>
        </w:rPr>
        <w:t xml:space="preserve"> </w:t>
      </w:r>
      <w:r w:rsidRPr="00167765">
        <w:rPr>
          <w:rFonts w:ascii="Arial" w:hAnsi="Arial" w:cs="Verdana"/>
          <w:sz w:val="24"/>
          <w:szCs w:val="24"/>
        </w:rPr>
        <w:t>r</w:t>
      </w:r>
      <w:r w:rsidRPr="00167765">
        <w:rPr>
          <w:rFonts w:ascii="Arial" w:hAnsi="Arial" w:cs="Verdana"/>
          <w:spacing w:val="-1"/>
          <w:sz w:val="24"/>
          <w:szCs w:val="24"/>
        </w:rPr>
        <w:t>e</w:t>
      </w:r>
      <w:r w:rsidRPr="00167765">
        <w:rPr>
          <w:rFonts w:ascii="Arial" w:hAnsi="Arial" w:cs="Verdana"/>
          <w:sz w:val="24"/>
          <w:szCs w:val="24"/>
        </w:rPr>
        <w:t>g</w:t>
      </w:r>
      <w:r w:rsidRPr="00167765">
        <w:rPr>
          <w:rFonts w:ascii="Arial" w:hAnsi="Arial" w:cs="Verdana"/>
          <w:spacing w:val="-2"/>
          <w:sz w:val="24"/>
          <w:szCs w:val="24"/>
        </w:rPr>
        <w:t>u</w:t>
      </w:r>
      <w:r w:rsidRPr="00167765">
        <w:rPr>
          <w:rFonts w:ascii="Arial" w:hAnsi="Arial" w:cs="Verdana"/>
          <w:sz w:val="24"/>
          <w:szCs w:val="24"/>
        </w:rPr>
        <w:t>lar</w:t>
      </w:r>
      <w:r w:rsidRPr="00167765">
        <w:rPr>
          <w:rFonts w:ascii="Arial" w:hAnsi="Arial" w:cs="Verdana"/>
          <w:spacing w:val="4"/>
          <w:sz w:val="24"/>
          <w:szCs w:val="24"/>
        </w:rPr>
        <w:t xml:space="preserve"> </w:t>
      </w:r>
      <w:r w:rsidRPr="00167765">
        <w:rPr>
          <w:rFonts w:ascii="Arial" w:hAnsi="Arial" w:cs="Verdana"/>
          <w:sz w:val="24"/>
          <w:szCs w:val="24"/>
        </w:rPr>
        <w:t>co</w:t>
      </w:r>
      <w:r w:rsidRPr="00167765">
        <w:rPr>
          <w:rFonts w:ascii="Arial" w:hAnsi="Arial" w:cs="Verdana"/>
          <w:spacing w:val="1"/>
          <w:sz w:val="24"/>
          <w:szCs w:val="24"/>
        </w:rPr>
        <w:t>m</w:t>
      </w:r>
      <w:r w:rsidRPr="00167765">
        <w:rPr>
          <w:rFonts w:ascii="Arial" w:hAnsi="Arial" w:cs="Verdana"/>
          <w:sz w:val="24"/>
          <w:szCs w:val="24"/>
        </w:rPr>
        <w:t>m</w:t>
      </w:r>
      <w:r w:rsidRPr="00167765">
        <w:rPr>
          <w:rFonts w:ascii="Arial" w:hAnsi="Arial" w:cs="Verdana"/>
          <w:spacing w:val="-1"/>
          <w:sz w:val="24"/>
          <w:szCs w:val="24"/>
        </w:rPr>
        <w:t>uni</w:t>
      </w:r>
      <w:r w:rsidRPr="00167765">
        <w:rPr>
          <w:rFonts w:ascii="Arial" w:hAnsi="Arial" w:cs="Verdana"/>
          <w:sz w:val="24"/>
          <w:szCs w:val="24"/>
        </w:rPr>
        <w:t>cat</w:t>
      </w:r>
      <w:r w:rsidRPr="00167765">
        <w:rPr>
          <w:rFonts w:ascii="Arial" w:hAnsi="Arial" w:cs="Verdana"/>
          <w:spacing w:val="-1"/>
          <w:sz w:val="24"/>
          <w:szCs w:val="24"/>
        </w:rPr>
        <w:t>i</w:t>
      </w:r>
      <w:r w:rsidRPr="00167765">
        <w:rPr>
          <w:rFonts w:ascii="Arial" w:hAnsi="Arial" w:cs="Verdana"/>
          <w:spacing w:val="1"/>
          <w:sz w:val="24"/>
          <w:szCs w:val="24"/>
        </w:rPr>
        <w:t>o</w:t>
      </w:r>
      <w:r w:rsidRPr="00167765">
        <w:rPr>
          <w:rFonts w:ascii="Arial" w:hAnsi="Arial" w:cs="Verdana"/>
          <w:sz w:val="24"/>
          <w:szCs w:val="24"/>
        </w:rPr>
        <w:t>n bet</w:t>
      </w:r>
      <w:r w:rsidRPr="00167765">
        <w:rPr>
          <w:rFonts w:ascii="Arial" w:hAnsi="Arial" w:cs="Verdana"/>
          <w:spacing w:val="-2"/>
          <w:sz w:val="24"/>
          <w:szCs w:val="24"/>
        </w:rPr>
        <w:t>w</w:t>
      </w:r>
      <w:r w:rsidRPr="00167765">
        <w:rPr>
          <w:rFonts w:ascii="Arial" w:hAnsi="Arial" w:cs="Verdana"/>
          <w:sz w:val="24"/>
          <w:szCs w:val="24"/>
        </w:rPr>
        <w:t>een</w:t>
      </w:r>
      <w:r w:rsidRPr="00167765">
        <w:rPr>
          <w:rFonts w:ascii="Arial" w:hAnsi="Arial" w:cs="Verdana"/>
          <w:spacing w:val="1"/>
          <w:sz w:val="24"/>
          <w:szCs w:val="24"/>
        </w:rPr>
        <w:t xml:space="preserve"> </w:t>
      </w:r>
      <w:r w:rsidRPr="00167765">
        <w:rPr>
          <w:rFonts w:ascii="Arial" w:hAnsi="Arial" w:cs="Verdana"/>
          <w:sz w:val="24"/>
          <w:szCs w:val="24"/>
        </w:rPr>
        <w:t>itse</w:t>
      </w:r>
      <w:r w:rsidRPr="00167765">
        <w:rPr>
          <w:rFonts w:ascii="Arial" w:hAnsi="Arial" w:cs="Verdana"/>
          <w:spacing w:val="-1"/>
          <w:sz w:val="24"/>
          <w:szCs w:val="24"/>
        </w:rPr>
        <w:t>l</w:t>
      </w:r>
      <w:r w:rsidRPr="00167765">
        <w:rPr>
          <w:rFonts w:ascii="Arial" w:hAnsi="Arial" w:cs="Verdana"/>
          <w:sz w:val="24"/>
          <w:szCs w:val="24"/>
        </w:rPr>
        <w:t>f</w:t>
      </w:r>
      <w:r w:rsidRPr="00167765">
        <w:rPr>
          <w:rFonts w:ascii="Arial" w:hAnsi="Arial" w:cs="Verdana"/>
          <w:spacing w:val="3"/>
          <w:sz w:val="24"/>
          <w:szCs w:val="24"/>
        </w:rPr>
        <w:t xml:space="preserve"> </w:t>
      </w:r>
      <w:r w:rsidRPr="00167765">
        <w:rPr>
          <w:rFonts w:ascii="Arial" w:hAnsi="Arial" w:cs="Verdana"/>
          <w:sz w:val="24"/>
          <w:szCs w:val="24"/>
        </w:rPr>
        <w:t>a</w:t>
      </w:r>
      <w:r w:rsidRPr="00167765">
        <w:rPr>
          <w:rFonts w:ascii="Arial" w:hAnsi="Arial" w:cs="Verdana"/>
          <w:spacing w:val="-2"/>
          <w:sz w:val="24"/>
          <w:szCs w:val="24"/>
        </w:rPr>
        <w:t>n</w:t>
      </w:r>
      <w:r w:rsidRPr="00167765">
        <w:rPr>
          <w:rFonts w:ascii="Arial" w:hAnsi="Arial" w:cs="Verdana"/>
          <w:sz w:val="24"/>
          <w:szCs w:val="24"/>
        </w:rPr>
        <w:t>d</w:t>
      </w:r>
      <w:r w:rsidRPr="00167765">
        <w:rPr>
          <w:rFonts w:ascii="Arial" w:hAnsi="Arial" w:cs="Verdana"/>
          <w:spacing w:val="6"/>
          <w:sz w:val="24"/>
          <w:szCs w:val="24"/>
        </w:rPr>
        <w:t xml:space="preserve"> </w:t>
      </w:r>
      <w:r w:rsidRPr="00167765">
        <w:rPr>
          <w:rFonts w:ascii="Arial" w:hAnsi="Arial" w:cs="Verdana"/>
          <w:spacing w:val="2"/>
          <w:sz w:val="24"/>
          <w:szCs w:val="24"/>
        </w:rPr>
        <w:t>e</w:t>
      </w:r>
      <w:r w:rsidRPr="00167765">
        <w:rPr>
          <w:rFonts w:ascii="Arial" w:hAnsi="Arial" w:cs="Verdana"/>
          <w:sz w:val="24"/>
          <w:szCs w:val="24"/>
        </w:rPr>
        <w:t>mp</w:t>
      </w:r>
      <w:r w:rsidRPr="00167765">
        <w:rPr>
          <w:rFonts w:ascii="Arial" w:hAnsi="Arial" w:cs="Verdana"/>
          <w:spacing w:val="-1"/>
          <w:sz w:val="24"/>
          <w:szCs w:val="24"/>
        </w:rPr>
        <w:t>l</w:t>
      </w:r>
      <w:r w:rsidRPr="00167765">
        <w:rPr>
          <w:rFonts w:ascii="Arial" w:hAnsi="Arial" w:cs="Verdana"/>
          <w:sz w:val="24"/>
          <w:szCs w:val="24"/>
        </w:rPr>
        <w:t>o</w:t>
      </w:r>
      <w:r w:rsidRPr="00167765">
        <w:rPr>
          <w:rFonts w:ascii="Arial" w:hAnsi="Arial" w:cs="Verdana"/>
          <w:spacing w:val="1"/>
          <w:sz w:val="24"/>
          <w:szCs w:val="24"/>
        </w:rPr>
        <w:t>y</w:t>
      </w:r>
      <w:r w:rsidRPr="00167765">
        <w:rPr>
          <w:rFonts w:ascii="Arial" w:hAnsi="Arial" w:cs="Verdana"/>
          <w:sz w:val="24"/>
          <w:szCs w:val="24"/>
        </w:rPr>
        <w:t>e</w:t>
      </w:r>
      <w:r w:rsidRPr="00167765">
        <w:rPr>
          <w:rFonts w:ascii="Arial" w:hAnsi="Arial" w:cs="Verdana"/>
          <w:spacing w:val="-1"/>
          <w:sz w:val="24"/>
          <w:szCs w:val="24"/>
        </w:rPr>
        <w:t>r</w:t>
      </w:r>
      <w:r w:rsidRPr="00167765">
        <w:rPr>
          <w:rFonts w:ascii="Arial" w:hAnsi="Arial" w:cs="Verdana"/>
          <w:sz w:val="24"/>
          <w:szCs w:val="24"/>
        </w:rPr>
        <w:t xml:space="preserve">s </w:t>
      </w:r>
      <w:r w:rsidRPr="00167765">
        <w:rPr>
          <w:rFonts w:ascii="Arial" w:hAnsi="Arial" w:cs="Verdana"/>
          <w:spacing w:val="-2"/>
          <w:sz w:val="24"/>
          <w:szCs w:val="24"/>
        </w:rPr>
        <w:t>a</w:t>
      </w:r>
      <w:r w:rsidRPr="00167765">
        <w:rPr>
          <w:rFonts w:ascii="Arial" w:hAnsi="Arial" w:cs="Verdana"/>
          <w:spacing w:val="-1"/>
          <w:sz w:val="24"/>
          <w:szCs w:val="24"/>
        </w:rPr>
        <w:t>n</w:t>
      </w:r>
      <w:r w:rsidRPr="00167765">
        <w:rPr>
          <w:rFonts w:ascii="Arial" w:hAnsi="Arial" w:cs="Verdana"/>
          <w:sz w:val="24"/>
          <w:szCs w:val="24"/>
        </w:rPr>
        <w:t>d</w:t>
      </w:r>
      <w:r w:rsidRPr="00167765">
        <w:rPr>
          <w:rFonts w:ascii="Arial" w:hAnsi="Arial" w:cs="Verdana"/>
          <w:spacing w:val="5"/>
          <w:sz w:val="24"/>
          <w:szCs w:val="24"/>
        </w:rPr>
        <w:t xml:space="preserve"> </w:t>
      </w:r>
      <w:r w:rsidRPr="00167765">
        <w:rPr>
          <w:rFonts w:ascii="Arial" w:hAnsi="Arial" w:cs="Verdana"/>
          <w:sz w:val="24"/>
          <w:szCs w:val="24"/>
        </w:rPr>
        <w:t>to</w:t>
      </w:r>
      <w:r w:rsidRPr="00167765">
        <w:rPr>
          <w:rFonts w:ascii="Arial" w:hAnsi="Arial" w:cs="Verdana"/>
          <w:spacing w:val="7"/>
          <w:sz w:val="24"/>
          <w:szCs w:val="24"/>
        </w:rPr>
        <w:t xml:space="preserve"> </w:t>
      </w:r>
      <w:r w:rsidRPr="00167765">
        <w:rPr>
          <w:rFonts w:ascii="Arial" w:hAnsi="Arial" w:cs="Verdana"/>
          <w:sz w:val="24"/>
          <w:szCs w:val="24"/>
        </w:rPr>
        <w:t>ensu</w:t>
      </w:r>
      <w:r w:rsidRPr="00167765">
        <w:rPr>
          <w:rFonts w:ascii="Arial" w:hAnsi="Arial" w:cs="Verdana"/>
          <w:spacing w:val="-1"/>
          <w:sz w:val="24"/>
          <w:szCs w:val="24"/>
        </w:rPr>
        <w:t>r</w:t>
      </w:r>
      <w:r w:rsidRPr="00167765">
        <w:rPr>
          <w:rFonts w:ascii="Arial" w:hAnsi="Arial" w:cs="Verdana"/>
          <w:sz w:val="24"/>
          <w:szCs w:val="24"/>
        </w:rPr>
        <w:t>e</w:t>
      </w:r>
      <w:r w:rsidRPr="00167765">
        <w:rPr>
          <w:rFonts w:ascii="Arial" w:hAnsi="Arial" w:cs="Verdana"/>
          <w:spacing w:val="3"/>
          <w:sz w:val="24"/>
          <w:szCs w:val="24"/>
        </w:rPr>
        <w:t xml:space="preserve"> </w:t>
      </w:r>
      <w:r w:rsidRPr="00167765">
        <w:rPr>
          <w:rFonts w:ascii="Arial" w:hAnsi="Arial" w:cs="Verdana"/>
          <w:sz w:val="24"/>
          <w:szCs w:val="24"/>
        </w:rPr>
        <w:t>rev</w:t>
      </w:r>
      <w:r w:rsidRPr="00167765">
        <w:rPr>
          <w:rFonts w:ascii="Arial" w:hAnsi="Arial" w:cs="Verdana"/>
          <w:spacing w:val="-1"/>
          <w:sz w:val="24"/>
          <w:szCs w:val="24"/>
        </w:rPr>
        <w:t>i</w:t>
      </w:r>
      <w:r w:rsidRPr="00167765">
        <w:rPr>
          <w:rFonts w:ascii="Arial" w:hAnsi="Arial" w:cs="Verdana"/>
          <w:sz w:val="24"/>
          <w:szCs w:val="24"/>
        </w:rPr>
        <w:t>ews</w:t>
      </w:r>
      <w:r w:rsidRPr="00167765">
        <w:rPr>
          <w:rFonts w:ascii="Arial" w:hAnsi="Arial" w:cs="Verdana"/>
          <w:spacing w:val="-4"/>
          <w:sz w:val="24"/>
          <w:szCs w:val="24"/>
        </w:rPr>
        <w:t xml:space="preserve"> </w:t>
      </w:r>
      <w:r w:rsidRPr="00167765">
        <w:rPr>
          <w:rFonts w:ascii="Arial" w:hAnsi="Arial" w:cs="Verdana"/>
          <w:sz w:val="24"/>
          <w:szCs w:val="24"/>
        </w:rPr>
        <w:t>of</w:t>
      </w:r>
      <w:r w:rsidRPr="00167765">
        <w:rPr>
          <w:rFonts w:ascii="Arial" w:hAnsi="Arial" w:cs="Verdana"/>
          <w:spacing w:val="1"/>
          <w:sz w:val="24"/>
          <w:szCs w:val="24"/>
        </w:rPr>
        <w:t xml:space="preserve"> maturity at overall Fund and employer level where material issues are identified.</w:t>
      </w:r>
    </w:p>
    <w:p w:rsidR="00167765" w:rsidRDefault="00167765" w:rsidP="00B938DD">
      <w:pPr>
        <w:jc w:val="both"/>
        <w:rPr>
          <w:rFonts w:ascii="Arial" w:hAnsi="Arial" w:cs="Arial"/>
          <w:b/>
          <w:sz w:val="24"/>
          <w:szCs w:val="24"/>
        </w:rPr>
      </w:pPr>
    </w:p>
    <w:p w:rsidR="00BA54BF" w:rsidRPr="00C325AC" w:rsidRDefault="00BA54BF" w:rsidP="001638F8">
      <w:pPr>
        <w:jc w:val="both"/>
        <w:outlineLvl w:val="0"/>
        <w:rPr>
          <w:rFonts w:ascii="Arial" w:hAnsi="Arial" w:cs="Arial"/>
          <w:b/>
          <w:sz w:val="24"/>
          <w:szCs w:val="24"/>
        </w:rPr>
      </w:pPr>
      <w:r w:rsidRPr="00C325AC">
        <w:rPr>
          <w:rFonts w:ascii="Arial" w:hAnsi="Arial" w:cs="Arial"/>
          <w:b/>
          <w:sz w:val="24"/>
          <w:szCs w:val="24"/>
        </w:rPr>
        <w:t>Governance</w:t>
      </w:r>
    </w:p>
    <w:p w:rsidR="00BA54BF" w:rsidRPr="00A24997" w:rsidRDefault="00BA54BF">
      <w:pPr>
        <w:rPr>
          <w:rFonts w:ascii="Arial" w:hAnsi="Arial" w:cs="Arial"/>
          <w:sz w:val="24"/>
          <w:szCs w:val="24"/>
          <w:u w:val="single"/>
        </w:rPr>
      </w:pPr>
    </w:p>
    <w:p w:rsidR="00BA54BF" w:rsidRPr="00A24997" w:rsidRDefault="00BA54BF">
      <w:pPr>
        <w:jc w:val="both"/>
        <w:rPr>
          <w:rFonts w:ascii="Arial" w:hAnsi="Arial" w:cs="Arial"/>
          <w:sz w:val="24"/>
          <w:szCs w:val="24"/>
        </w:rPr>
      </w:pPr>
      <w:r w:rsidRPr="00A24997">
        <w:rPr>
          <w:rFonts w:ascii="Arial" w:hAnsi="Arial" w:cs="Arial"/>
          <w:sz w:val="24"/>
          <w:szCs w:val="24"/>
        </w:rPr>
        <w:t>This covers the risk of unexpected structural changes in the Fund membership (for example the closure of an employer to new entrants or the large scale withdrawal or retirement of groups of staff</w:t>
      </w:r>
      <w:r w:rsidR="000A0473" w:rsidRPr="00A24997">
        <w:rPr>
          <w:rFonts w:ascii="Arial" w:hAnsi="Arial" w:cs="Arial"/>
          <w:sz w:val="24"/>
          <w:szCs w:val="24"/>
        </w:rPr>
        <w:t xml:space="preserve">), and the related risk of the </w:t>
      </w:r>
      <w:r w:rsidR="00CD42B5">
        <w:rPr>
          <w:rFonts w:ascii="Arial" w:hAnsi="Arial" w:cs="Arial"/>
          <w:sz w:val="24"/>
          <w:szCs w:val="24"/>
        </w:rPr>
        <w:t>a</w:t>
      </w:r>
      <w:r w:rsidR="009B2027">
        <w:rPr>
          <w:rFonts w:ascii="Arial" w:hAnsi="Arial" w:cs="Arial"/>
          <w:sz w:val="24"/>
          <w:szCs w:val="24"/>
        </w:rPr>
        <w:t>dministering authority</w:t>
      </w:r>
      <w:r w:rsidRPr="00A24997">
        <w:rPr>
          <w:rFonts w:ascii="Arial" w:hAnsi="Arial" w:cs="Arial"/>
          <w:sz w:val="24"/>
          <w:szCs w:val="24"/>
        </w:rPr>
        <w:t xml:space="preserve"> not being made aware of such changes in a timely manner.</w:t>
      </w:r>
    </w:p>
    <w:p w:rsidR="00BA54BF" w:rsidRPr="00A24997" w:rsidRDefault="00BA54BF">
      <w:pPr>
        <w:jc w:val="both"/>
        <w:rPr>
          <w:rFonts w:ascii="Arial" w:hAnsi="Arial" w:cs="Arial"/>
          <w:sz w:val="24"/>
          <w:szCs w:val="24"/>
        </w:rPr>
      </w:pPr>
    </w:p>
    <w:p w:rsidR="00BA54BF" w:rsidRDefault="000A0473">
      <w:pPr>
        <w:jc w:val="both"/>
        <w:rPr>
          <w:rFonts w:ascii="Arial" w:hAnsi="Arial" w:cs="Arial"/>
          <w:sz w:val="24"/>
          <w:szCs w:val="24"/>
        </w:rPr>
      </w:pPr>
      <w:r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’s policy is to require regular communication between itself and employers, and to ensure regular reviews of such items as bond arrangements, financial standing of non-tax raising employers and funding levels.</w:t>
      </w:r>
    </w:p>
    <w:p w:rsidR="00C325AC" w:rsidRDefault="00C325AC">
      <w:pPr>
        <w:jc w:val="both"/>
        <w:rPr>
          <w:rFonts w:ascii="Arial" w:hAnsi="Arial" w:cs="Arial"/>
          <w:sz w:val="24"/>
          <w:szCs w:val="24"/>
        </w:rPr>
      </w:pPr>
    </w:p>
    <w:p w:rsidR="00C325AC" w:rsidRDefault="00C325AC">
      <w:pPr>
        <w:jc w:val="both"/>
        <w:rPr>
          <w:rFonts w:ascii="Arial" w:hAnsi="Arial" w:cs="Arial"/>
          <w:sz w:val="24"/>
          <w:szCs w:val="24"/>
        </w:rPr>
      </w:pPr>
      <w:r>
        <w:rPr>
          <w:rFonts w:ascii="Arial" w:hAnsi="Arial" w:cs="Arial"/>
          <w:sz w:val="24"/>
          <w:szCs w:val="24"/>
        </w:rPr>
        <w:t>Particular examples are set out below:</w:t>
      </w:r>
    </w:p>
    <w:p w:rsidR="00C325AC" w:rsidRDefault="00C325AC">
      <w:pPr>
        <w:jc w:val="both"/>
        <w:rPr>
          <w:rFonts w:ascii="Arial" w:hAnsi="Arial" w:cs="Arial"/>
          <w:sz w:val="24"/>
          <w:szCs w:val="24"/>
        </w:rPr>
      </w:pPr>
    </w:p>
    <w:p w:rsidR="00C325AC" w:rsidRDefault="00B938DD" w:rsidP="001638F8">
      <w:pPr>
        <w:tabs>
          <w:tab w:val="right" w:pos="9270"/>
        </w:tabs>
        <w:outlineLvl w:val="0"/>
        <w:rPr>
          <w:rFonts w:ascii="Arial" w:hAnsi="Arial" w:cs="Arial"/>
          <w:sz w:val="24"/>
          <w:szCs w:val="24"/>
          <w:u w:val="single"/>
        </w:rPr>
      </w:pPr>
      <w:r>
        <w:rPr>
          <w:rFonts w:ascii="Arial" w:hAnsi="Arial" w:cs="Arial"/>
          <w:sz w:val="24"/>
          <w:szCs w:val="24"/>
          <w:u w:val="single"/>
        </w:rPr>
        <w:t>Early retirement strain p</w:t>
      </w:r>
      <w:r w:rsidR="00C325AC" w:rsidRPr="005001C2">
        <w:rPr>
          <w:rFonts w:ascii="Arial" w:hAnsi="Arial" w:cs="Arial"/>
          <w:sz w:val="24"/>
          <w:szCs w:val="24"/>
          <w:u w:val="single"/>
        </w:rPr>
        <w:t>ayments</w:t>
      </w:r>
    </w:p>
    <w:p w:rsidR="00C325AC" w:rsidRDefault="00C325AC" w:rsidP="00C325AC">
      <w:pPr>
        <w:tabs>
          <w:tab w:val="right" w:pos="9270"/>
        </w:tabs>
        <w:rPr>
          <w:rFonts w:ascii="Arial" w:hAnsi="Arial" w:cs="Arial"/>
          <w:sz w:val="24"/>
          <w:szCs w:val="24"/>
          <w:u w:val="single"/>
        </w:rPr>
      </w:pPr>
    </w:p>
    <w:p w:rsidR="00921CFA" w:rsidRDefault="00921CFA" w:rsidP="00121B2F">
      <w:pPr>
        <w:tabs>
          <w:tab w:val="right" w:pos="9270"/>
        </w:tabs>
        <w:jc w:val="both"/>
        <w:rPr>
          <w:rFonts w:ascii="Arial" w:hAnsi="Arial" w:cs="Arial"/>
          <w:sz w:val="24"/>
          <w:szCs w:val="24"/>
        </w:rPr>
      </w:pPr>
      <w:r w:rsidRPr="00121B2F">
        <w:rPr>
          <w:rFonts w:ascii="Arial" w:hAnsi="Arial" w:cs="Arial"/>
          <w:sz w:val="24"/>
          <w:szCs w:val="24"/>
        </w:rPr>
        <w:t>No allowance is made in the triennial valuation and consequent employer rates for the additional value of the benefits when a member is made redundant or leaves on the grounds of efficiency.</w:t>
      </w:r>
    </w:p>
    <w:p w:rsidR="00921CFA" w:rsidRPr="00121B2F" w:rsidRDefault="00921CFA" w:rsidP="00121B2F">
      <w:pPr>
        <w:tabs>
          <w:tab w:val="right" w:pos="9270"/>
        </w:tabs>
        <w:jc w:val="both"/>
        <w:rPr>
          <w:rFonts w:ascii="Arial" w:hAnsi="Arial" w:cs="Arial"/>
          <w:sz w:val="24"/>
          <w:szCs w:val="24"/>
        </w:rPr>
      </w:pPr>
    </w:p>
    <w:p w:rsidR="00217516" w:rsidRDefault="00921CFA" w:rsidP="008A515D">
      <w:pPr>
        <w:pStyle w:val="Normalplus"/>
        <w:spacing w:after="0"/>
        <w:jc w:val="both"/>
        <w:outlineLvl w:val="0"/>
        <w:rPr>
          <w:rFonts w:ascii="Arial" w:hAnsi="Arial" w:cs="Arial"/>
          <w:sz w:val="24"/>
          <w:szCs w:val="24"/>
        </w:rPr>
      </w:pPr>
      <w:r w:rsidRPr="00121B2F">
        <w:rPr>
          <w:rFonts w:ascii="Arial" w:hAnsi="Arial" w:cs="Arial"/>
          <w:sz w:val="24"/>
          <w:szCs w:val="24"/>
        </w:rPr>
        <w:t>To counter the potential increase in Funding Target emerging at the next valuation</w:t>
      </w:r>
      <w:r>
        <w:rPr>
          <w:rFonts w:ascii="Arial" w:hAnsi="Arial" w:cs="Arial"/>
          <w:sz w:val="24"/>
          <w:szCs w:val="24"/>
        </w:rPr>
        <w:t>,</w:t>
      </w:r>
      <w:r w:rsidRPr="00121B2F">
        <w:rPr>
          <w:rFonts w:ascii="Arial" w:hAnsi="Arial" w:cs="Arial"/>
          <w:sz w:val="24"/>
          <w:szCs w:val="24"/>
        </w:rPr>
        <w:t xml:space="preserve"> a payment is </w:t>
      </w:r>
      <w:r w:rsidRPr="008E3062">
        <w:rPr>
          <w:rFonts w:ascii="Arial" w:hAnsi="Arial" w:cs="Arial"/>
          <w:sz w:val="24"/>
          <w:szCs w:val="24"/>
        </w:rPr>
        <w:t>calculated</w:t>
      </w:r>
      <w:r w:rsidRPr="00121B2F">
        <w:rPr>
          <w:rFonts w:ascii="Arial" w:hAnsi="Arial" w:cs="Arial"/>
          <w:sz w:val="24"/>
          <w:szCs w:val="24"/>
        </w:rPr>
        <w:t xml:space="preserve"> </w:t>
      </w:r>
      <w:r>
        <w:rPr>
          <w:rFonts w:ascii="Arial" w:hAnsi="Arial" w:cs="Arial"/>
          <w:sz w:val="24"/>
          <w:szCs w:val="24"/>
        </w:rPr>
        <w:t>(</w:t>
      </w:r>
      <w:r w:rsidRPr="00121B2F">
        <w:rPr>
          <w:rFonts w:ascii="Arial" w:hAnsi="Arial" w:cs="Arial"/>
          <w:sz w:val="24"/>
          <w:szCs w:val="24"/>
        </w:rPr>
        <w:t>using methods and assumptions agreed with the Fund Actuary</w:t>
      </w:r>
      <w:r>
        <w:rPr>
          <w:rFonts w:ascii="Arial" w:hAnsi="Arial" w:cs="Arial"/>
          <w:sz w:val="24"/>
          <w:szCs w:val="24"/>
        </w:rPr>
        <w:t>)</w:t>
      </w:r>
      <w:r w:rsidRPr="00121B2F">
        <w:rPr>
          <w:rFonts w:ascii="Arial" w:hAnsi="Arial" w:cs="Arial"/>
          <w:sz w:val="24"/>
          <w:szCs w:val="24"/>
        </w:rPr>
        <w:t xml:space="preserve"> and made by the Scheme Employer to the Fund to meet this additional cost at the date the member is made redundant or leaves on the grounds of efficiency. </w:t>
      </w:r>
    </w:p>
    <w:p w:rsidR="00217516" w:rsidRDefault="00217516" w:rsidP="001638F8">
      <w:pPr>
        <w:pStyle w:val="Normalplus"/>
        <w:spacing w:after="0"/>
        <w:outlineLvl w:val="0"/>
        <w:rPr>
          <w:rFonts w:ascii="Arial" w:hAnsi="Arial" w:cs="Arial"/>
          <w:sz w:val="24"/>
          <w:szCs w:val="24"/>
        </w:rPr>
      </w:pPr>
    </w:p>
    <w:p w:rsidR="00C325AC" w:rsidRDefault="00C325AC" w:rsidP="001638F8">
      <w:pPr>
        <w:pStyle w:val="Normalplus"/>
        <w:spacing w:after="0"/>
        <w:outlineLvl w:val="0"/>
        <w:rPr>
          <w:rFonts w:ascii="Arial" w:hAnsi="Arial" w:cs="Arial"/>
          <w:sz w:val="24"/>
          <w:szCs w:val="24"/>
          <w:u w:val="single"/>
        </w:rPr>
      </w:pPr>
      <w:r w:rsidRPr="005001C2">
        <w:rPr>
          <w:rFonts w:ascii="Arial" w:hAnsi="Arial" w:cs="Arial"/>
          <w:sz w:val="24"/>
          <w:szCs w:val="24"/>
          <w:u w:val="single"/>
        </w:rPr>
        <w:t>Body ceasing to exist with unpaid deficiency</w:t>
      </w:r>
    </w:p>
    <w:p w:rsidR="00C325AC" w:rsidRPr="005001C2" w:rsidRDefault="00C325AC" w:rsidP="00C325AC">
      <w:pPr>
        <w:pStyle w:val="Normalplus"/>
        <w:spacing w:after="0"/>
        <w:rPr>
          <w:rFonts w:ascii="Arial" w:hAnsi="Arial" w:cs="Arial"/>
          <w:sz w:val="24"/>
          <w:szCs w:val="24"/>
          <w:u w:val="single"/>
        </w:rPr>
      </w:pPr>
    </w:p>
    <w:p w:rsidR="00C325AC" w:rsidRPr="00737E85" w:rsidRDefault="00C325AC" w:rsidP="00C76F41">
      <w:pPr>
        <w:pStyle w:val="Normalplus"/>
        <w:spacing w:after="0"/>
        <w:jc w:val="both"/>
        <w:rPr>
          <w:rFonts w:ascii="Arial" w:hAnsi="Arial" w:cs="Arial"/>
          <w:sz w:val="24"/>
          <w:szCs w:val="24"/>
          <w:u w:val="single"/>
        </w:rPr>
      </w:pPr>
      <w:r w:rsidRPr="005001C2">
        <w:rPr>
          <w:rFonts w:ascii="Arial" w:hAnsi="Arial" w:cs="Arial"/>
          <w:sz w:val="24"/>
          <w:szCs w:val="24"/>
        </w:rPr>
        <w:t>Some employers can cease to exist and</w:t>
      </w:r>
      <w:r w:rsidR="00583339">
        <w:rPr>
          <w:rFonts w:ascii="Arial" w:hAnsi="Arial" w:cs="Arial"/>
          <w:sz w:val="24"/>
          <w:szCs w:val="24"/>
        </w:rPr>
        <w:t xml:space="preserve">/or </w:t>
      </w:r>
      <w:r w:rsidRPr="005001C2">
        <w:rPr>
          <w:rFonts w:ascii="Arial" w:hAnsi="Arial" w:cs="Arial"/>
          <w:sz w:val="24"/>
          <w:szCs w:val="24"/>
        </w:rPr>
        <w:t>become insolvent</w:t>
      </w:r>
      <w:r w:rsidR="005C4461">
        <w:rPr>
          <w:rFonts w:ascii="Arial" w:hAnsi="Arial" w:cs="Arial"/>
          <w:sz w:val="24"/>
          <w:szCs w:val="24"/>
        </w:rPr>
        <w:t>,</w:t>
      </w:r>
      <w:r w:rsidRPr="005001C2">
        <w:rPr>
          <w:rFonts w:ascii="Arial" w:hAnsi="Arial" w:cs="Arial"/>
          <w:sz w:val="24"/>
          <w:szCs w:val="24"/>
        </w:rPr>
        <w:t xml:space="preserve"> leaving the employers in the Fund open to the risk of an unpaid defici</w:t>
      </w:r>
      <w:r w:rsidR="00E07133">
        <w:rPr>
          <w:rFonts w:ascii="Arial" w:hAnsi="Arial" w:cs="Arial"/>
          <w:sz w:val="24"/>
          <w:szCs w:val="24"/>
        </w:rPr>
        <w:t>ency</w:t>
      </w:r>
      <w:r w:rsidRPr="005001C2">
        <w:rPr>
          <w:rFonts w:ascii="Arial" w:hAnsi="Arial" w:cs="Arial"/>
          <w:sz w:val="24"/>
          <w:szCs w:val="24"/>
        </w:rPr>
        <w:t>.</w:t>
      </w:r>
      <w:r w:rsidR="00C76F41">
        <w:rPr>
          <w:rFonts w:ascii="Arial" w:hAnsi="Arial" w:cs="Arial"/>
          <w:sz w:val="24"/>
          <w:szCs w:val="24"/>
        </w:rPr>
        <w:t xml:space="preserve"> </w:t>
      </w:r>
      <w:r w:rsidR="00CB22BE">
        <w:rPr>
          <w:rFonts w:ascii="Arial" w:hAnsi="Arial" w:cs="Arial"/>
          <w:sz w:val="24"/>
          <w:szCs w:val="24"/>
        </w:rPr>
        <w:t xml:space="preserve"> </w:t>
      </w:r>
      <w:r w:rsidRPr="005001C2">
        <w:rPr>
          <w:rFonts w:ascii="Arial" w:hAnsi="Arial" w:cs="Arial"/>
          <w:sz w:val="24"/>
          <w:szCs w:val="24"/>
        </w:rPr>
        <w:t>Any such defici</w:t>
      </w:r>
      <w:r w:rsidR="00E07133">
        <w:rPr>
          <w:rFonts w:ascii="Arial" w:hAnsi="Arial" w:cs="Arial"/>
          <w:sz w:val="24"/>
          <w:szCs w:val="24"/>
        </w:rPr>
        <w:t>ency</w:t>
      </w:r>
      <w:r w:rsidRPr="005001C2">
        <w:rPr>
          <w:rFonts w:ascii="Arial" w:hAnsi="Arial" w:cs="Arial"/>
          <w:sz w:val="24"/>
          <w:szCs w:val="24"/>
        </w:rPr>
        <w:t xml:space="preserve"> will be met by the </w:t>
      </w:r>
      <w:r w:rsidR="00C76F41">
        <w:rPr>
          <w:rFonts w:ascii="Arial" w:hAnsi="Arial" w:cs="Arial"/>
          <w:sz w:val="24"/>
          <w:szCs w:val="24"/>
        </w:rPr>
        <w:t>r</w:t>
      </w:r>
      <w:r w:rsidR="000E0ED6">
        <w:rPr>
          <w:rFonts w:ascii="Arial" w:hAnsi="Arial" w:cs="Arial"/>
          <w:sz w:val="24"/>
          <w:szCs w:val="24"/>
        </w:rPr>
        <w:t>elevant</w:t>
      </w:r>
      <w:r w:rsidRPr="005001C2">
        <w:rPr>
          <w:rFonts w:ascii="Arial" w:hAnsi="Arial" w:cs="Arial"/>
          <w:sz w:val="24"/>
          <w:szCs w:val="24"/>
        </w:rPr>
        <w:t xml:space="preserve"> Scheme Employer with regard to a </w:t>
      </w:r>
      <w:r w:rsidR="00D2005C">
        <w:rPr>
          <w:rFonts w:ascii="Arial" w:hAnsi="Arial" w:cs="Arial"/>
          <w:sz w:val="24"/>
          <w:szCs w:val="24"/>
        </w:rPr>
        <w:t>1(d)</w:t>
      </w:r>
      <w:r w:rsidRPr="005001C2">
        <w:rPr>
          <w:rFonts w:ascii="Arial" w:hAnsi="Arial" w:cs="Arial"/>
          <w:sz w:val="24"/>
          <w:szCs w:val="24"/>
        </w:rPr>
        <w:t xml:space="preserve"> </w:t>
      </w:r>
      <w:r w:rsidR="00E07133">
        <w:rPr>
          <w:rFonts w:ascii="Arial" w:hAnsi="Arial" w:cs="Arial"/>
          <w:sz w:val="24"/>
          <w:szCs w:val="24"/>
        </w:rPr>
        <w:t>A</w:t>
      </w:r>
      <w:r w:rsidRPr="005001C2">
        <w:rPr>
          <w:rFonts w:ascii="Arial" w:hAnsi="Arial" w:cs="Arial"/>
          <w:sz w:val="24"/>
          <w:szCs w:val="24"/>
        </w:rPr>
        <w:t xml:space="preserve">dmission </w:t>
      </w:r>
      <w:r w:rsidR="00E07133">
        <w:rPr>
          <w:rFonts w:ascii="Arial" w:hAnsi="Arial" w:cs="Arial"/>
          <w:sz w:val="24"/>
          <w:szCs w:val="24"/>
        </w:rPr>
        <w:t>B</w:t>
      </w:r>
      <w:r w:rsidRPr="005001C2">
        <w:rPr>
          <w:rFonts w:ascii="Arial" w:hAnsi="Arial" w:cs="Arial"/>
          <w:sz w:val="24"/>
          <w:szCs w:val="24"/>
        </w:rPr>
        <w:t xml:space="preserve">ody and there is therefore no risk to other employers in the Fund (provided of course that the </w:t>
      </w:r>
      <w:r w:rsidR="00C76F41">
        <w:rPr>
          <w:rFonts w:ascii="Arial" w:hAnsi="Arial" w:cs="Arial"/>
          <w:sz w:val="24"/>
          <w:szCs w:val="24"/>
        </w:rPr>
        <w:t>r</w:t>
      </w:r>
      <w:r w:rsidR="000E0ED6">
        <w:rPr>
          <w:rFonts w:ascii="Arial" w:hAnsi="Arial" w:cs="Arial"/>
          <w:sz w:val="24"/>
          <w:szCs w:val="24"/>
        </w:rPr>
        <w:t>elevant</w:t>
      </w:r>
      <w:r w:rsidRPr="005001C2">
        <w:rPr>
          <w:rFonts w:ascii="Arial" w:hAnsi="Arial" w:cs="Arial"/>
          <w:sz w:val="24"/>
          <w:szCs w:val="24"/>
        </w:rPr>
        <w:t xml:space="preserve"> Scheme Employer is itself of good covenant).</w:t>
      </w:r>
      <w:r w:rsidR="00737E85">
        <w:t xml:space="preserve"> </w:t>
      </w:r>
      <w:r w:rsidR="00CB22BE">
        <w:t xml:space="preserve"> </w:t>
      </w:r>
      <w:r w:rsidR="00737E85" w:rsidRPr="00737E85">
        <w:rPr>
          <w:rFonts w:ascii="Arial" w:hAnsi="Arial" w:cs="Arial"/>
          <w:sz w:val="24"/>
          <w:szCs w:val="24"/>
        </w:rPr>
        <w:t>Any unpaid defici</w:t>
      </w:r>
      <w:r w:rsidR="00E07133">
        <w:rPr>
          <w:rFonts w:ascii="Arial" w:hAnsi="Arial" w:cs="Arial"/>
          <w:sz w:val="24"/>
          <w:szCs w:val="24"/>
        </w:rPr>
        <w:t>ency</w:t>
      </w:r>
      <w:r w:rsidR="00737E85" w:rsidRPr="00737E85">
        <w:rPr>
          <w:rFonts w:ascii="Arial" w:hAnsi="Arial" w:cs="Arial"/>
          <w:sz w:val="24"/>
          <w:szCs w:val="24"/>
        </w:rPr>
        <w:t xml:space="preserve"> </w:t>
      </w:r>
      <w:r w:rsidR="00737E85">
        <w:rPr>
          <w:rFonts w:ascii="Arial" w:hAnsi="Arial" w:cs="Arial"/>
          <w:sz w:val="24"/>
          <w:szCs w:val="24"/>
        </w:rPr>
        <w:t>in relation to o</w:t>
      </w:r>
      <w:r w:rsidRPr="00737E85">
        <w:rPr>
          <w:rFonts w:ascii="Arial" w:hAnsi="Arial" w:cs="Arial"/>
          <w:sz w:val="24"/>
          <w:szCs w:val="24"/>
        </w:rPr>
        <w:t xml:space="preserve">ther employers </w:t>
      </w:r>
      <w:r w:rsidR="00737E85">
        <w:rPr>
          <w:rFonts w:ascii="Arial" w:hAnsi="Arial" w:cs="Arial"/>
          <w:sz w:val="24"/>
          <w:szCs w:val="24"/>
        </w:rPr>
        <w:t xml:space="preserve">falls on </w:t>
      </w:r>
      <w:r w:rsidR="005C4461">
        <w:rPr>
          <w:rFonts w:ascii="Arial" w:hAnsi="Arial" w:cs="Arial"/>
          <w:sz w:val="24"/>
          <w:szCs w:val="24"/>
        </w:rPr>
        <w:t xml:space="preserve">all </w:t>
      </w:r>
      <w:r w:rsidR="00737E85">
        <w:rPr>
          <w:rFonts w:ascii="Arial" w:hAnsi="Arial" w:cs="Arial"/>
          <w:sz w:val="24"/>
          <w:szCs w:val="24"/>
        </w:rPr>
        <w:t>employers in the Fund</w:t>
      </w:r>
      <w:r w:rsidR="005C4461">
        <w:rPr>
          <w:rFonts w:ascii="Arial" w:hAnsi="Arial" w:cs="Arial"/>
          <w:sz w:val="24"/>
          <w:szCs w:val="24"/>
        </w:rPr>
        <w:t>,</w:t>
      </w:r>
      <w:r w:rsidR="00737E85">
        <w:rPr>
          <w:rFonts w:ascii="Arial" w:hAnsi="Arial" w:cs="Arial"/>
          <w:sz w:val="24"/>
          <w:szCs w:val="24"/>
        </w:rPr>
        <w:t xml:space="preserve"> </w:t>
      </w:r>
      <w:r w:rsidRPr="00737E85">
        <w:rPr>
          <w:rFonts w:ascii="Arial" w:hAnsi="Arial" w:cs="Arial"/>
          <w:sz w:val="24"/>
          <w:szCs w:val="24"/>
        </w:rPr>
        <w:t xml:space="preserve">and the </w:t>
      </w:r>
      <w:r w:rsidR="00CD42B5">
        <w:rPr>
          <w:rFonts w:ascii="Arial" w:hAnsi="Arial" w:cs="Arial"/>
          <w:sz w:val="24"/>
          <w:szCs w:val="24"/>
        </w:rPr>
        <w:t>a</w:t>
      </w:r>
      <w:r w:rsidR="009B2027">
        <w:rPr>
          <w:rFonts w:ascii="Arial" w:hAnsi="Arial" w:cs="Arial"/>
          <w:sz w:val="24"/>
          <w:szCs w:val="24"/>
        </w:rPr>
        <w:t>dministering authority</w:t>
      </w:r>
      <w:r w:rsidRPr="00737E85">
        <w:rPr>
          <w:rFonts w:ascii="Arial" w:hAnsi="Arial" w:cs="Arial"/>
          <w:sz w:val="24"/>
          <w:szCs w:val="24"/>
        </w:rPr>
        <w:t xml:space="preserve"> will ensure that r</w:t>
      </w:r>
      <w:r w:rsidR="00B43938">
        <w:rPr>
          <w:rFonts w:ascii="Arial" w:hAnsi="Arial" w:cs="Arial"/>
          <w:sz w:val="24"/>
          <w:szCs w:val="24"/>
        </w:rPr>
        <w:t>isks are reduced by use of bond</w:t>
      </w:r>
      <w:r w:rsidRPr="00737E85">
        <w:rPr>
          <w:rFonts w:ascii="Arial" w:hAnsi="Arial" w:cs="Arial"/>
          <w:sz w:val="24"/>
          <w:szCs w:val="24"/>
        </w:rPr>
        <w:t xml:space="preserve"> arrangements or ensuring there is a </w:t>
      </w:r>
      <w:r w:rsidR="00F30430">
        <w:rPr>
          <w:rFonts w:ascii="Arial" w:hAnsi="Arial" w:cs="Arial"/>
          <w:sz w:val="24"/>
          <w:szCs w:val="24"/>
        </w:rPr>
        <w:t>G</w:t>
      </w:r>
      <w:r w:rsidRPr="00737E85">
        <w:rPr>
          <w:rFonts w:ascii="Arial" w:hAnsi="Arial" w:cs="Arial"/>
          <w:sz w:val="24"/>
          <w:szCs w:val="24"/>
        </w:rPr>
        <w:t>uarantor to back the liabilities of the body.</w:t>
      </w:r>
    </w:p>
    <w:p w:rsidR="00C325AC" w:rsidRDefault="00C325AC" w:rsidP="00C325AC">
      <w:pPr>
        <w:pStyle w:val="Normalplus"/>
        <w:spacing w:after="0"/>
        <w:rPr>
          <w:rFonts w:ascii="Arial" w:hAnsi="Arial" w:cs="Arial"/>
          <w:sz w:val="24"/>
          <w:szCs w:val="24"/>
        </w:rPr>
      </w:pPr>
    </w:p>
    <w:p w:rsidR="00C325AC" w:rsidRPr="00220634" w:rsidRDefault="00C325AC" w:rsidP="001638F8">
      <w:pPr>
        <w:pStyle w:val="Normalplus"/>
        <w:spacing w:after="0"/>
        <w:outlineLvl w:val="0"/>
        <w:rPr>
          <w:rFonts w:ascii="Arial" w:hAnsi="Arial" w:cs="Arial"/>
          <w:sz w:val="24"/>
          <w:szCs w:val="24"/>
          <w:u w:val="single"/>
        </w:rPr>
      </w:pPr>
      <w:r w:rsidRPr="00220634">
        <w:rPr>
          <w:rFonts w:ascii="Arial" w:hAnsi="Arial" w:cs="Arial"/>
          <w:sz w:val="24"/>
          <w:szCs w:val="24"/>
          <w:u w:val="single"/>
        </w:rPr>
        <w:t xml:space="preserve">Employers with </w:t>
      </w:r>
      <w:r w:rsidR="00C76F41">
        <w:rPr>
          <w:rFonts w:ascii="Arial" w:hAnsi="Arial" w:cs="Arial"/>
          <w:sz w:val="24"/>
          <w:szCs w:val="24"/>
          <w:u w:val="single"/>
        </w:rPr>
        <w:t xml:space="preserve">a </w:t>
      </w:r>
      <w:r w:rsidRPr="00220634">
        <w:rPr>
          <w:rFonts w:ascii="Arial" w:hAnsi="Arial" w:cs="Arial"/>
          <w:sz w:val="24"/>
          <w:szCs w:val="24"/>
          <w:u w:val="single"/>
        </w:rPr>
        <w:t>small and declining number of contributing members</w:t>
      </w:r>
    </w:p>
    <w:p w:rsidR="00C325AC" w:rsidRDefault="00C325AC" w:rsidP="00C325AC">
      <w:pPr>
        <w:pStyle w:val="Normalplus"/>
        <w:spacing w:after="0"/>
        <w:rPr>
          <w:rFonts w:ascii="Arial" w:hAnsi="Arial" w:cs="Arial"/>
          <w:sz w:val="24"/>
          <w:szCs w:val="24"/>
        </w:rPr>
      </w:pPr>
    </w:p>
    <w:p w:rsidR="00C325AC" w:rsidRPr="005001C2" w:rsidRDefault="00C325AC" w:rsidP="00C76F41">
      <w:pPr>
        <w:pStyle w:val="Normalplus"/>
        <w:spacing w:after="0"/>
        <w:jc w:val="both"/>
        <w:rPr>
          <w:rFonts w:ascii="Arial" w:hAnsi="Arial" w:cs="Arial"/>
          <w:sz w:val="24"/>
          <w:szCs w:val="24"/>
        </w:rPr>
      </w:pPr>
      <w:r w:rsidRPr="005001C2">
        <w:rPr>
          <w:rFonts w:ascii="Arial" w:hAnsi="Arial" w:cs="Arial"/>
          <w:sz w:val="24"/>
          <w:szCs w:val="24"/>
        </w:rPr>
        <w:t>A recent legal judgement indicates that under the current LGPS regulations</w:t>
      </w:r>
      <w:r w:rsidR="005C4461">
        <w:rPr>
          <w:rFonts w:ascii="Arial" w:hAnsi="Arial" w:cs="Arial"/>
          <w:sz w:val="24"/>
          <w:szCs w:val="24"/>
        </w:rPr>
        <w:t>,</w:t>
      </w:r>
      <w:r w:rsidRPr="005001C2">
        <w:rPr>
          <w:rFonts w:ascii="Arial" w:hAnsi="Arial" w:cs="Arial"/>
          <w:sz w:val="24"/>
          <w:szCs w:val="24"/>
        </w:rPr>
        <w:t xml:space="preserve"> employers with no contributing members cannot be charged contributions</w:t>
      </w:r>
      <w:r w:rsidR="00F15B49">
        <w:rPr>
          <w:rFonts w:ascii="Arial" w:hAnsi="Arial" w:cs="Arial"/>
          <w:sz w:val="24"/>
          <w:szCs w:val="24"/>
        </w:rPr>
        <w:t xml:space="preserve"> under </w:t>
      </w:r>
      <w:r w:rsidR="0025436E">
        <w:rPr>
          <w:rFonts w:ascii="Arial" w:hAnsi="Arial" w:cs="Arial"/>
          <w:sz w:val="24"/>
          <w:szCs w:val="24"/>
        </w:rPr>
        <w:t>Regulation 62 of the 2013 Regulations</w:t>
      </w:r>
      <w:r w:rsidRPr="005001C2">
        <w:rPr>
          <w:rFonts w:ascii="Arial" w:hAnsi="Arial" w:cs="Arial"/>
          <w:sz w:val="24"/>
          <w:szCs w:val="24"/>
        </w:rPr>
        <w:t xml:space="preserve">. </w:t>
      </w:r>
      <w:r w:rsidR="00CB22BE">
        <w:rPr>
          <w:rFonts w:ascii="Arial" w:hAnsi="Arial" w:cs="Arial"/>
          <w:sz w:val="24"/>
          <w:szCs w:val="24"/>
        </w:rPr>
        <w:t xml:space="preserve"> </w:t>
      </w:r>
      <w:r w:rsidRPr="005001C2">
        <w:rPr>
          <w:rFonts w:ascii="Arial" w:hAnsi="Arial" w:cs="Arial"/>
          <w:sz w:val="24"/>
          <w:szCs w:val="24"/>
        </w:rPr>
        <w:t>This ruling, however, does not affect the ability to collect contributions following a</w:t>
      </w:r>
      <w:r w:rsidR="00FF08B7">
        <w:rPr>
          <w:rFonts w:ascii="Arial" w:hAnsi="Arial" w:cs="Arial"/>
          <w:sz w:val="24"/>
          <w:szCs w:val="24"/>
        </w:rPr>
        <w:t xml:space="preserve">n exit </w:t>
      </w:r>
      <w:r w:rsidRPr="005001C2">
        <w:rPr>
          <w:rFonts w:ascii="Arial" w:hAnsi="Arial" w:cs="Arial"/>
          <w:sz w:val="24"/>
          <w:szCs w:val="24"/>
        </w:rPr>
        <w:t xml:space="preserve">valuation </w:t>
      </w:r>
      <w:r w:rsidR="00F15B49">
        <w:rPr>
          <w:rFonts w:ascii="Arial" w:hAnsi="Arial" w:cs="Arial"/>
          <w:sz w:val="24"/>
          <w:szCs w:val="24"/>
        </w:rPr>
        <w:t xml:space="preserve">under </w:t>
      </w:r>
      <w:r w:rsidR="0025436E">
        <w:rPr>
          <w:rFonts w:ascii="Arial" w:hAnsi="Arial" w:cs="Arial"/>
          <w:sz w:val="24"/>
          <w:szCs w:val="24"/>
        </w:rPr>
        <w:t>Regulation 64 of the 2013 Regulations</w:t>
      </w:r>
      <w:r w:rsidRPr="005001C2">
        <w:rPr>
          <w:rFonts w:ascii="Arial" w:hAnsi="Arial" w:cs="Arial"/>
          <w:sz w:val="24"/>
          <w:szCs w:val="24"/>
        </w:rPr>
        <w:t xml:space="preserve">. </w:t>
      </w:r>
      <w:r w:rsidR="00CB22BE">
        <w:rPr>
          <w:rFonts w:ascii="Arial" w:hAnsi="Arial" w:cs="Arial"/>
          <w:sz w:val="24"/>
          <w:szCs w:val="24"/>
        </w:rPr>
        <w:t xml:space="preserve"> </w:t>
      </w:r>
      <w:r w:rsidRPr="005001C2">
        <w:rPr>
          <w:rFonts w:ascii="Arial" w:hAnsi="Arial" w:cs="Arial"/>
          <w:sz w:val="24"/>
          <w:szCs w:val="24"/>
        </w:rPr>
        <w:t>The regulations may alter in the future</w:t>
      </w:r>
      <w:r w:rsidR="005C4461">
        <w:rPr>
          <w:rFonts w:ascii="Arial" w:hAnsi="Arial" w:cs="Arial"/>
          <w:sz w:val="24"/>
          <w:szCs w:val="24"/>
        </w:rPr>
        <w:t>,</w:t>
      </w:r>
      <w:r w:rsidRPr="005001C2">
        <w:rPr>
          <w:rFonts w:ascii="Arial" w:hAnsi="Arial" w:cs="Arial"/>
          <w:sz w:val="24"/>
          <w:szCs w:val="24"/>
        </w:rPr>
        <w:t xml:space="preserve"> but there is a risk of a </w:t>
      </w:r>
      <w:r w:rsidR="00220634">
        <w:rPr>
          <w:rFonts w:ascii="Arial" w:hAnsi="Arial" w:cs="Arial"/>
          <w:sz w:val="24"/>
          <w:szCs w:val="24"/>
        </w:rPr>
        <w:t>b</w:t>
      </w:r>
      <w:r w:rsidRPr="005001C2">
        <w:rPr>
          <w:rFonts w:ascii="Arial" w:hAnsi="Arial" w:cs="Arial"/>
          <w:sz w:val="24"/>
          <w:szCs w:val="24"/>
        </w:rPr>
        <w:t>ody ceasing to pay contributions with a defici</w:t>
      </w:r>
      <w:r w:rsidR="00F30430">
        <w:rPr>
          <w:rFonts w:ascii="Arial" w:hAnsi="Arial" w:cs="Arial"/>
          <w:sz w:val="24"/>
          <w:szCs w:val="24"/>
        </w:rPr>
        <w:t>ency</w:t>
      </w:r>
      <w:r w:rsidRPr="005001C2">
        <w:rPr>
          <w:rFonts w:ascii="Arial" w:hAnsi="Arial" w:cs="Arial"/>
          <w:sz w:val="24"/>
          <w:szCs w:val="24"/>
        </w:rPr>
        <w:t xml:space="preserve"> in the Fund. </w:t>
      </w:r>
    </w:p>
    <w:p w:rsidR="00C325AC" w:rsidRDefault="00C325AC" w:rsidP="00C325AC">
      <w:pPr>
        <w:pStyle w:val="Normalplus"/>
        <w:spacing w:after="0"/>
        <w:rPr>
          <w:rFonts w:ascii="Arial" w:hAnsi="Arial" w:cs="Arial"/>
          <w:sz w:val="24"/>
          <w:szCs w:val="24"/>
        </w:rPr>
      </w:pPr>
    </w:p>
    <w:p w:rsidR="00C325AC" w:rsidRPr="005001C2" w:rsidRDefault="00C325AC" w:rsidP="00C76F41">
      <w:pPr>
        <w:pStyle w:val="Normalplus"/>
        <w:spacing w:after="0"/>
        <w:jc w:val="both"/>
        <w:rPr>
          <w:rFonts w:ascii="Arial" w:hAnsi="Arial" w:cs="Arial"/>
          <w:sz w:val="24"/>
          <w:szCs w:val="24"/>
        </w:rPr>
      </w:pPr>
      <w:r w:rsidRPr="005001C2">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5001C2">
        <w:rPr>
          <w:rFonts w:ascii="Arial" w:hAnsi="Arial" w:cs="Arial"/>
          <w:sz w:val="24"/>
          <w:szCs w:val="24"/>
        </w:rPr>
        <w:t xml:space="preserve"> will monitor</w:t>
      </w:r>
      <w:r w:rsidR="00C76F41">
        <w:rPr>
          <w:rFonts w:ascii="Arial" w:hAnsi="Arial" w:cs="Arial"/>
          <w:sz w:val="24"/>
          <w:szCs w:val="24"/>
        </w:rPr>
        <w:t xml:space="preserve"> Scheme</w:t>
      </w:r>
      <w:r w:rsidRPr="005001C2">
        <w:rPr>
          <w:rFonts w:ascii="Arial" w:hAnsi="Arial" w:cs="Arial"/>
          <w:sz w:val="24"/>
          <w:szCs w:val="24"/>
        </w:rPr>
        <w:t xml:space="preserve"> Employers with declini</w:t>
      </w:r>
      <w:r w:rsidR="00C76F41">
        <w:rPr>
          <w:rFonts w:ascii="Arial" w:hAnsi="Arial" w:cs="Arial"/>
          <w:sz w:val="24"/>
          <w:szCs w:val="24"/>
        </w:rPr>
        <w:t>ng membership to ensure that</w:t>
      </w:r>
      <w:r w:rsidRPr="005001C2">
        <w:rPr>
          <w:rFonts w:ascii="Arial" w:hAnsi="Arial" w:cs="Arial"/>
          <w:sz w:val="24"/>
          <w:szCs w:val="24"/>
        </w:rPr>
        <w:t xml:space="preserve"> funding is close to 100% by the time the last member leaves service</w:t>
      </w:r>
      <w:r w:rsidR="005C4461">
        <w:rPr>
          <w:rFonts w:ascii="Arial" w:hAnsi="Arial" w:cs="Arial"/>
          <w:sz w:val="24"/>
          <w:szCs w:val="24"/>
        </w:rPr>
        <w:t>,</w:t>
      </w:r>
      <w:r w:rsidRPr="005001C2">
        <w:rPr>
          <w:rFonts w:ascii="Arial" w:hAnsi="Arial" w:cs="Arial"/>
          <w:sz w:val="24"/>
          <w:szCs w:val="24"/>
        </w:rPr>
        <w:t xml:space="preserve"> and may alter the funding strategy accordingly. </w:t>
      </w:r>
      <w:r w:rsidR="00CB22BE">
        <w:rPr>
          <w:rFonts w:ascii="Arial" w:hAnsi="Arial" w:cs="Arial"/>
          <w:sz w:val="24"/>
          <w:szCs w:val="24"/>
        </w:rPr>
        <w:t xml:space="preserve"> </w:t>
      </w:r>
      <w:r w:rsidR="00F15B49">
        <w:rPr>
          <w:rFonts w:ascii="Arial" w:hAnsi="Arial" w:cs="Arial"/>
          <w:sz w:val="24"/>
          <w:szCs w:val="24"/>
        </w:rPr>
        <w:t>It will also ensure that a</w:t>
      </w:r>
      <w:r w:rsidR="00FF08B7">
        <w:rPr>
          <w:rFonts w:ascii="Arial" w:hAnsi="Arial" w:cs="Arial"/>
          <w:sz w:val="24"/>
          <w:szCs w:val="24"/>
        </w:rPr>
        <w:t>n</w:t>
      </w:r>
      <w:r w:rsidR="00F15B49">
        <w:rPr>
          <w:rFonts w:ascii="Arial" w:hAnsi="Arial" w:cs="Arial"/>
          <w:sz w:val="24"/>
          <w:szCs w:val="24"/>
        </w:rPr>
        <w:t xml:space="preserve"> </w:t>
      </w:r>
      <w:r w:rsidR="00FF08B7">
        <w:rPr>
          <w:rFonts w:ascii="Arial" w:hAnsi="Arial" w:cs="Arial"/>
          <w:sz w:val="24"/>
          <w:szCs w:val="24"/>
        </w:rPr>
        <w:t xml:space="preserve">exit </w:t>
      </w:r>
      <w:r w:rsidR="00F15B49">
        <w:rPr>
          <w:rFonts w:ascii="Arial" w:hAnsi="Arial" w:cs="Arial"/>
          <w:sz w:val="24"/>
          <w:szCs w:val="24"/>
        </w:rPr>
        <w:t xml:space="preserve">valuation is carried out for </w:t>
      </w:r>
      <w:r w:rsidR="00E23500">
        <w:rPr>
          <w:rFonts w:ascii="Arial" w:hAnsi="Arial" w:cs="Arial"/>
          <w:sz w:val="24"/>
          <w:szCs w:val="24"/>
        </w:rPr>
        <w:t>employers</w:t>
      </w:r>
      <w:r w:rsidR="00F15B49">
        <w:rPr>
          <w:rFonts w:ascii="Arial" w:hAnsi="Arial" w:cs="Arial"/>
          <w:sz w:val="24"/>
          <w:szCs w:val="24"/>
        </w:rPr>
        <w:t xml:space="preserve"> once it is clear there will be no contributing members relating to that employer in the future.</w:t>
      </w:r>
    </w:p>
    <w:p w:rsidR="00EC2730" w:rsidRPr="008C79D1" w:rsidRDefault="00921CFA" w:rsidP="001638F8">
      <w:pPr>
        <w:widowControl w:val="0"/>
        <w:outlineLvl w:val="0"/>
        <w:rPr>
          <w:rFonts w:ascii="Arial" w:hAnsi="Arial" w:cs="Arial"/>
          <w:b/>
          <w:sz w:val="24"/>
          <w:szCs w:val="24"/>
        </w:rPr>
      </w:pPr>
      <w:r>
        <w:rPr>
          <w:rFonts w:ascii="Arial" w:hAnsi="Arial" w:cs="Arial"/>
          <w:b/>
          <w:sz w:val="24"/>
          <w:szCs w:val="24"/>
        </w:rPr>
        <w:br w:type="page"/>
      </w:r>
      <w:r w:rsidR="00EC2730" w:rsidRPr="008C79D1">
        <w:rPr>
          <w:rFonts w:ascii="Arial" w:hAnsi="Arial" w:cs="Arial"/>
          <w:b/>
          <w:sz w:val="24"/>
          <w:szCs w:val="24"/>
        </w:rPr>
        <w:lastRenderedPageBreak/>
        <w:t>Investment</w:t>
      </w:r>
    </w:p>
    <w:p w:rsidR="00EC2730" w:rsidRPr="008E3062" w:rsidRDefault="00EC2730" w:rsidP="00EC2730">
      <w:pPr>
        <w:widowControl w:val="0"/>
        <w:rPr>
          <w:rFonts w:ascii="Arial" w:hAnsi="Arial" w:cs="Arial"/>
          <w:b/>
          <w:i/>
          <w:sz w:val="24"/>
          <w:szCs w:val="24"/>
        </w:rPr>
      </w:pPr>
    </w:p>
    <w:p w:rsidR="006F0607" w:rsidRDefault="00EC2730" w:rsidP="00121B2F">
      <w:pPr>
        <w:jc w:val="both"/>
        <w:rPr>
          <w:rFonts w:ascii="Arial" w:hAnsi="Arial" w:cs="Arial"/>
          <w:sz w:val="24"/>
          <w:szCs w:val="24"/>
        </w:rPr>
      </w:pPr>
      <w:r w:rsidRPr="00121B2F">
        <w:rPr>
          <w:rFonts w:ascii="Arial" w:hAnsi="Arial" w:cs="Arial"/>
          <w:sz w:val="24"/>
          <w:szCs w:val="24"/>
        </w:rPr>
        <w:t>Th</w:t>
      </w:r>
      <w:r w:rsidRPr="00121B2F">
        <w:rPr>
          <w:rFonts w:ascii="Arial" w:hAnsi="Arial" w:cs="Arial"/>
          <w:spacing w:val="-1"/>
          <w:sz w:val="24"/>
          <w:szCs w:val="24"/>
        </w:rPr>
        <w:t>i</w:t>
      </w:r>
      <w:r w:rsidRPr="00121B2F">
        <w:rPr>
          <w:rFonts w:ascii="Arial" w:hAnsi="Arial" w:cs="Arial"/>
          <w:sz w:val="24"/>
          <w:szCs w:val="24"/>
        </w:rPr>
        <w:t>s</w:t>
      </w:r>
      <w:r w:rsidRPr="00121B2F">
        <w:rPr>
          <w:rFonts w:ascii="Arial" w:hAnsi="Arial" w:cs="Arial"/>
          <w:spacing w:val="10"/>
          <w:sz w:val="24"/>
          <w:szCs w:val="24"/>
        </w:rPr>
        <w:t xml:space="preserve"> </w:t>
      </w:r>
      <w:r w:rsidRPr="00121B2F">
        <w:rPr>
          <w:rFonts w:ascii="Arial" w:hAnsi="Arial" w:cs="Arial"/>
          <w:sz w:val="24"/>
          <w:szCs w:val="24"/>
        </w:rPr>
        <w:t>covers</w:t>
      </w:r>
      <w:r w:rsidRPr="00121B2F">
        <w:rPr>
          <w:rFonts w:ascii="Arial" w:hAnsi="Arial" w:cs="Arial"/>
          <w:spacing w:val="8"/>
          <w:sz w:val="24"/>
          <w:szCs w:val="24"/>
        </w:rPr>
        <w:t xml:space="preserve"> </w:t>
      </w:r>
      <w:r w:rsidRPr="00121B2F">
        <w:rPr>
          <w:rFonts w:ascii="Arial" w:hAnsi="Arial" w:cs="Arial"/>
          <w:sz w:val="24"/>
          <w:szCs w:val="24"/>
        </w:rPr>
        <w:t>items</w:t>
      </w:r>
      <w:r w:rsidRPr="00121B2F">
        <w:rPr>
          <w:rFonts w:ascii="Arial" w:hAnsi="Arial" w:cs="Arial"/>
          <w:spacing w:val="8"/>
          <w:sz w:val="24"/>
          <w:szCs w:val="24"/>
        </w:rPr>
        <w:t xml:space="preserve"> </w:t>
      </w:r>
      <w:r w:rsidRPr="00121B2F">
        <w:rPr>
          <w:rFonts w:ascii="Arial" w:hAnsi="Arial" w:cs="Arial"/>
          <w:sz w:val="24"/>
          <w:szCs w:val="24"/>
        </w:rPr>
        <w:t>such</w:t>
      </w:r>
      <w:r w:rsidRPr="00121B2F">
        <w:rPr>
          <w:rFonts w:ascii="Arial" w:hAnsi="Arial" w:cs="Arial"/>
          <w:spacing w:val="10"/>
          <w:sz w:val="24"/>
          <w:szCs w:val="24"/>
        </w:rPr>
        <w:t xml:space="preserve"> </w:t>
      </w:r>
      <w:r w:rsidRPr="00121B2F">
        <w:rPr>
          <w:rFonts w:ascii="Arial" w:hAnsi="Arial" w:cs="Arial"/>
          <w:sz w:val="24"/>
          <w:szCs w:val="24"/>
        </w:rPr>
        <w:t>as</w:t>
      </w:r>
      <w:r w:rsidRPr="00121B2F">
        <w:rPr>
          <w:rFonts w:ascii="Arial" w:hAnsi="Arial" w:cs="Arial"/>
          <w:spacing w:val="12"/>
          <w:sz w:val="24"/>
          <w:szCs w:val="24"/>
        </w:rPr>
        <w:t xml:space="preserve"> </w:t>
      </w:r>
      <w:r w:rsidRPr="00121B2F">
        <w:rPr>
          <w:rFonts w:ascii="Arial" w:hAnsi="Arial" w:cs="Arial"/>
          <w:spacing w:val="1"/>
          <w:sz w:val="24"/>
          <w:szCs w:val="24"/>
        </w:rPr>
        <w:t>t</w:t>
      </w:r>
      <w:r w:rsidRPr="00121B2F">
        <w:rPr>
          <w:rFonts w:ascii="Arial" w:hAnsi="Arial" w:cs="Arial"/>
          <w:spacing w:val="-2"/>
          <w:sz w:val="24"/>
          <w:szCs w:val="24"/>
        </w:rPr>
        <w:t>h</w:t>
      </w:r>
      <w:r w:rsidRPr="00121B2F">
        <w:rPr>
          <w:rFonts w:ascii="Arial" w:hAnsi="Arial" w:cs="Arial"/>
          <w:sz w:val="24"/>
          <w:szCs w:val="24"/>
        </w:rPr>
        <w:t>e</w:t>
      </w:r>
      <w:r w:rsidRPr="00121B2F">
        <w:rPr>
          <w:rFonts w:ascii="Arial" w:hAnsi="Arial" w:cs="Arial"/>
          <w:spacing w:val="12"/>
          <w:sz w:val="24"/>
          <w:szCs w:val="24"/>
        </w:rPr>
        <w:t xml:space="preserve"> </w:t>
      </w:r>
      <w:r w:rsidRPr="00121B2F">
        <w:rPr>
          <w:rFonts w:ascii="Arial" w:hAnsi="Arial" w:cs="Arial"/>
          <w:spacing w:val="-1"/>
          <w:sz w:val="24"/>
          <w:szCs w:val="24"/>
        </w:rPr>
        <w:t>p</w:t>
      </w:r>
      <w:r w:rsidRPr="00121B2F">
        <w:rPr>
          <w:rFonts w:ascii="Arial" w:hAnsi="Arial" w:cs="Arial"/>
          <w:sz w:val="24"/>
          <w:szCs w:val="24"/>
        </w:rPr>
        <w:t>e</w:t>
      </w:r>
      <w:r w:rsidRPr="00121B2F">
        <w:rPr>
          <w:rFonts w:ascii="Arial" w:hAnsi="Arial" w:cs="Arial"/>
          <w:spacing w:val="-1"/>
          <w:sz w:val="24"/>
          <w:szCs w:val="24"/>
        </w:rPr>
        <w:t>rf</w:t>
      </w:r>
      <w:r w:rsidRPr="00121B2F">
        <w:rPr>
          <w:rFonts w:ascii="Arial" w:hAnsi="Arial" w:cs="Arial"/>
          <w:sz w:val="24"/>
          <w:szCs w:val="24"/>
        </w:rPr>
        <w:t>ormance of</w:t>
      </w:r>
      <w:r w:rsidRPr="00121B2F">
        <w:rPr>
          <w:rFonts w:ascii="Arial" w:hAnsi="Arial" w:cs="Arial"/>
          <w:spacing w:val="12"/>
          <w:sz w:val="24"/>
          <w:szCs w:val="24"/>
        </w:rPr>
        <w:t xml:space="preserve"> financial </w:t>
      </w:r>
      <w:r w:rsidRPr="00121B2F">
        <w:rPr>
          <w:rFonts w:ascii="Arial" w:hAnsi="Arial" w:cs="Arial"/>
          <w:spacing w:val="1"/>
          <w:sz w:val="24"/>
          <w:szCs w:val="24"/>
        </w:rPr>
        <w:t>m</w:t>
      </w:r>
      <w:r w:rsidRPr="00121B2F">
        <w:rPr>
          <w:rFonts w:ascii="Arial" w:hAnsi="Arial" w:cs="Arial"/>
          <w:sz w:val="24"/>
          <w:szCs w:val="24"/>
        </w:rPr>
        <w:t>arke</w:t>
      </w:r>
      <w:r w:rsidRPr="00121B2F">
        <w:rPr>
          <w:rFonts w:ascii="Arial" w:hAnsi="Arial" w:cs="Arial"/>
          <w:spacing w:val="-1"/>
          <w:sz w:val="24"/>
          <w:szCs w:val="24"/>
        </w:rPr>
        <w:t>t</w:t>
      </w:r>
      <w:r w:rsidRPr="00121B2F">
        <w:rPr>
          <w:rFonts w:ascii="Arial" w:hAnsi="Arial" w:cs="Arial"/>
          <w:sz w:val="24"/>
          <w:szCs w:val="24"/>
        </w:rPr>
        <w:t>s and</w:t>
      </w:r>
      <w:r w:rsidRPr="00121B2F">
        <w:rPr>
          <w:rFonts w:ascii="Arial" w:hAnsi="Arial" w:cs="Arial"/>
          <w:spacing w:val="6"/>
          <w:sz w:val="24"/>
          <w:szCs w:val="24"/>
        </w:rPr>
        <w:t xml:space="preserve"> </w:t>
      </w:r>
      <w:r w:rsidRPr="00121B2F">
        <w:rPr>
          <w:rFonts w:ascii="Arial" w:hAnsi="Arial" w:cs="Arial"/>
          <w:sz w:val="24"/>
          <w:szCs w:val="24"/>
        </w:rPr>
        <w:t>the</w:t>
      </w:r>
      <w:r w:rsidRPr="00121B2F">
        <w:rPr>
          <w:rFonts w:ascii="Arial" w:hAnsi="Arial" w:cs="Arial"/>
          <w:spacing w:val="9"/>
          <w:sz w:val="24"/>
          <w:szCs w:val="24"/>
        </w:rPr>
        <w:t xml:space="preserve"> </w:t>
      </w:r>
      <w:r w:rsidRPr="00121B2F">
        <w:rPr>
          <w:rFonts w:ascii="Arial" w:hAnsi="Arial" w:cs="Arial"/>
          <w:sz w:val="24"/>
          <w:szCs w:val="24"/>
        </w:rPr>
        <w:t>F</w:t>
      </w:r>
      <w:r w:rsidRPr="00121B2F">
        <w:rPr>
          <w:rFonts w:ascii="Arial" w:hAnsi="Arial" w:cs="Arial"/>
          <w:spacing w:val="1"/>
          <w:sz w:val="24"/>
          <w:szCs w:val="24"/>
        </w:rPr>
        <w:t>u</w:t>
      </w:r>
      <w:r w:rsidRPr="00121B2F">
        <w:rPr>
          <w:rFonts w:ascii="Arial" w:hAnsi="Arial" w:cs="Arial"/>
          <w:sz w:val="24"/>
          <w:szCs w:val="24"/>
        </w:rPr>
        <w:t>nd</w:t>
      </w:r>
      <w:r w:rsidRPr="00121B2F">
        <w:rPr>
          <w:rFonts w:ascii="Arial" w:hAnsi="Arial" w:cs="Arial"/>
          <w:spacing w:val="1"/>
          <w:sz w:val="24"/>
          <w:szCs w:val="24"/>
        </w:rPr>
        <w:t>’</w:t>
      </w:r>
      <w:r w:rsidRPr="00121B2F">
        <w:rPr>
          <w:rFonts w:ascii="Arial" w:hAnsi="Arial" w:cs="Arial"/>
          <w:sz w:val="24"/>
          <w:szCs w:val="24"/>
        </w:rPr>
        <w:t>s</w:t>
      </w:r>
      <w:r w:rsidRPr="00121B2F">
        <w:rPr>
          <w:rFonts w:ascii="Arial" w:hAnsi="Arial" w:cs="Arial"/>
          <w:spacing w:val="3"/>
          <w:sz w:val="24"/>
          <w:szCs w:val="24"/>
        </w:rPr>
        <w:t xml:space="preserve"> </w:t>
      </w:r>
      <w:r w:rsidRPr="00121B2F">
        <w:rPr>
          <w:rFonts w:ascii="Arial" w:hAnsi="Arial" w:cs="Arial"/>
          <w:spacing w:val="1"/>
          <w:sz w:val="24"/>
          <w:szCs w:val="24"/>
        </w:rPr>
        <w:t>i</w:t>
      </w:r>
      <w:r w:rsidRPr="00121B2F">
        <w:rPr>
          <w:rFonts w:ascii="Arial" w:hAnsi="Arial" w:cs="Arial"/>
          <w:spacing w:val="-2"/>
          <w:sz w:val="24"/>
          <w:szCs w:val="24"/>
        </w:rPr>
        <w:t>n</w:t>
      </w:r>
      <w:r w:rsidRPr="00121B2F">
        <w:rPr>
          <w:rFonts w:ascii="Arial" w:hAnsi="Arial" w:cs="Arial"/>
          <w:sz w:val="24"/>
          <w:szCs w:val="24"/>
        </w:rPr>
        <w:t>v</w:t>
      </w:r>
      <w:r w:rsidRPr="00121B2F">
        <w:rPr>
          <w:rFonts w:ascii="Arial" w:hAnsi="Arial" w:cs="Arial"/>
          <w:spacing w:val="2"/>
          <w:sz w:val="24"/>
          <w:szCs w:val="24"/>
        </w:rPr>
        <w:t>e</w:t>
      </w:r>
      <w:r w:rsidRPr="00121B2F">
        <w:rPr>
          <w:rFonts w:ascii="Arial" w:hAnsi="Arial" w:cs="Arial"/>
          <w:sz w:val="24"/>
          <w:szCs w:val="24"/>
        </w:rPr>
        <w:t xml:space="preserve">stment managers, </w:t>
      </w:r>
      <w:r w:rsidRPr="00121B2F">
        <w:rPr>
          <w:rFonts w:ascii="Arial" w:hAnsi="Arial" w:cs="Arial"/>
          <w:spacing w:val="1"/>
          <w:sz w:val="24"/>
          <w:szCs w:val="24"/>
        </w:rPr>
        <w:t>a</w:t>
      </w:r>
      <w:r w:rsidRPr="00121B2F">
        <w:rPr>
          <w:rFonts w:ascii="Arial" w:hAnsi="Arial" w:cs="Arial"/>
          <w:sz w:val="24"/>
          <w:szCs w:val="24"/>
        </w:rPr>
        <w:t>sset</w:t>
      </w:r>
      <w:r w:rsidRPr="00121B2F">
        <w:rPr>
          <w:rFonts w:ascii="Arial" w:hAnsi="Arial" w:cs="Arial"/>
          <w:spacing w:val="5"/>
          <w:sz w:val="24"/>
          <w:szCs w:val="24"/>
        </w:rPr>
        <w:t xml:space="preserve"> </w:t>
      </w:r>
      <w:r w:rsidRPr="00121B2F">
        <w:rPr>
          <w:rFonts w:ascii="Arial" w:hAnsi="Arial" w:cs="Arial"/>
          <w:sz w:val="24"/>
          <w:szCs w:val="24"/>
        </w:rPr>
        <w:t xml:space="preserve">reallocation </w:t>
      </w:r>
      <w:r w:rsidRPr="00121B2F">
        <w:rPr>
          <w:rFonts w:ascii="Arial" w:hAnsi="Arial" w:cs="Arial"/>
          <w:spacing w:val="-1"/>
          <w:sz w:val="24"/>
          <w:szCs w:val="24"/>
        </w:rPr>
        <w:t>i</w:t>
      </w:r>
      <w:r w:rsidRPr="00121B2F">
        <w:rPr>
          <w:rFonts w:ascii="Arial" w:hAnsi="Arial" w:cs="Arial"/>
          <w:sz w:val="24"/>
          <w:szCs w:val="24"/>
        </w:rPr>
        <w:t>n</w:t>
      </w:r>
      <w:r w:rsidRPr="00121B2F">
        <w:rPr>
          <w:rFonts w:ascii="Arial" w:hAnsi="Arial" w:cs="Arial"/>
          <w:spacing w:val="14"/>
          <w:sz w:val="24"/>
          <w:szCs w:val="24"/>
        </w:rPr>
        <w:t xml:space="preserve"> </w:t>
      </w:r>
      <w:r w:rsidRPr="00121B2F">
        <w:rPr>
          <w:rFonts w:ascii="Arial" w:hAnsi="Arial" w:cs="Arial"/>
          <w:sz w:val="24"/>
          <w:szCs w:val="24"/>
        </w:rPr>
        <w:t>v</w:t>
      </w:r>
      <w:r w:rsidRPr="00121B2F">
        <w:rPr>
          <w:rFonts w:ascii="Arial" w:hAnsi="Arial" w:cs="Arial"/>
          <w:spacing w:val="1"/>
          <w:sz w:val="24"/>
          <w:szCs w:val="24"/>
        </w:rPr>
        <w:t>o</w:t>
      </w:r>
      <w:r w:rsidRPr="00121B2F">
        <w:rPr>
          <w:rFonts w:ascii="Arial" w:hAnsi="Arial" w:cs="Arial"/>
          <w:spacing w:val="-1"/>
          <w:sz w:val="24"/>
          <w:szCs w:val="24"/>
        </w:rPr>
        <w:t>la</w:t>
      </w:r>
      <w:r w:rsidRPr="00121B2F">
        <w:rPr>
          <w:rFonts w:ascii="Arial" w:hAnsi="Arial" w:cs="Arial"/>
          <w:sz w:val="24"/>
          <w:szCs w:val="24"/>
        </w:rPr>
        <w:t>tile</w:t>
      </w:r>
      <w:r w:rsidRPr="00121B2F">
        <w:rPr>
          <w:rFonts w:ascii="Arial" w:hAnsi="Arial" w:cs="Arial"/>
          <w:spacing w:val="11"/>
          <w:sz w:val="24"/>
          <w:szCs w:val="24"/>
        </w:rPr>
        <w:t xml:space="preserve"> </w:t>
      </w:r>
      <w:r w:rsidRPr="00121B2F">
        <w:rPr>
          <w:rFonts w:ascii="Arial" w:hAnsi="Arial" w:cs="Arial"/>
          <w:sz w:val="24"/>
          <w:szCs w:val="24"/>
        </w:rPr>
        <w:t>mar</w:t>
      </w:r>
      <w:r w:rsidRPr="00121B2F">
        <w:rPr>
          <w:rFonts w:ascii="Arial" w:hAnsi="Arial" w:cs="Arial"/>
          <w:spacing w:val="-1"/>
          <w:sz w:val="24"/>
          <w:szCs w:val="24"/>
        </w:rPr>
        <w:t>k</w:t>
      </w:r>
      <w:r w:rsidRPr="00121B2F">
        <w:rPr>
          <w:rFonts w:ascii="Arial" w:hAnsi="Arial" w:cs="Arial"/>
          <w:sz w:val="24"/>
          <w:szCs w:val="24"/>
        </w:rPr>
        <w:t>et</w:t>
      </w:r>
      <w:r w:rsidRPr="00121B2F">
        <w:rPr>
          <w:rFonts w:ascii="Arial" w:hAnsi="Arial" w:cs="Arial"/>
          <w:spacing w:val="-1"/>
          <w:sz w:val="24"/>
          <w:szCs w:val="24"/>
        </w:rPr>
        <w:t>s</w:t>
      </w:r>
      <w:r w:rsidRPr="00121B2F">
        <w:rPr>
          <w:rFonts w:ascii="Arial" w:hAnsi="Arial" w:cs="Arial"/>
          <w:sz w:val="24"/>
          <w:szCs w:val="24"/>
        </w:rPr>
        <w:t xml:space="preserve">, leading to </w:t>
      </w:r>
      <w:r w:rsidRPr="00121B2F">
        <w:rPr>
          <w:rFonts w:ascii="Arial" w:hAnsi="Arial" w:cs="Arial"/>
          <w:spacing w:val="8"/>
          <w:sz w:val="24"/>
          <w:szCs w:val="24"/>
        </w:rPr>
        <w:t>t</w:t>
      </w:r>
      <w:r w:rsidRPr="00121B2F">
        <w:rPr>
          <w:rFonts w:ascii="Arial" w:hAnsi="Arial" w:cs="Arial"/>
          <w:sz w:val="24"/>
          <w:szCs w:val="24"/>
        </w:rPr>
        <w:t xml:space="preserve">he risk of investments not performing (income) or increasing in value (growth) as forecast.  </w:t>
      </w:r>
    </w:p>
    <w:p w:rsidR="006F0607" w:rsidRDefault="006F0607" w:rsidP="00121B2F">
      <w:pPr>
        <w:jc w:val="both"/>
        <w:rPr>
          <w:rFonts w:ascii="Arial" w:hAnsi="Arial" w:cs="Arial"/>
          <w:sz w:val="24"/>
          <w:szCs w:val="24"/>
        </w:rPr>
      </w:pPr>
    </w:p>
    <w:p w:rsidR="00921CFA" w:rsidRPr="00121B2F" w:rsidRDefault="00EC2730" w:rsidP="00121B2F">
      <w:pPr>
        <w:jc w:val="both"/>
        <w:rPr>
          <w:rFonts w:ascii="Arial" w:hAnsi="Arial" w:cs="Arial"/>
          <w:sz w:val="24"/>
          <w:szCs w:val="24"/>
        </w:rPr>
      </w:pPr>
      <w:r w:rsidRPr="00121B2F">
        <w:rPr>
          <w:rFonts w:ascii="Arial" w:hAnsi="Arial" w:cs="Arial"/>
          <w:sz w:val="24"/>
          <w:szCs w:val="24"/>
        </w:rPr>
        <w:t xml:space="preserve">Examples of specific risks </w:t>
      </w:r>
      <w:r w:rsidR="006F0607">
        <w:rPr>
          <w:rFonts w:ascii="Arial" w:hAnsi="Arial" w:cs="Arial"/>
          <w:sz w:val="24"/>
          <w:szCs w:val="24"/>
        </w:rPr>
        <w:t>are</w:t>
      </w:r>
      <w:r w:rsidRPr="00121B2F">
        <w:rPr>
          <w:rFonts w:ascii="Arial" w:hAnsi="Arial" w:cs="Arial"/>
          <w:sz w:val="24"/>
          <w:szCs w:val="24"/>
        </w:rPr>
        <w:t>:</w:t>
      </w:r>
    </w:p>
    <w:p w:rsidR="00921CFA" w:rsidRPr="00121B2F" w:rsidRDefault="00921CFA" w:rsidP="00121B2F">
      <w:pPr>
        <w:rPr>
          <w:rFonts w:ascii="Arial" w:hAnsi="Arial" w:cs="Arial"/>
          <w:sz w:val="24"/>
          <w:szCs w:val="24"/>
        </w:rPr>
      </w:pP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assets not delivering the required return (for whatever reason, including manager underperformance)</w:t>
      </w:r>
      <w:r w:rsidR="006F0607">
        <w:rPr>
          <w:rFonts w:ascii="Arial" w:hAnsi="Arial" w:cs="Arial"/>
          <w:sz w:val="24"/>
          <w:szCs w:val="24"/>
        </w:rPr>
        <w:t>;</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systemic risk with the possibility of interlinked and simultaneous financial market volatility</w:t>
      </w:r>
      <w:r w:rsidR="006F0607">
        <w:rPr>
          <w:rFonts w:ascii="Arial" w:hAnsi="Arial" w:cs="Arial"/>
          <w:sz w:val="24"/>
          <w:szCs w:val="24"/>
        </w:rPr>
        <w:t>;</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insufficient funds to meet liabilities as they fall due</w:t>
      </w:r>
      <w:r w:rsidR="006F0607">
        <w:rPr>
          <w:rFonts w:ascii="Arial" w:hAnsi="Arial" w:cs="Arial"/>
          <w:sz w:val="24"/>
          <w:szCs w:val="24"/>
        </w:rPr>
        <w:t>;</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inadequate, inappropriate or incomplete investment and actuarial advice is taken and acted upon</w:t>
      </w:r>
      <w:r w:rsidR="006F0607">
        <w:rPr>
          <w:rFonts w:ascii="Arial" w:hAnsi="Arial" w:cs="Arial"/>
          <w:sz w:val="24"/>
          <w:szCs w:val="24"/>
        </w:rPr>
        <w:t>; and</w:t>
      </w:r>
    </w:p>
    <w:p w:rsid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counterparty failure</w:t>
      </w:r>
      <w:r w:rsidR="006F0607">
        <w:rPr>
          <w:rFonts w:ascii="Arial" w:hAnsi="Arial" w:cs="Arial"/>
          <w:sz w:val="24"/>
          <w:szCs w:val="24"/>
        </w:rPr>
        <w:t>.</w:t>
      </w:r>
    </w:p>
    <w:p w:rsidR="006F0607" w:rsidRPr="00921CFA" w:rsidRDefault="006F0607" w:rsidP="00121B2F">
      <w:pPr>
        <w:widowControl w:val="0"/>
        <w:ind w:left="720"/>
        <w:jc w:val="both"/>
        <w:rPr>
          <w:rFonts w:ascii="Arial" w:hAnsi="Arial" w:cs="Arial"/>
          <w:sz w:val="24"/>
          <w:szCs w:val="24"/>
        </w:rPr>
      </w:pPr>
    </w:p>
    <w:p w:rsidR="00921CFA" w:rsidRDefault="00921CFA" w:rsidP="00121B2F">
      <w:pPr>
        <w:widowControl w:val="0"/>
        <w:jc w:val="both"/>
        <w:rPr>
          <w:rFonts w:ascii="Arial" w:hAnsi="Arial" w:cs="Arial"/>
          <w:sz w:val="24"/>
          <w:szCs w:val="24"/>
        </w:rPr>
      </w:pPr>
      <w:r w:rsidRPr="00921CFA">
        <w:rPr>
          <w:rFonts w:ascii="Arial" w:hAnsi="Arial" w:cs="Arial"/>
          <w:sz w:val="24"/>
          <w:szCs w:val="24"/>
        </w:rPr>
        <w:t>The specific risks associated with assets and asset classes are:</w:t>
      </w:r>
    </w:p>
    <w:p w:rsidR="006F0607" w:rsidRPr="00921CFA" w:rsidRDefault="006F0607" w:rsidP="00121B2F">
      <w:pPr>
        <w:widowControl w:val="0"/>
        <w:jc w:val="both"/>
        <w:rPr>
          <w:rFonts w:ascii="Arial" w:hAnsi="Arial" w:cs="Arial"/>
          <w:sz w:val="24"/>
          <w:szCs w:val="24"/>
        </w:rPr>
      </w:pP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equities – industry, country, size and stock risks</w:t>
      </w:r>
      <w:r w:rsidR="006F0607">
        <w:rPr>
          <w:rFonts w:ascii="Arial" w:hAnsi="Arial" w:cs="Arial"/>
          <w:sz w:val="24"/>
          <w:szCs w:val="24"/>
        </w:rPr>
        <w:t>;</w:t>
      </w:r>
    </w:p>
    <w:p w:rsidR="00921CFA" w:rsidRPr="00921CFA" w:rsidRDefault="006F0607" w:rsidP="00921CFA">
      <w:pPr>
        <w:widowControl w:val="0"/>
        <w:numPr>
          <w:ilvl w:val="0"/>
          <w:numId w:val="16"/>
        </w:numPr>
        <w:jc w:val="both"/>
        <w:rPr>
          <w:rFonts w:ascii="Arial" w:hAnsi="Arial" w:cs="Arial"/>
          <w:sz w:val="24"/>
          <w:szCs w:val="24"/>
        </w:rPr>
      </w:pPr>
      <w:r>
        <w:rPr>
          <w:rFonts w:ascii="Arial" w:hAnsi="Arial" w:cs="Arial"/>
          <w:sz w:val="24"/>
          <w:szCs w:val="24"/>
        </w:rPr>
        <w:t xml:space="preserve">fixed income </w:t>
      </w:r>
      <w:r w:rsidR="001E340F" w:rsidRPr="001E340F">
        <w:rPr>
          <w:rFonts w:ascii="Arial" w:hAnsi="Arial" w:cs="Arial"/>
          <w:sz w:val="24"/>
          <w:szCs w:val="24"/>
        </w:rPr>
        <w:t xml:space="preserve">– </w:t>
      </w:r>
      <w:r w:rsidR="00921CFA" w:rsidRPr="00921CFA">
        <w:rPr>
          <w:rFonts w:ascii="Arial" w:hAnsi="Arial" w:cs="Arial"/>
          <w:sz w:val="24"/>
          <w:szCs w:val="24"/>
        </w:rPr>
        <w:t>yield curve, credit, duration and market risks</w:t>
      </w:r>
      <w:r>
        <w:rPr>
          <w:rFonts w:ascii="Arial" w:hAnsi="Arial" w:cs="Arial"/>
          <w:sz w:val="24"/>
          <w:szCs w:val="24"/>
        </w:rPr>
        <w:t>;</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 xml:space="preserve">alternative assets – liquidity, property </w:t>
      </w:r>
      <w:r w:rsidR="006F0607">
        <w:rPr>
          <w:rFonts w:ascii="Arial" w:hAnsi="Arial" w:cs="Arial"/>
          <w:sz w:val="24"/>
          <w:szCs w:val="24"/>
        </w:rPr>
        <w:t>and</w:t>
      </w:r>
      <w:r w:rsidRPr="00921CFA">
        <w:rPr>
          <w:rFonts w:ascii="Arial" w:hAnsi="Arial" w:cs="Arial"/>
          <w:sz w:val="24"/>
          <w:szCs w:val="24"/>
        </w:rPr>
        <w:t xml:space="preserve"> alpha risk</w:t>
      </w:r>
      <w:r w:rsidR="006F0607">
        <w:rPr>
          <w:rFonts w:ascii="Arial" w:hAnsi="Arial" w:cs="Arial"/>
          <w:sz w:val="24"/>
          <w:szCs w:val="24"/>
        </w:rPr>
        <w:t>s;</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money market – credit and liquidity risk</w:t>
      </w:r>
      <w:r w:rsidR="006F0607">
        <w:rPr>
          <w:rFonts w:ascii="Arial" w:hAnsi="Arial" w:cs="Arial"/>
          <w:sz w:val="24"/>
          <w:szCs w:val="24"/>
        </w:rPr>
        <w:t>s;</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currency risk</w:t>
      </w:r>
      <w:r w:rsidR="006F0607">
        <w:rPr>
          <w:rFonts w:ascii="Arial" w:hAnsi="Arial" w:cs="Arial"/>
          <w:sz w:val="24"/>
          <w:szCs w:val="24"/>
        </w:rPr>
        <w:t>s; and</w:t>
      </w:r>
    </w:p>
    <w:p w:rsidR="00921CFA" w:rsidRPr="00921CFA" w:rsidRDefault="00921CFA" w:rsidP="00921CFA">
      <w:pPr>
        <w:widowControl w:val="0"/>
        <w:numPr>
          <w:ilvl w:val="0"/>
          <w:numId w:val="16"/>
        </w:numPr>
        <w:jc w:val="both"/>
        <w:rPr>
          <w:rFonts w:ascii="Arial" w:hAnsi="Arial" w:cs="Arial"/>
          <w:sz w:val="24"/>
          <w:szCs w:val="24"/>
        </w:rPr>
      </w:pPr>
      <w:r w:rsidRPr="00921CFA">
        <w:rPr>
          <w:rFonts w:ascii="Arial" w:hAnsi="Arial" w:cs="Arial"/>
          <w:sz w:val="24"/>
          <w:szCs w:val="24"/>
        </w:rPr>
        <w:t>macroeconomic risks</w:t>
      </w:r>
      <w:r w:rsidR="006F0607">
        <w:rPr>
          <w:rFonts w:ascii="Arial" w:hAnsi="Arial" w:cs="Arial"/>
          <w:sz w:val="24"/>
          <w:szCs w:val="24"/>
        </w:rPr>
        <w:t>.</w:t>
      </w:r>
    </w:p>
    <w:p w:rsidR="00921CFA" w:rsidRPr="00921CFA" w:rsidRDefault="00921CFA" w:rsidP="00921CFA">
      <w:pPr>
        <w:widowControl w:val="0"/>
        <w:jc w:val="both"/>
        <w:rPr>
          <w:rFonts w:ascii="Arial" w:hAnsi="Arial" w:cs="Arial"/>
          <w:sz w:val="24"/>
          <w:szCs w:val="24"/>
        </w:rPr>
      </w:pPr>
    </w:p>
    <w:p w:rsidR="000E1446" w:rsidRPr="00EC2730" w:rsidRDefault="000E1446" w:rsidP="000E1446">
      <w:pPr>
        <w:widowControl w:val="0"/>
        <w:jc w:val="both"/>
        <w:rPr>
          <w:rFonts w:ascii="Arial" w:hAnsi="Arial" w:cs="Arial"/>
          <w:sz w:val="24"/>
          <w:szCs w:val="24"/>
        </w:rPr>
      </w:pPr>
      <w:r w:rsidRPr="00EC2730">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EC2730">
        <w:rPr>
          <w:rFonts w:ascii="Arial" w:hAnsi="Arial" w:cs="Arial"/>
          <w:sz w:val="24"/>
          <w:szCs w:val="24"/>
        </w:rPr>
        <w:t xml:space="preserve"> rev</w:t>
      </w:r>
      <w:r w:rsidRPr="00EC2730">
        <w:rPr>
          <w:rFonts w:ascii="Arial" w:hAnsi="Arial" w:cs="Arial"/>
          <w:spacing w:val="-1"/>
          <w:sz w:val="24"/>
          <w:szCs w:val="24"/>
        </w:rPr>
        <w:t>i</w:t>
      </w:r>
      <w:r w:rsidRPr="00EC2730">
        <w:rPr>
          <w:rFonts w:ascii="Arial" w:hAnsi="Arial" w:cs="Arial"/>
          <w:sz w:val="24"/>
          <w:szCs w:val="24"/>
        </w:rPr>
        <w:t>ews</w:t>
      </w:r>
      <w:r w:rsidRPr="00EC2730">
        <w:rPr>
          <w:rFonts w:ascii="Arial" w:hAnsi="Arial" w:cs="Arial"/>
          <w:spacing w:val="3"/>
          <w:sz w:val="24"/>
          <w:szCs w:val="24"/>
        </w:rPr>
        <w:t xml:space="preserve"> </w:t>
      </w:r>
      <w:r w:rsidRPr="00EC2730">
        <w:rPr>
          <w:rFonts w:ascii="Arial" w:hAnsi="Arial" w:cs="Arial"/>
          <w:sz w:val="24"/>
          <w:szCs w:val="24"/>
        </w:rPr>
        <w:t>each</w:t>
      </w:r>
      <w:r w:rsidRPr="00EC2730">
        <w:rPr>
          <w:rFonts w:ascii="Arial" w:hAnsi="Arial" w:cs="Arial"/>
          <w:spacing w:val="6"/>
          <w:sz w:val="24"/>
          <w:szCs w:val="24"/>
        </w:rPr>
        <w:t xml:space="preserve"> </w:t>
      </w:r>
      <w:r w:rsidRPr="00EC2730">
        <w:rPr>
          <w:rFonts w:ascii="Arial" w:hAnsi="Arial" w:cs="Arial"/>
          <w:sz w:val="24"/>
          <w:szCs w:val="24"/>
        </w:rPr>
        <w:t>i</w:t>
      </w:r>
      <w:r w:rsidRPr="00EC2730">
        <w:rPr>
          <w:rFonts w:ascii="Arial" w:hAnsi="Arial" w:cs="Arial"/>
          <w:spacing w:val="-2"/>
          <w:sz w:val="24"/>
          <w:szCs w:val="24"/>
        </w:rPr>
        <w:t>n</w:t>
      </w:r>
      <w:r w:rsidRPr="00EC2730">
        <w:rPr>
          <w:rFonts w:ascii="Arial" w:hAnsi="Arial" w:cs="Arial"/>
          <w:spacing w:val="1"/>
          <w:sz w:val="24"/>
          <w:szCs w:val="24"/>
        </w:rPr>
        <w:t>v</w:t>
      </w:r>
      <w:r w:rsidRPr="00EC2730">
        <w:rPr>
          <w:rFonts w:ascii="Arial" w:hAnsi="Arial" w:cs="Arial"/>
          <w:sz w:val="24"/>
          <w:szCs w:val="24"/>
        </w:rPr>
        <w:t>e</w:t>
      </w:r>
      <w:r w:rsidRPr="00EC2730">
        <w:rPr>
          <w:rFonts w:ascii="Arial" w:hAnsi="Arial" w:cs="Arial"/>
          <w:spacing w:val="-1"/>
          <w:sz w:val="24"/>
          <w:szCs w:val="24"/>
        </w:rPr>
        <w:t>s</w:t>
      </w:r>
      <w:r w:rsidRPr="00EC2730">
        <w:rPr>
          <w:rFonts w:ascii="Arial" w:hAnsi="Arial" w:cs="Arial"/>
          <w:spacing w:val="1"/>
          <w:sz w:val="24"/>
          <w:szCs w:val="24"/>
        </w:rPr>
        <w:t>t</w:t>
      </w:r>
      <w:r w:rsidRPr="00EC2730">
        <w:rPr>
          <w:rFonts w:ascii="Arial" w:hAnsi="Arial" w:cs="Arial"/>
          <w:spacing w:val="-1"/>
          <w:sz w:val="24"/>
          <w:szCs w:val="24"/>
        </w:rPr>
        <w:t>m</w:t>
      </w:r>
      <w:r w:rsidRPr="00EC2730">
        <w:rPr>
          <w:rFonts w:ascii="Arial" w:hAnsi="Arial" w:cs="Arial"/>
          <w:sz w:val="24"/>
          <w:szCs w:val="24"/>
        </w:rPr>
        <w:t>ent manager’s</w:t>
      </w:r>
      <w:r w:rsidRPr="00EC2730">
        <w:rPr>
          <w:rFonts w:ascii="Arial" w:hAnsi="Arial" w:cs="Arial"/>
          <w:spacing w:val="2"/>
          <w:sz w:val="24"/>
          <w:szCs w:val="24"/>
        </w:rPr>
        <w:t xml:space="preserve"> </w:t>
      </w:r>
      <w:r w:rsidRPr="00EC2730">
        <w:rPr>
          <w:rFonts w:ascii="Arial" w:hAnsi="Arial" w:cs="Arial"/>
          <w:spacing w:val="-2"/>
          <w:sz w:val="24"/>
          <w:szCs w:val="24"/>
        </w:rPr>
        <w:t>p</w:t>
      </w:r>
      <w:r w:rsidRPr="00EC2730">
        <w:rPr>
          <w:rFonts w:ascii="Arial" w:hAnsi="Arial" w:cs="Arial"/>
          <w:sz w:val="24"/>
          <w:szCs w:val="24"/>
        </w:rPr>
        <w:t>erformance quart</w:t>
      </w:r>
      <w:r w:rsidRPr="00EC2730">
        <w:rPr>
          <w:rFonts w:ascii="Arial" w:hAnsi="Arial" w:cs="Arial"/>
          <w:spacing w:val="2"/>
          <w:sz w:val="24"/>
          <w:szCs w:val="24"/>
        </w:rPr>
        <w:t>e</w:t>
      </w:r>
      <w:r w:rsidRPr="00EC2730">
        <w:rPr>
          <w:rFonts w:ascii="Arial" w:hAnsi="Arial" w:cs="Arial"/>
          <w:sz w:val="24"/>
          <w:szCs w:val="24"/>
        </w:rPr>
        <w:t>rly</w:t>
      </w:r>
      <w:r w:rsidR="005C4461">
        <w:rPr>
          <w:rFonts w:ascii="Arial" w:hAnsi="Arial" w:cs="Arial"/>
          <w:sz w:val="24"/>
          <w:szCs w:val="24"/>
        </w:rPr>
        <w:t>,</w:t>
      </w:r>
      <w:r w:rsidRPr="00EC2730">
        <w:rPr>
          <w:rFonts w:ascii="Arial" w:hAnsi="Arial" w:cs="Arial"/>
          <w:sz w:val="24"/>
          <w:szCs w:val="24"/>
        </w:rPr>
        <w:t xml:space="preserve"> </w:t>
      </w:r>
      <w:proofErr w:type="gramStart"/>
      <w:r w:rsidRPr="00EC2730">
        <w:rPr>
          <w:rFonts w:ascii="Arial" w:hAnsi="Arial" w:cs="Arial"/>
          <w:sz w:val="24"/>
          <w:szCs w:val="24"/>
        </w:rPr>
        <w:t>and</w:t>
      </w:r>
      <w:r w:rsidRPr="00EC2730">
        <w:rPr>
          <w:rFonts w:ascii="Arial" w:hAnsi="Arial" w:cs="Arial"/>
          <w:spacing w:val="6"/>
          <w:sz w:val="24"/>
          <w:szCs w:val="24"/>
        </w:rPr>
        <w:t xml:space="preserve"> </w:t>
      </w:r>
      <w:r w:rsidR="006F0607">
        <w:rPr>
          <w:rFonts w:ascii="Arial" w:hAnsi="Arial" w:cs="Arial"/>
          <w:spacing w:val="6"/>
          <w:sz w:val="24"/>
          <w:szCs w:val="24"/>
        </w:rPr>
        <w:t xml:space="preserve"> at</w:t>
      </w:r>
      <w:proofErr w:type="gramEnd"/>
      <w:r w:rsidR="006F0607">
        <w:rPr>
          <w:rFonts w:ascii="Arial" w:hAnsi="Arial" w:cs="Arial"/>
          <w:spacing w:val="6"/>
          <w:sz w:val="24"/>
          <w:szCs w:val="24"/>
        </w:rPr>
        <w:t xml:space="preserve"> least </w:t>
      </w:r>
      <w:r w:rsidRPr="00EC2730">
        <w:rPr>
          <w:rFonts w:ascii="Arial" w:hAnsi="Arial" w:cs="Arial"/>
          <w:sz w:val="24"/>
          <w:szCs w:val="24"/>
        </w:rPr>
        <w:t>a</w:t>
      </w:r>
      <w:r w:rsidRPr="00EC2730">
        <w:rPr>
          <w:rFonts w:ascii="Arial" w:hAnsi="Arial" w:cs="Arial"/>
          <w:spacing w:val="1"/>
          <w:sz w:val="24"/>
          <w:szCs w:val="24"/>
        </w:rPr>
        <w:t>n</w:t>
      </w:r>
      <w:r w:rsidRPr="00EC2730">
        <w:rPr>
          <w:rFonts w:ascii="Arial" w:hAnsi="Arial" w:cs="Arial"/>
          <w:sz w:val="24"/>
          <w:szCs w:val="24"/>
        </w:rPr>
        <w:t>n</w:t>
      </w:r>
      <w:r w:rsidRPr="00EC2730">
        <w:rPr>
          <w:rFonts w:ascii="Arial" w:hAnsi="Arial" w:cs="Arial"/>
          <w:spacing w:val="-2"/>
          <w:sz w:val="24"/>
          <w:szCs w:val="24"/>
        </w:rPr>
        <w:t>u</w:t>
      </w:r>
      <w:r w:rsidRPr="00EC2730">
        <w:rPr>
          <w:rFonts w:ascii="Arial" w:hAnsi="Arial" w:cs="Arial"/>
          <w:spacing w:val="1"/>
          <w:sz w:val="24"/>
          <w:szCs w:val="24"/>
        </w:rPr>
        <w:t>al</w:t>
      </w:r>
      <w:r w:rsidRPr="00EC2730">
        <w:rPr>
          <w:rFonts w:ascii="Arial" w:hAnsi="Arial" w:cs="Arial"/>
          <w:sz w:val="24"/>
          <w:szCs w:val="24"/>
        </w:rPr>
        <w:t>ly</w:t>
      </w:r>
      <w:r w:rsidRPr="00EC2730">
        <w:rPr>
          <w:rFonts w:ascii="Arial" w:hAnsi="Arial" w:cs="Arial"/>
          <w:spacing w:val="1"/>
          <w:sz w:val="24"/>
          <w:szCs w:val="24"/>
        </w:rPr>
        <w:t xml:space="preserve"> </w:t>
      </w:r>
      <w:r w:rsidRPr="00EC2730">
        <w:rPr>
          <w:rFonts w:ascii="Arial" w:hAnsi="Arial" w:cs="Arial"/>
          <w:sz w:val="24"/>
          <w:szCs w:val="24"/>
        </w:rPr>
        <w:t>consi</w:t>
      </w:r>
      <w:r w:rsidRPr="00EC2730">
        <w:rPr>
          <w:rFonts w:ascii="Arial" w:hAnsi="Arial" w:cs="Arial"/>
          <w:spacing w:val="-1"/>
          <w:sz w:val="24"/>
          <w:szCs w:val="24"/>
        </w:rPr>
        <w:t>d</w:t>
      </w:r>
      <w:r w:rsidRPr="00EC2730">
        <w:rPr>
          <w:rFonts w:ascii="Arial" w:hAnsi="Arial" w:cs="Arial"/>
          <w:sz w:val="24"/>
          <w:szCs w:val="24"/>
        </w:rPr>
        <w:t>ers</w:t>
      </w:r>
      <w:r w:rsidRPr="00EC2730">
        <w:rPr>
          <w:rFonts w:ascii="Arial" w:hAnsi="Arial" w:cs="Arial"/>
          <w:spacing w:val="1"/>
          <w:sz w:val="24"/>
          <w:szCs w:val="24"/>
        </w:rPr>
        <w:t xml:space="preserve"> </w:t>
      </w:r>
      <w:r w:rsidRPr="00EC2730">
        <w:rPr>
          <w:rFonts w:ascii="Arial" w:hAnsi="Arial" w:cs="Arial"/>
          <w:sz w:val="24"/>
          <w:szCs w:val="24"/>
        </w:rPr>
        <w:t>the</w:t>
      </w:r>
      <w:r w:rsidRPr="00EC2730">
        <w:rPr>
          <w:rFonts w:ascii="Arial" w:hAnsi="Arial" w:cs="Arial"/>
          <w:spacing w:val="7"/>
          <w:sz w:val="24"/>
          <w:szCs w:val="24"/>
        </w:rPr>
        <w:t xml:space="preserve"> </w:t>
      </w:r>
      <w:r w:rsidRPr="00EC2730">
        <w:rPr>
          <w:rFonts w:ascii="Arial" w:hAnsi="Arial" w:cs="Arial"/>
          <w:sz w:val="24"/>
          <w:szCs w:val="24"/>
        </w:rPr>
        <w:t>asset</w:t>
      </w:r>
      <w:r w:rsidRPr="00EC2730">
        <w:rPr>
          <w:rFonts w:ascii="Arial" w:hAnsi="Arial" w:cs="Arial"/>
          <w:spacing w:val="5"/>
          <w:sz w:val="24"/>
          <w:szCs w:val="24"/>
        </w:rPr>
        <w:t xml:space="preserve"> </w:t>
      </w:r>
      <w:r w:rsidRPr="00EC2730">
        <w:rPr>
          <w:rFonts w:ascii="Arial" w:hAnsi="Arial" w:cs="Arial"/>
          <w:sz w:val="24"/>
          <w:szCs w:val="24"/>
        </w:rPr>
        <w:t>al</w:t>
      </w:r>
      <w:r w:rsidRPr="00EC2730">
        <w:rPr>
          <w:rFonts w:ascii="Arial" w:hAnsi="Arial" w:cs="Arial"/>
          <w:spacing w:val="-1"/>
          <w:sz w:val="24"/>
          <w:szCs w:val="24"/>
        </w:rPr>
        <w:t>l</w:t>
      </w:r>
      <w:r w:rsidRPr="00EC2730">
        <w:rPr>
          <w:rFonts w:ascii="Arial" w:hAnsi="Arial" w:cs="Arial"/>
          <w:sz w:val="24"/>
          <w:szCs w:val="24"/>
        </w:rPr>
        <w:t>ocat</w:t>
      </w:r>
      <w:r w:rsidRPr="00EC2730">
        <w:rPr>
          <w:rFonts w:ascii="Arial" w:hAnsi="Arial" w:cs="Arial"/>
          <w:spacing w:val="-1"/>
          <w:sz w:val="24"/>
          <w:szCs w:val="24"/>
        </w:rPr>
        <w:t>i</w:t>
      </w:r>
      <w:r w:rsidRPr="00EC2730">
        <w:rPr>
          <w:rFonts w:ascii="Arial" w:hAnsi="Arial" w:cs="Arial"/>
          <w:sz w:val="24"/>
          <w:szCs w:val="24"/>
        </w:rPr>
        <w:t>on of the</w:t>
      </w:r>
      <w:r w:rsidRPr="00EC2730">
        <w:rPr>
          <w:rFonts w:ascii="Arial" w:hAnsi="Arial" w:cs="Arial"/>
          <w:spacing w:val="6"/>
          <w:sz w:val="24"/>
          <w:szCs w:val="24"/>
        </w:rPr>
        <w:t xml:space="preserve"> </w:t>
      </w:r>
      <w:r w:rsidRPr="00EC2730">
        <w:rPr>
          <w:rFonts w:ascii="Arial" w:hAnsi="Arial" w:cs="Arial"/>
          <w:sz w:val="24"/>
          <w:szCs w:val="24"/>
        </w:rPr>
        <w:t>Fund</w:t>
      </w:r>
      <w:r w:rsidRPr="00EC2730">
        <w:rPr>
          <w:rFonts w:ascii="Arial" w:hAnsi="Arial" w:cs="Arial"/>
          <w:spacing w:val="4"/>
          <w:sz w:val="24"/>
          <w:szCs w:val="24"/>
        </w:rPr>
        <w:t xml:space="preserve"> </w:t>
      </w:r>
      <w:r w:rsidRPr="00EC2730">
        <w:rPr>
          <w:rFonts w:ascii="Arial" w:hAnsi="Arial" w:cs="Arial"/>
          <w:spacing w:val="-2"/>
          <w:sz w:val="24"/>
          <w:szCs w:val="24"/>
        </w:rPr>
        <w:t>b</w:t>
      </w:r>
      <w:r w:rsidRPr="00EC2730">
        <w:rPr>
          <w:rFonts w:ascii="Arial" w:hAnsi="Arial" w:cs="Arial"/>
          <w:sz w:val="24"/>
          <w:szCs w:val="24"/>
        </w:rPr>
        <w:t>y</w:t>
      </w:r>
      <w:r w:rsidRPr="00EC2730">
        <w:rPr>
          <w:rFonts w:ascii="Arial" w:hAnsi="Arial" w:cs="Arial"/>
          <w:spacing w:val="5"/>
          <w:sz w:val="24"/>
          <w:szCs w:val="24"/>
        </w:rPr>
        <w:t xml:space="preserve"> </w:t>
      </w:r>
      <w:r w:rsidRPr="00EC2730">
        <w:rPr>
          <w:rFonts w:ascii="Arial" w:hAnsi="Arial" w:cs="Arial"/>
          <w:sz w:val="24"/>
          <w:szCs w:val="24"/>
        </w:rPr>
        <w:t>carryi</w:t>
      </w:r>
      <w:r w:rsidRPr="00EC2730">
        <w:rPr>
          <w:rFonts w:ascii="Arial" w:hAnsi="Arial" w:cs="Arial"/>
          <w:spacing w:val="-2"/>
          <w:sz w:val="24"/>
          <w:szCs w:val="24"/>
        </w:rPr>
        <w:t>n</w:t>
      </w:r>
      <w:r w:rsidRPr="00EC2730">
        <w:rPr>
          <w:rFonts w:ascii="Arial" w:hAnsi="Arial" w:cs="Arial"/>
          <w:sz w:val="24"/>
          <w:szCs w:val="24"/>
        </w:rPr>
        <w:t>g</w:t>
      </w:r>
      <w:r w:rsidRPr="00EC2730">
        <w:rPr>
          <w:rFonts w:ascii="Arial" w:hAnsi="Arial" w:cs="Arial"/>
          <w:spacing w:val="1"/>
          <w:sz w:val="24"/>
          <w:szCs w:val="24"/>
        </w:rPr>
        <w:t xml:space="preserve"> o</w:t>
      </w:r>
      <w:r w:rsidRPr="00EC2730">
        <w:rPr>
          <w:rFonts w:ascii="Arial" w:hAnsi="Arial" w:cs="Arial"/>
          <w:spacing w:val="-1"/>
          <w:sz w:val="24"/>
          <w:szCs w:val="24"/>
        </w:rPr>
        <w:t>u</w:t>
      </w:r>
      <w:r w:rsidRPr="00EC2730">
        <w:rPr>
          <w:rFonts w:ascii="Arial" w:hAnsi="Arial" w:cs="Arial"/>
          <w:sz w:val="24"/>
          <w:szCs w:val="24"/>
        </w:rPr>
        <w:t>t</w:t>
      </w:r>
      <w:r w:rsidRPr="00EC2730">
        <w:rPr>
          <w:rFonts w:ascii="Arial" w:hAnsi="Arial" w:cs="Arial"/>
          <w:spacing w:val="5"/>
          <w:sz w:val="24"/>
          <w:szCs w:val="24"/>
        </w:rPr>
        <w:t xml:space="preserve"> </w:t>
      </w:r>
      <w:r w:rsidRPr="00EC2730">
        <w:rPr>
          <w:rFonts w:ascii="Arial" w:hAnsi="Arial" w:cs="Arial"/>
          <w:sz w:val="24"/>
          <w:szCs w:val="24"/>
        </w:rPr>
        <w:t>a</w:t>
      </w:r>
      <w:r w:rsidRPr="00EC2730">
        <w:rPr>
          <w:rFonts w:ascii="Arial" w:hAnsi="Arial" w:cs="Arial"/>
          <w:spacing w:val="5"/>
          <w:sz w:val="24"/>
          <w:szCs w:val="24"/>
        </w:rPr>
        <w:t xml:space="preserve"> </w:t>
      </w:r>
      <w:r w:rsidRPr="00EC2730">
        <w:rPr>
          <w:rFonts w:ascii="Arial" w:hAnsi="Arial" w:cs="Arial"/>
          <w:sz w:val="24"/>
          <w:szCs w:val="24"/>
        </w:rPr>
        <w:t xml:space="preserve">review </w:t>
      </w:r>
      <w:r w:rsidRPr="00EC2730">
        <w:rPr>
          <w:rFonts w:ascii="Arial" w:hAnsi="Arial" w:cs="Arial"/>
          <w:spacing w:val="1"/>
          <w:sz w:val="24"/>
          <w:szCs w:val="24"/>
        </w:rPr>
        <w:t>w</w:t>
      </w:r>
      <w:r w:rsidRPr="00EC2730">
        <w:rPr>
          <w:rFonts w:ascii="Arial" w:hAnsi="Arial" w:cs="Arial"/>
          <w:spacing w:val="-1"/>
          <w:sz w:val="24"/>
          <w:szCs w:val="24"/>
        </w:rPr>
        <w:t>i</w:t>
      </w:r>
      <w:r w:rsidRPr="00EC2730">
        <w:rPr>
          <w:rFonts w:ascii="Arial" w:hAnsi="Arial" w:cs="Arial"/>
          <w:sz w:val="24"/>
          <w:szCs w:val="24"/>
        </w:rPr>
        <w:t xml:space="preserve">th </w:t>
      </w:r>
      <w:r w:rsidRPr="00EC2730">
        <w:rPr>
          <w:rFonts w:ascii="Arial" w:hAnsi="Arial" w:cs="Arial"/>
          <w:spacing w:val="-1"/>
          <w:sz w:val="24"/>
          <w:szCs w:val="24"/>
        </w:rPr>
        <w:t>i</w:t>
      </w:r>
      <w:r w:rsidRPr="00EC2730">
        <w:rPr>
          <w:rFonts w:ascii="Arial" w:hAnsi="Arial" w:cs="Arial"/>
          <w:sz w:val="24"/>
          <w:szCs w:val="24"/>
        </w:rPr>
        <w:t>ts</w:t>
      </w:r>
      <w:r w:rsidRPr="00EC2730">
        <w:rPr>
          <w:rFonts w:ascii="Arial" w:hAnsi="Arial" w:cs="Arial"/>
          <w:spacing w:val="9"/>
          <w:sz w:val="24"/>
          <w:szCs w:val="24"/>
        </w:rPr>
        <w:t xml:space="preserve"> </w:t>
      </w:r>
      <w:r w:rsidRPr="00EC2730">
        <w:rPr>
          <w:rFonts w:ascii="Arial" w:hAnsi="Arial" w:cs="Arial"/>
          <w:sz w:val="24"/>
          <w:szCs w:val="24"/>
        </w:rPr>
        <w:t>Inves</w:t>
      </w:r>
      <w:r w:rsidRPr="00EC2730">
        <w:rPr>
          <w:rFonts w:ascii="Arial" w:hAnsi="Arial" w:cs="Arial"/>
          <w:spacing w:val="-1"/>
          <w:sz w:val="24"/>
          <w:szCs w:val="24"/>
        </w:rPr>
        <w:t>tm</w:t>
      </w:r>
      <w:r w:rsidRPr="00EC2730">
        <w:rPr>
          <w:rFonts w:ascii="Arial" w:hAnsi="Arial" w:cs="Arial"/>
          <w:sz w:val="24"/>
          <w:szCs w:val="24"/>
        </w:rPr>
        <w:t>ent Advi</w:t>
      </w:r>
      <w:r w:rsidRPr="00EC2730">
        <w:rPr>
          <w:rFonts w:ascii="Arial" w:hAnsi="Arial" w:cs="Arial"/>
          <w:spacing w:val="-1"/>
          <w:sz w:val="24"/>
          <w:szCs w:val="24"/>
        </w:rPr>
        <w:t>s</w:t>
      </w:r>
      <w:r w:rsidR="006F0607">
        <w:rPr>
          <w:rFonts w:ascii="Arial" w:hAnsi="Arial" w:cs="Arial"/>
          <w:sz w:val="24"/>
          <w:szCs w:val="24"/>
        </w:rPr>
        <w:t>er</w:t>
      </w:r>
      <w:r w:rsidRPr="00EC2730">
        <w:rPr>
          <w:rFonts w:ascii="Arial" w:hAnsi="Arial" w:cs="Arial"/>
          <w:sz w:val="24"/>
          <w:szCs w:val="24"/>
        </w:rPr>
        <w:t xml:space="preserve">. </w:t>
      </w:r>
      <w:r w:rsidR="00CB22BE">
        <w:rPr>
          <w:rFonts w:ascii="Arial" w:hAnsi="Arial" w:cs="Arial"/>
          <w:sz w:val="24"/>
          <w:szCs w:val="24"/>
        </w:rPr>
        <w:t xml:space="preserve"> </w:t>
      </w:r>
      <w:r w:rsidRPr="00EC2730">
        <w:rPr>
          <w:rFonts w:ascii="Arial" w:hAnsi="Arial" w:cs="Arial"/>
          <w:spacing w:val="-1"/>
          <w:sz w:val="24"/>
          <w:szCs w:val="24"/>
        </w:rPr>
        <w:t xml:space="preserve">The </w:t>
      </w:r>
      <w:r w:rsidR="00CD42B5">
        <w:rPr>
          <w:rFonts w:ascii="Arial" w:hAnsi="Arial" w:cs="Arial"/>
          <w:spacing w:val="-1"/>
          <w:sz w:val="24"/>
          <w:szCs w:val="24"/>
        </w:rPr>
        <w:t>a</w:t>
      </w:r>
      <w:r w:rsidR="009B2027">
        <w:rPr>
          <w:rFonts w:ascii="Arial" w:hAnsi="Arial" w:cs="Arial"/>
          <w:spacing w:val="-1"/>
          <w:sz w:val="24"/>
          <w:szCs w:val="24"/>
        </w:rPr>
        <w:t>dministering authority</w:t>
      </w:r>
      <w:r w:rsidRPr="00EC2730">
        <w:rPr>
          <w:rFonts w:ascii="Arial" w:hAnsi="Arial" w:cs="Arial"/>
          <w:sz w:val="24"/>
          <w:szCs w:val="24"/>
        </w:rPr>
        <w:t xml:space="preserve"> also a</w:t>
      </w:r>
      <w:r w:rsidRPr="00EC2730">
        <w:rPr>
          <w:rFonts w:ascii="Arial" w:hAnsi="Arial" w:cs="Arial"/>
          <w:spacing w:val="-1"/>
          <w:sz w:val="24"/>
          <w:szCs w:val="24"/>
        </w:rPr>
        <w:t>nn</w:t>
      </w:r>
      <w:r w:rsidRPr="00EC2730">
        <w:rPr>
          <w:rFonts w:ascii="Arial" w:hAnsi="Arial" w:cs="Arial"/>
          <w:spacing w:val="1"/>
          <w:sz w:val="24"/>
          <w:szCs w:val="24"/>
        </w:rPr>
        <w:t>u</w:t>
      </w:r>
      <w:r w:rsidRPr="00EC2730">
        <w:rPr>
          <w:rFonts w:ascii="Arial" w:hAnsi="Arial" w:cs="Arial"/>
          <w:sz w:val="24"/>
          <w:szCs w:val="24"/>
        </w:rPr>
        <w:t>al</w:t>
      </w:r>
      <w:r w:rsidRPr="00EC2730">
        <w:rPr>
          <w:rFonts w:ascii="Arial" w:hAnsi="Arial" w:cs="Arial"/>
          <w:spacing w:val="-1"/>
          <w:sz w:val="24"/>
          <w:szCs w:val="24"/>
        </w:rPr>
        <w:t>l</w:t>
      </w:r>
      <w:r w:rsidRPr="00EC2730">
        <w:rPr>
          <w:rFonts w:ascii="Arial" w:hAnsi="Arial" w:cs="Arial"/>
          <w:sz w:val="24"/>
          <w:szCs w:val="24"/>
        </w:rPr>
        <w:t>y</w:t>
      </w:r>
      <w:r w:rsidRPr="00EC2730">
        <w:rPr>
          <w:rFonts w:ascii="Arial" w:hAnsi="Arial" w:cs="Arial"/>
          <w:spacing w:val="4"/>
          <w:sz w:val="24"/>
          <w:szCs w:val="24"/>
        </w:rPr>
        <w:t xml:space="preserve"> </w:t>
      </w:r>
      <w:r w:rsidRPr="00EC2730">
        <w:rPr>
          <w:rFonts w:ascii="Arial" w:hAnsi="Arial" w:cs="Arial"/>
          <w:sz w:val="24"/>
          <w:szCs w:val="24"/>
        </w:rPr>
        <w:t>r</w:t>
      </w:r>
      <w:r w:rsidRPr="00EC2730">
        <w:rPr>
          <w:rFonts w:ascii="Arial" w:hAnsi="Arial" w:cs="Arial"/>
          <w:spacing w:val="2"/>
          <w:sz w:val="24"/>
          <w:szCs w:val="24"/>
        </w:rPr>
        <w:t>e</w:t>
      </w:r>
      <w:r w:rsidRPr="00EC2730">
        <w:rPr>
          <w:rFonts w:ascii="Arial" w:hAnsi="Arial" w:cs="Arial"/>
          <w:sz w:val="24"/>
          <w:szCs w:val="24"/>
        </w:rPr>
        <w:t>v</w:t>
      </w:r>
      <w:r w:rsidRPr="00EC2730">
        <w:rPr>
          <w:rFonts w:ascii="Arial" w:hAnsi="Arial" w:cs="Arial"/>
          <w:spacing w:val="-1"/>
          <w:sz w:val="24"/>
          <w:szCs w:val="24"/>
        </w:rPr>
        <w:t>i</w:t>
      </w:r>
      <w:r w:rsidRPr="00EC2730">
        <w:rPr>
          <w:rFonts w:ascii="Arial" w:hAnsi="Arial" w:cs="Arial"/>
          <w:sz w:val="24"/>
          <w:szCs w:val="24"/>
        </w:rPr>
        <w:t>e</w:t>
      </w:r>
      <w:r w:rsidRPr="00EC2730">
        <w:rPr>
          <w:rFonts w:ascii="Arial" w:hAnsi="Arial" w:cs="Arial"/>
          <w:spacing w:val="-1"/>
          <w:sz w:val="24"/>
          <w:szCs w:val="24"/>
        </w:rPr>
        <w:t>w</w:t>
      </w:r>
      <w:r w:rsidRPr="00EC2730">
        <w:rPr>
          <w:rFonts w:ascii="Arial" w:hAnsi="Arial" w:cs="Arial"/>
          <w:sz w:val="24"/>
          <w:szCs w:val="24"/>
        </w:rPr>
        <w:t>s</w:t>
      </w:r>
      <w:r w:rsidRPr="00EC2730">
        <w:rPr>
          <w:rFonts w:ascii="Arial" w:hAnsi="Arial" w:cs="Arial"/>
          <w:spacing w:val="4"/>
          <w:sz w:val="24"/>
          <w:szCs w:val="24"/>
        </w:rPr>
        <w:t xml:space="preserve"> </w:t>
      </w:r>
      <w:r w:rsidRPr="00EC2730">
        <w:rPr>
          <w:rFonts w:ascii="Arial" w:hAnsi="Arial" w:cs="Arial"/>
          <w:sz w:val="24"/>
          <w:szCs w:val="24"/>
        </w:rPr>
        <w:t>t</w:t>
      </w:r>
      <w:r w:rsidRPr="00EC2730">
        <w:rPr>
          <w:rFonts w:ascii="Arial" w:hAnsi="Arial" w:cs="Arial"/>
          <w:spacing w:val="-2"/>
          <w:sz w:val="24"/>
          <w:szCs w:val="24"/>
        </w:rPr>
        <w:t>h</w:t>
      </w:r>
      <w:r w:rsidRPr="00EC2730">
        <w:rPr>
          <w:rFonts w:ascii="Arial" w:hAnsi="Arial" w:cs="Arial"/>
          <w:sz w:val="24"/>
          <w:szCs w:val="24"/>
        </w:rPr>
        <w:t>e</w:t>
      </w:r>
      <w:r w:rsidRPr="00EC2730">
        <w:rPr>
          <w:rFonts w:ascii="Arial" w:hAnsi="Arial" w:cs="Arial"/>
          <w:spacing w:val="8"/>
          <w:sz w:val="24"/>
          <w:szCs w:val="24"/>
        </w:rPr>
        <w:t xml:space="preserve"> </w:t>
      </w:r>
      <w:r w:rsidRPr="00EC2730">
        <w:rPr>
          <w:rFonts w:ascii="Arial" w:hAnsi="Arial" w:cs="Arial"/>
          <w:sz w:val="24"/>
          <w:szCs w:val="24"/>
        </w:rPr>
        <w:t>e</w:t>
      </w:r>
      <w:r w:rsidRPr="00EC2730">
        <w:rPr>
          <w:rFonts w:ascii="Arial" w:hAnsi="Arial" w:cs="Arial"/>
          <w:spacing w:val="-1"/>
          <w:sz w:val="24"/>
          <w:szCs w:val="24"/>
        </w:rPr>
        <w:t>f</w:t>
      </w:r>
      <w:r w:rsidRPr="00EC2730">
        <w:rPr>
          <w:rFonts w:ascii="Arial" w:hAnsi="Arial" w:cs="Arial"/>
          <w:sz w:val="24"/>
          <w:szCs w:val="24"/>
        </w:rPr>
        <w:t>fect</w:t>
      </w:r>
      <w:r w:rsidRPr="00EC2730">
        <w:rPr>
          <w:rFonts w:ascii="Arial" w:hAnsi="Arial" w:cs="Arial"/>
          <w:spacing w:val="4"/>
          <w:sz w:val="24"/>
          <w:szCs w:val="24"/>
        </w:rPr>
        <w:t xml:space="preserve"> </w:t>
      </w:r>
      <w:r w:rsidRPr="00EC2730">
        <w:rPr>
          <w:rFonts w:ascii="Arial" w:hAnsi="Arial" w:cs="Arial"/>
          <w:sz w:val="24"/>
          <w:szCs w:val="24"/>
        </w:rPr>
        <w:t>of</w:t>
      </w:r>
      <w:r w:rsidRPr="00EC2730">
        <w:rPr>
          <w:rFonts w:ascii="Arial" w:hAnsi="Arial" w:cs="Arial"/>
          <w:spacing w:val="9"/>
          <w:sz w:val="24"/>
          <w:szCs w:val="24"/>
        </w:rPr>
        <w:t xml:space="preserve"> </w:t>
      </w:r>
      <w:r w:rsidRPr="00EC2730">
        <w:rPr>
          <w:rFonts w:ascii="Arial" w:hAnsi="Arial" w:cs="Arial"/>
          <w:sz w:val="24"/>
          <w:szCs w:val="24"/>
        </w:rPr>
        <w:t>market movements on</w:t>
      </w:r>
      <w:r w:rsidRPr="00EC2730">
        <w:rPr>
          <w:rFonts w:ascii="Arial" w:hAnsi="Arial" w:cs="Arial"/>
          <w:spacing w:val="9"/>
          <w:sz w:val="24"/>
          <w:szCs w:val="24"/>
        </w:rPr>
        <w:t xml:space="preserve"> </w:t>
      </w:r>
      <w:r w:rsidRPr="00EC2730">
        <w:rPr>
          <w:rFonts w:ascii="Arial" w:hAnsi="Arial" w:cs="Arial"/>
          <w:sz w:val="24"/>
          <w:szCs w:val="24"/>
        </w:rPr>
        <w:t>the</w:t>
      </w:r>
      <w:r w:rsidRPr="00EC2730">
        <w:rPr>
          <w:rFonts w:ascii="Arial" w:hAnsi="Arial" w:cs="Arial"/>
          <w:spacing w:val="8"/>
          <w:sz w:val="24"/>
          <w:szCs w:val="24"/>
        </w:rPr>
        <w:t xml:space="preserve"> </w:t>
      </w:r>
      <w:r w:rsidRPr="00EC2730">
        <w:rPr>
          <w:rFonts w:ascii="Arial" w:hAnsi="Arial" w:cs="Arial"/>
          <w:sz w:val="24"/>
          <w:szCs w:val="24"/>
        </w:rPr>
        <w:t>F</w:t>
      </w:r>
      <w:r w:rsidRPr="00EC2730">
        <w:rPr>
          <w:rFonts w:ascii="Arial" w:hAnsi="Arial" w:cs="Arial"/>
          <w:spacing w:val="-2"/>
          <w:sz w:val="24"/>
          <w:szCs w:val="24"/>
        </w:rPr>
        <w:t>u</w:t>
      </w:r>
      <w:r w:rsidRPr="00EC2730">
        <w:rPr>
          <w:rFonts w:ascii="Arial" w:hAnsi="Arial" w:cs="Arial"/>
          <w:sz w:val="24"/>
          <w:szCs w:val="24"/>
        </w:rPr>
        <w:t>nd’s</w:t>
      </w:r>
      <w:r w:rsidRPr="00EC2730">
        <w:rPr>
          <w:rFonts w:ascii="Arial" w:hAnsi="Arial" w:cs="Arial"/>
          <w:spacing w:val="5"/>
          <w:sz w:val="24"/>
          <w:szCs w:val="24"/>
        </w:rPr>
        <w:t xml:space="preserve"> </w:t>
      </w:r>
      <w:r w:rsidRPr="00EC2730">
        <w:rPr>
          <w:rFonts w:ascii="Arial" w:hAnsi="Arial" w:cs="Arial"/>
          <w:sz w:val="24"/>
          <w:szCs w:val="24"/>
        </w:rPr>
        <w:t>ov</w:t>
      </w:r>
      <w:r w:rsidRPr="00EC2730">
        <w:rPr>
          <w:rFonts w:ascii="Arial" w:hAnsi="Arial" w:cs="Arial"/>
          <w:spacing w:val="2"/>
          <w:sz w:val="24"/>
          <w:szCs w:val="24"/>
        </w:rPr>
        <w:t>e</w:t>
      </w:r>
      <w:r w:rsidRPr="00EC2730">
        <w:rPr>
          <w:rFonts w:ascii="Arial" w:hAnsi="Arial" w:cs="Arial"/>
          <w:spacing w:val="-2"/>
          <w:sz w:val="24"/>
          <w:szCs w:val="24"/>
        </w:rPr>
        <w:t>r</w:t>
      </w:r>
      <w:r w:rsidRPr="00EC2730">
        <w:rPr>
          <w:rFonts w:ascii="Arial" w:hAnsi="Arial" w:cs="Arial"/>
          <w:sz w:val="24"/>
          <w:szCs w:val="24"/>
        </w:rPr>
        <w:t>a</w:t>
      </w:r>
      <w:r w:rsidRPr="00EC2730">
        <w:rPr>
          <w:rFonts w:ascii="Arial" w:hAnsi="Arial" w:cs="Arial"/>
          <w:spacing w:val="1"/>
          <w:sz w:val="24"/>
          <w:szCs w:val="24"/>
        </w:rPr>
        <w:t>l</w:t>
      </w:r>
      <w:r w:rsidRPr="00EC2730">
        <w:rPr>
          <w:rFonts w:ascii="Arial" w:hAnsi="Arial" w:cs="Arial"/>
          <w:sz w:val="24"/>
          <w:szCs w:val="24"/>
        </w:rPr>
        <w:t>l</w:t>
      </w:r>
      <w:r w:rsidRPr="00EC2730">
        <w:rPr>
          <w:rFonts w:ascii="Arial" w:hAnsi="Arial" w:cs="Arial"/>
          <w:spacing w:val="5"/>
          <w:sz w:val="24"/>
          <w:szCs w:val="24"/>
        </w:rPr>
        <w:t xml:space="preserve"> </w:t>
      </w:r>
      <w:r w:rsidRPr="00EC2730">
        <w:rPr>
          <w:rFonts w:ascii="Arial" w:hAnsi="Arial" w:cs="Arial"/>
          <w:sz w:val="24"/>
          <w:szCs w:val="24"/>
        </w:rPr>
        <w:t>f</w:t>
      </w:r>
      <w:r w:rsidRPr="00EC2730">
        <w:rPr>
          <w:rFonts w:ascii="Arial" w:hAnsi="Arial" w:cs="Arial"/>
          <w:spacing w:val="1"/>
          <w:sz w:val="24"/>
          <w:szCs w:val="24"/>
        </w:rPr>
        <w:t>u</w:t>
      </w:r>
      <w:r w:rsidRPr="00EC2730">
        <w:rPr>
          <w:rFonts w:ascii="Arial" w:hAnsi="Arial" w:cs="Arial"/>
          <w:spacing w:val="-2"/>
          <w:sz w:val="24"/>
          <w:szCs w:val="24"/>
        </w:rPr>
        <w:t>n</w:t>
      </w:r>
      <w:r w:rsidRPr="00EC2730">
        <w:rPr>
          <w:rFonts w:ascii="Arial" w:hAnsi="Arial" w:cs="Arial"/>
          <w:sz w:val="24"/>
          <w:szCs w:val="24"/>
        </w:rPr>
        <w:t>d</w:t>
      </w:r>
      <w:r w:rsidRPr="00EC2730">
        <w:rPr>
          <w:rFonts w:ascii="Arial" w:hAnsi="Arial" w:cs="Arial"/>
          <w:spacing w:val="1"/>
          <w:sz w:val="24"/>
          <w:szCs w:val="24"/>
        </w:rPr>
        <w:t>i</w:t>
      </w:r>
      <w:r w:rsidRPr="00EC2730">
        <w:rPr>
          <w:rFonts w:ascii="Arial" w:hAnsi="Arial" w:cs="Arial"/>
          <w:spacing w:val="-2"/>
          <w:sz w:val="24"/>
          <w:szCs w:val="24"/>
        </w:rPr>
        <w:t>n</w:t>
      </w:r>
      <w:r w:rsidRPr="00EC2730">
        <w:rPr>
          <w:rFonts w:ascii="Arial" w:hAnsi="Arial" w:cs="Arial"/>
          <w:sz w:val="24"/>
          <w:szCs w:val="24"/>
        </w:rPr>
        <w:t>g</w:t>
      </w:r>
      <w:r w:rsidRPr="00EC2730">
        <w:rPr>
          <w:rFonts w:ascii="Arial" w:hAnsi="Arial" w:cs="Arial"/>
          <w:spacing w:val="6"/>
          <w:sz w:val="24"/>
          <w:szCs w:val="24"/>
        </w:rPr>
        <w:t xml:space="preserve"> </w:t>
      </w:r>
      <w:r w:rsidRPr="00EC2730">
        <w:rPr>
          <w:rFonts w:ascii="Arial" w:hAnsi="Arial" w:cs="Arial"/>
          <w:sz w:val="24"/>
          <w:szCs w:val="24"/>
        </w:rPr>
        <w:t>position.</w:t>
      </w:r>
    </w:p>
    <w:p w:rsidR="000E1446" w:rsidRPr="00EC2730" w:rsidRDefault="000E1446" w:rsidP="000E1446">
      <w:pPr>
        <w:widowControl w:val="0"/>
        <w:jc w:val="both"/>
        <w:rPr>
          <w:rFonts w:ascii="Arial" w:hAnsi="Arial" w:cs="Arial"/>
          <w:sz w:val="24"/>
          <w:szCs w:val="24"/>
        </w:rPr>
      </w:pPr>
    </w:p>
    <w:p w:rsidR="00EC2730" w:rsidRPr="008C79D1" w:rsidRDefault="00EC2730" w:rsidP="001638F8">
      <w:pPr>
        <w:widowControl w:val="0"/>
        <w:jc w:val="both"/>
        <w:outlineLvl w:val="0"/>
        <w:rPr>
          <w:rFonts w:ascii="Arial" w:hAnsi="Arial" w:cs="Arial"/>
          <w:b/>
          <w:sz w:val="24"/>
          <w:szCs w:val="24"/>
        </w:rPr>
      </w:pPr>
      <w:r w:rsidRPr="008C79D1">
        <w:rPr>
          <w:rFonts w:ascii="Arial" w:hAnsi="Arial" w:cs="Arial"/>
          <w:b/>
          <w:sz w:val="24"/>
          <w:szCs w:val="24"/>
        </w:rPr>
        <w:t>Employer</w:t>
      </w:r>
    </w:p>
    <w:p w:rsidR="00EC2730" w:rsidRPr="008C79D1" w:rsidRDefault="00EC2730" w:rsidP="007C1473">
      <w:pPr>
        <w:widowControl w:val="0"/>
        <w:jc w:val="both"/>
        <w:rPr>
          <w:rFonts w:ascii="Arial" w:hAnsi="Arial" w:cs="Arial"/>
          <w:b/>
          <w:sz w:val="24"/>
          <w:szCs w:val="24"/>
        </w:rPr>
      </w:pPr>
    </w:p>
    <w:p w:rsidR="00EC2730" w:rsidRPr="00EC2730" w:rsidRDefault="00EC2730" w:rsidP="007C1473">
      <w:pPr>
        <w:jc w:val="both"/>
        <w:rPr>
          <w:rFonts w:ascii="Arial" w:hAnsi="Arial" w:cs="Arial"/>
          <w:sz w:val="24"/>
          <w:szCs w:val="24"/>
        </w:rPr>
      </w:pPr>
      <w:r w:rsidRPr="00EC2730">
        <w:rPr>
          <w:rFonts w:ascii="Arial" w:hAnsi="Arial" w:cs="Arial"/>
          <w:sz w:val="24"/>
          <w:szCs w:val="24"/>
        </w:rPr>
        <w:t xml:space="preserve">These risks arise from the ever-changing mix of employers, from short-term and ceasing employers, and the potential for a shortfall in payments and/or orphaned liabilities. </w:t>
      </w:r>
    </w:p>
    <w:p w:rsidR="00EC2730" w:rsidRPr="00EC2730" w:rsidRDefault="00EC2730" w:rsidP="007C1473">
      <w:pPr>
        <w:jc w:val="both"/>
        <w:rPr>
          <w:rFonts w:ascii="Arial" w:hAnsi="Arial" w:cs="Arial"/>
          <w:sz w:val="24"/>
          <w:szCs w:val="24"/>
        </w:rPr>
      </w:pPr>
    </w:p>
    <w:p w:rsidR="00EC2730" w:rsidRPr="00EC2730" w:rsidRDefault="00EC2730" w:rsidP="007C1473">
      <w:pPr>
        <w:jc w:val="both"/>
        <w:rPr>
          <w:rFonts w:ascii="Arial" w:hAnsi="Arial" w:cs="Arial"/>
          <w:sz w:val="24"/>
          <w:szCs w:val="24"/>
        </w:rPr>
      </w:pPr>
      <w:r w:rsidRPr="00EC2730">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EC2730">
        <w:rPr>
          <w:rFonts w:ascii="Arial" w:hAnsi="Arial" w:cs="Arial"/>
          <w:sz w:val="24"/>
          <w:szCs w:val="24"/>
        </w:rPr>
        <w:t xml:space="preserve"> will put in place a Funding Strategy Statement which contains sufficient detail on how funding risks are managed in respect of the mai</w:t>
      </w:r>
      <w:r w:rsidR="002C34A3">
        <w:rPr>
          <w:rFonts w:ascii="Arial" w:hAnsi="Arial" w:cs="Arial"/>
          <w:sz w:val="24"/>
          <w:szCs w:val="24"/>
        </w:rPr>
        <w:t>n categories of employer (e.g. Scheduled and Admission B</w:t>
      </w:r>
      <w:r w:rsidRPr="00EC2730">
        <w:rPr>
          <w:rFonts w:ascii="Arial" w:hAnsi="Arial" w:cs="Arial"/>
          <w:sz w:val="24"/>
          <w:szCs w:val="24"/>
        </w:rPr>
        <w:t xml:space="preserve">odies) and other pension fund stakeholders. </w:t>
      </w:r>
    </w:p>
    <w:p w:rsidR="00EC2730" w:rsidRPr="00EC2730" w:rsidRDefault="00EC2730" w:rsidP="007C1473">
      <w:pPr>
        <w:jc w:val="both"/>
        <w:rPr>
          <w:rFonts w:ascii="Arial" w:hAnsi="Arial" w:cs="Arial"/>
          <w:sz w:val="24"/>
          <w:szCs w:val="24"/>
        </w:rPr>
      </w:pPr>
    </w:p>
    <w:p w:rsidR="006C5F8A" w:rsidRDefault="00EC2730" w:rsidP="007C1473">
      <w:pPr>
        <w:jc w:val="both"/>
        <w:rPr>
          <w:rFonts w:ascii="Arial" w:hAnsi="Arial" w:cs="Arial"/>
          <w:sz w:val="24"/>
          <w:szCs w:val="24"/>
        </w:rPr>
      </w:pPr>
      <w:r w:rsidRPr="00EC2730">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EC2730">
        <w:rPr>
          <w:rFonts w:ascii="Arial" w:hAnsi="Arial" w:cs="Arial"/>
          <w:sz w:val="24"/>
          <w:szCs w:val="24"/>
        </w:rPr>
        <w:t xml:space="preserve"> maintains a knowledge base on </w:t>
      </w:r>
      <w:r w:rsidR="006F0607">
        <w:rPr>
          <w:rFonts w:ascii="Arial" w:hAnsi="Arial" w:cs="Arial"/>
          <w:sz w:val="24"/>
          <w:szCs w:val="24"/>
        </w:rPr>
        <w:t xml:space="preserve">its </w:t>
      </w:r>
      <w:r w:rsidRPr="00EC2730">
        <w:rPr>
          <w:rFonts w:ascii="Arial" w:hAnsi="Arial" w:cs="Arial"/>
          <w:sz w:val="24"/>
          <w:szCs w:val="24"/>
        </w:rPr>
        <w:t xml:space="preserve">employers, their basis of participation and their legal status (e.g., charities, companies limited by guarantee, group/subsidiary arrangements) and uses this information to inform the </w:t>
      </w:r>
      <w:r w:rsidR="006C5F8A">
        <w:rPr>
          <w:rFonts w:ascii="Arial" w:hAnsi="Arial" w:cs="Arial"/>
          <w:sz w:val="24"/>
          <w:szCs w:val="24"/>
        </w:rPr>
        <w:t xml:space="preserve">choice of </w:t>
      </w:r>
      <w:r w:rsidR="00AA5EAC">
        <w:rPr>
          <w:rFonts w:ascii="Arial" w:hAnsi="Arial" w:cs="Arial"/>
          <w:sz w:val="24"/>
          <w:szCs w:val="24"/>
        </w:rPr>
        <w:t>f</w:t>
      </w:r>
      <w:r w:rsidR="006C5F8A">
        <w:rPr>
          <w:rFonts w:ascii="Arial" w:hAnsi="Arial" w:cs="Arial"/>
          <w:sz w:val="24"/>
          <w:szCs w:val="24"/>
        </w:rPr>
        <w:t xml:space="preserve">unding </w:t>
      </w:r>
      <w:r w:rsidR="00AA5EAC">
        <w:rPr>
          <w:rFonts w:ascii="Arial" w:hAnsi="Arial" w:cs="Arial"/>
          <w:sz w:val="24"/>
          <w:szCs w:val="24"/>
        </w:rPr>
        <w:t>s</w:t>
      </w:r>
      <w:r w:rsidR="006C5F8A">
        <w:rPr>
          <w:rFonts w:ascii="Arial" w:hAnsi="Arial" w:cs="Arial"/>
          <w:sz w:val="24"/>
          <w:szCs w:val="24"/>
        </w:rPr>
        <w:t>trategy for each employer</w:t>
      </w:r>
      <w:r w:rsidR="00CA3E7E">
        <w:rPr>
          <w:rFonts w:ascii="Arial" w:hAnsi="Arial" w:cs="Arial"/>
          <w:sz w:val="24"/>
          <w:szCs w:val="24"/>
        </w:rPr>
        <w:t>.</w:t>
      </w:r>
    </w:p>
    <w:p w:rsidR="00BA54BF" w:rsidRPr="00A24997" w:rsidRDefault="00BA54BF">
      <w:pPr>
        <w:rPr>
          <w:rFonts w:ascii="Arial" w:hAnsi="Arial" w:cs="Arial"/>
          <w:sz w:val="24"/>
          <w:szCs w:val="24"/>
        </w:rPr>
      </w:pPr>
    </w:p>
    <w:p w:rsidR="00BA54BF" w:rsidRPr="00220634" w:rsidRDefault="00CA3E7E" w:rsidP="001638F8">
      <w:pPr>
        <w:jc w:val="both"/>
        <w:outlineLvl w:val="0"/>
        <w:rPr>
          <w:rFonts w:ascii="Arial" w:hAnsi="Arial" w:cs="Arial"/>
          <w:b/>
          <w:sz w:val="24"/>
          <w:szCs w:val="24"/>
        </w:rPr>
      </w:pPr>
      <w:r>
        <w:rPr>
          <w:rFonts w:ascii="Arial" w:hAnsi="Arial" w:cs="Arial"/>
          <w:b/>
          <w:sz w:val="24"/>
          <w:szCs w:val="24"/>
        </w:rPr>
        <w:br w:type="page"/>
      </w:r>
      <w:r w:rsidR="006A308E">
        <w:rPr>
          <w:rFonts w:ascii="Arial" w:hAnsi="Arial" w:cs="Arial"/>
          <w:b/>
          <w:sz w:val="24"/>
          <w:szCs w:val="24"/>
        </w:rPr>
        <w:lastRenderedPageBreak/>
        <w:t xml:space="preserve">Choice of Solvency and </w:t>
      </w:r>
      <w:r w:rsidR="00181050" w:rsidRPr="00220634">
        <w:rPr>
          <w:rFonts w:ascii="Arial" w:hAnsi="Arial" w:cs="Arial"/>
          <w:b/>
          <w:sz w:val="24"/>
          <w:szCs w:val="24"/>
        </w:rPr>
        <w:t>Funding Target</w:t>
      </w:r>
      <w:r w:rsidR="006A308E">
        <w:rPr>
          <w:rFonts w:ascii="Arial" w:hAnsi="Arial" w:cs="Arial"/>
          <w:b/>
          <w:sz w:val="24"/>
          <w:szCs w:val="24"/>
        </w:rPr>
        <w:t>s</w:t>
      </w:r>
    </w:p>
    <w:p w:rsidR="00181050" w:rsidRPr="00A24997" w:rsidRDefault="00181050">
      <w:pPr>
        <w:rPr>
          <w:rFonts w:ascii="Arial" w:hAnsi="Arial" w:cs="Arial"/>
          <w:sz w:val="24"/>
          <w:szCs w:val="24"/>
          <w:u w:val="single"/>
        </w:rPr>
      </w:pPr>
    </w:p>
    <w:p w:rsidR="00181050" w:rsidRPr="005D6301" w:rsidRDefault="00181050" w:rsidP="005D6301">
      <w:pPr>
        <w:jc w:val="both"/>
        <w:rPr>
          <w:rFonts w:ascii="Arial" w:hAnsi="Arial" w:cs="Arial"/>
          <w:sz w:val="24"/>
          <w:szCs w:val="24"/>
        </w:rPr>
      </w:pPr>
      <w:r w:rsidRPr="005D6301">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5D6301">
        <w:rPr>
          <w:rFonts w:ascii="Arial" w:hAnsi="Arial" w:cs="Arial"/>
          <w:sz w:val="24"/>
          <w:szCs w:val="24"/>
        </w:rPr>
        <w:t xml:space="preserve"> recognises that future experience and investment income cannot be predicted with certainty.</w:t>
      </w:r>
      <w:r w:rsidR="00C76F41" w:rsidRPr="005D6301">
        <w:rPr>
          <w:rFonts w:ascii="Arial" w:hAnsi="Arial" w:cs="Arial"/>
          <w:sz w:val="24"/>
          <w:szCs w:val="24"/>
        </w:rPr>
        <w:t xml:space="preserve"> </w:t>
      </w:r>
      <w:r w:rsidR="00CB22BE">
        <w:rPr>
          <w:rFonts w:ascii="Arial" w:hAnsi="Arial" w:cs="Arial"/>
          <w:sz w:val="24"/>
          <w:szCs w:val="24"/>
        </w:rPr>
        <w:t xml:space="preserve"> </w:t>
      </w:r>
      <w:r w:rsidRPr="005D6301">
        <w:rPr>
          <w:rFonts w:ascii="Arial" w:hAnsi="Arial" w:cs="Arial"/>
          <w:sz w:val="24"/>
          <w:szCs w:val="24"/>
        </w:rPr>
        <w:t xml:space="preserve">Instead, there is a range of possible outcomes, and different assumed outcomes will lie within that </w:t>
      </w:r>
      <w:r w:rsidR="00F15B49" w:rsidRPr="005D6301">
        <w:rPr>
          <w:rFonts w:ascii="Arial" w:hAnsi="Arial" w:cs="Arial"/>
          <w:sz w:val="24"/>
          <w:szCs w:val="24"/>
        </w:rPr>
        <w:t>range</w:t>
      </w:r>
      <w:r w:rsidRPr="005D6301">
        <w:rPr>
          <w:rFonts w:ascii="Arial" w:hAnsi="Arial" w:cs="Arial"/>
          <w:sz w:val="24"/>
          <w:szCs w:val="24"/>
        </w:rPr>
        <w:t>.</w:t>
      </w:r>
    </w:p>
    <w:p w:rsidR="005D6301" w:rsidRDefault="005D6301" w:rsidP="005D6301">
      <w:pPr>
        <w:jc w:val="both"/>
        <w:rPr>
          <w:rFonts w:ascii="Arial" w:hAnsi="Arial" w:cs="Arial"/>
          <w:sz w:val="24"/>
          <w:szCs w:val="24"/>
        </w:rPr>
      </w:pPr>
    </w:p>
    <w:p w:rsidR="00181050" w:rsidRPr="005D6301" w:rsidRDefault="00181050" w:rsidP="005D6301">
      <w:pPr>
        <w:jc w:val="both"/>
        <w:rPr>
          <w:rFonts w:ascii="Arial" w:hAnsi="Arial" w:cs="Arial"/>
          <w:sz w:val="24"/>
          <w:szCs w:val="24"/>
        </w:rPr>
      </w:pPr>
      <w:r w:rsidRPr="005D6301">
        <w:rPr>
          <w:rFonts w:ascii="Arial" w:hAnsi="Arial" w:cs="Arial"/>
          <w:sz w:val="24"/>
          <w:szCs w:val="24"/>
        </w:rPr>
        <w:t xml:space="preserve">The more optimistic the assumptions made in determining the </w:t>
      </w:r>
      <w:r w:rsidR="006A308E">
        <w:rPr>
          <w:rFonts w:ascii="Arial" w:hAnsi="Arial" w:cs="Arial"/>
          <w:sz w:val="24"/>
          <w:szCs w:val="24"/>
        </w:rPr>
        <w:t>Solvency and F</w:t>
      </w:r>
      <w:r w:rsidRPr="005D6301">
        <w:rPr>
          <w:rFonts w:ascii="Arial" w:hAnsi="Arial" w:cs="Arial"/>
          <w:sz w:val="24"/>
          <w:szCs w:val="24"/>
        </w:rPr>
        <w:t xml:space="preserve">unding </w:t>
      </w:r>
      <w:r w:rsidR="006A308E">
        <w:rPr>
          <w:rFonts w:ascii="Arial" w:hAnsi="Arial" w:cs="Arial"/>
          <w:sz w:val="24"/>
          <w:szCs w:val="24"/>
        </w:rPr>
        <w:t>T</w:t>
      </w:r>
      <w:r w:rsidRPr="005D6301">
        <w:rPr>
          <w:rFonts w:ascii="Arial" w:hAnsi="Arial" w:cs="Arial"/>
          <w:sz w:val="24"/>
          <w:szCs w:val="24"/>
        </w:rPr>
        <w:t>arget</w:t>
      </w:r>
      <w:r w:rsidR="006A308E">
        <w:rPr>
          <w:rFonts w:ascii="Arial" w:hAnsi="Arial" w:cs="Arial"/>
          <w:sz w:val="24"/>
          <w:szCs w:val="24"/>
        </w:rPr>
        <w:t>s</w:t>
      </w:r>
      <w:r w:rsidRPr="005D6301">
        <w:rPr>
          <w:rFonts w:ascii="Arial" w:hAnsi="Arial" w:cs="Arial"/>
          <w:sz w:val="24"/>
          <w:szCs w:val="24"/>
        </w:rPr>
        <w:t xml:space="preserve">, the more that outcome will sit towards the 'favourable' end of the range of possible outcomes, the lower will be the probability of experience actually matching or being more favourable than the assumed experience, and the lower will be the </w:t>
      </w:r>
      <w:r w:rsidR="006A308E">
        <w:rPr>
          <w:rFonts w:ascii="Arial" w:hAnsi="Arial" w:cs="Arial"/>
          <w:sz w:val="24"/>
          <w:szCs w:val="24"/>
        </w:rPr>
        <w:t>Solvency and F</w:t>
      </w:r>
      <w:r w:rsidRPr="005D6301">
        <w:rPr>
          <w:rFonts w:ascii="Arial" w:hAnsi="Arial" w:cs="Arial"/>
          <w:sz w:val="24"/>
          <w:szCs w:val="24"/>
        </w:rPr>
        <w:t xml:space="preserve">unding </w:t>
      </w:r>
      <w:r w:rsidR="006A308E">
        <w:rPr>
          <w:rFonts w:ascii="Arial" w:hAnsi="Arial" w:cs="Arial"/>
          <w:sz w:val="24"/>
          <w:szCs w:val="24"/>
        </w:rPr>
        <w:t>T</w:t>
      </w:r>
      <w:r w:rsidRPr="005D6301">
        <w:rPr>
          <w:rFonts w:ascii="Arial" w:hAnsi="Arial" w:cs="Arial"/>
          <w:sz w:val="24"/>
          <w:szCs w:val="24"/>
        </w:rPr>
        <w:t>arget</w:t>
      </w:r>
      <w:r w:rsidR="006A308E">
        <w:rPr>
          <w:rFonts w:ascii="Arial" w:hAnsi="Arial" w:cs="Arial"/>
          <w:sz w:val="24"/>
          <w:szCs w:val="24"/>
        </w:rPr>
        <w:t>s</w:t>
      </w:r>
      <w:r w:rsidRPr="005D6301">
        <w:rPr>
          <w:rFonts w:ascii="Arial" w:hAnsi="Arial" w:cs="Arial"/>
          <w:sz w:val="24"/>
          <w:szCs w:val="24"/>
        </w:rPr>
        <w:t xml:space="preserve"> calculated by reference to those assumptions.</w:t>
      </w:r>
    </w:p>
    <w:p w:rsidR="005D6301" w:rsidRDefault="005D6301" w:rsidP="00C76F41">
      <w:pPr>
        <w:jc w:val="both"/>
        <w:rPr>
          <w:rFonts w:ascii="Arial" w:hAnsi="Arial" w:cs="Arial"/>
          <w:sz w:val="24"/>
          <w:szCs w:val="24"/>
        </w:rPr>
      </w:pPr>
    </w:p>
    <w:p w:rsidR="00181050" w:rsidRPr="00181050" w:rsidRDefault="00181050" w:rsidP="00C76F41">
      <w:pPr>
        <w:jc w:val="both"/>
        <w:rPr>
          <w:rFonts w:ascii="Arial" w:hAnsi="Arial" w:cs="Arial"/>
          <w:sz w:val="24"/>
          <w:szCs w:val="24"/>
        </w:rPr>
      </w:pPr>
      <w:r w:rsidRPr="00181050">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Pr="00181050">
        <w:rPr>
          <w:rFonts w:ascii="Arial" w:hAnsi="Arial" w:cs="Arial"/>
          <w:sz w:val="24"/>
          <w:szCs w:val="24"/>
        </w:rPr>
        <w:t xml:space="preserve"> will not adopt assumptions for bodies </w:t>
      </w:r>
      <w:r w:rsidR="003474DB">
        <w:rPr>
          <w:rFonts w:ascii="Arial" w:hAnsi="Arial" w:cs="Arial"/>
          <w:sz w:val="24"/>
          <w:szCs w:val="24"/>
        </w:rPr>
        <w:t xml:space="preserve">regarded by the </w:t>
      </w:r>
      <w:r w:rsidR="00CD42B5">
        <w:rPr>
          <w:rFonts w:ascii="Arial" w:hAnsi="Arial" w:cs="Arial"/>
          <w:sz w:val="24"/>
          <w:szCs w:val="24"/>
        </w:rPr>
        <w:t>a</w:t>
      </w:r>
      <w:r w:rsidR="009B2027">
        <w:rPr>
          <w:rFonts w:ascii="Arial" w:hAnsi="Arial" w:cs="Arial"/>
          <w:sz w:val="24"/>
          <w:szCs w:val="24"/>
        </w:rPr>
        <w:t>dministering authority</w:t>
      </w:r>
      <w:r w:rsidR="003474DB">
        <w:rPr>
          <w:rFonts w:ascii="Arial" w:hAnsi="Arial" w:cs="Arial"/>
          <w:sz w:val="24"/>
          <w:szCs w:val="24"/>
        </w:rPr>
        <w:t xml:space="preserve"> as being of sound covenant</w:t>
      </w:r>
      <w:r w:rsidRPr="00181050">
        <w:rPr>
          <w:rFonts w:ascii="Arial" w:hAnsi="Arial" w:cs="Arial"/>
          <w:sz w:val="24"/>
          <w:szCs w:val="24"/>
        </w:rPr>
        <w:t xml:space="preserve"> which, in its judgement, and on the basis of actuarial advice received, are such that it is less than 55% likely that the strategy will deliver funding success. </w:t>
      </w:r>
      <w:r w:rsidR="00CA3E7E">
        <w:rPr>
          <w:rFonts w:ascii="Arial" w:hAnsi="Arial" w:cs="Arial"/>
          <w:sz w:val="24"/>
          <w:szCs w:val="24"/>
        </w:rPr>
        <w:t xml:space="preserve"> </w:t>
      </w:r>
      <w:r w:rsidRPr="00181050">
        <w:rPr>
          <w:rFonts w:ascii="Arial" w:hAnsi="Arial" w:cs="Arial"/>
          <w:sz w:val="24"/>
          <w:szCs w:val="24"/>
        </w:rPr>
        <w:t xml:space="preserve">Where the probability of funding success is less than 65% the </w:t>
      </w:r>
      <w:r w:rsidR="00CD42B5">
        <w:rPr>
          <w:rFonts w:ascii="Arial" w:hAnsi="Arial" w:cs="Arial"/>
          <w:sz w:val="24"/>
          <w:szCs w:val="24"/>
        </w:rPr>
        <w:t>a</w:t>
      </w:r>
      <w:r w:rsidR="009B2027">
        <w:rPr>
          <w:rFonts w:ascii="Arial" w:hAnsi="Arial" w:cs="Arial"/>
          <w:sz w:val="24"/>
          <w:szCs w:val="24"/>
        </w:rPr>
        <w:t>dministering authority</w:t>
      </w:r>
      <w:r w:rsidRPr="00181050">
        <w:rPr>
          <w:rFonts w:ascii="Arial" w:hAnsi="Arial" w:cs="Arial"/>
          <w:sz w:val="24"/>
          <w:szCs w:val="24"/>
        </w:rPr>
        <w:t xml:space="preserve"> will not adopt assumptions which lead to a reduction in the aggregate employer contribution rate to the Fund.</w:t>
      </w:r>
    </w:p>
    <w:p w:rsidR="00181050" w:rsidRPr="00A24997" w:rsidRDefault="00181050" w:rsidP="00181050">
      <w:pPr>
        <w:rPr>
          <w:rFonts w:ascii="Arial" w:hAnsi="Arial" w:cs="Arial"/>
          <w:sz w:val="24"/>
          <w:szCs w:val="24"/>
        </w:rPr>
      </w:pPr>
    </w:p>
    <w:p w:rsidR="00BA54BF" w:rsidRPr="00A24997" w:rsidRDefault="00BA54BF" w:rsidP="001638F8">
      <w:pPr>
        <w:jc w:val="both"/>
        <w:outlineLvl w:val="0"/>
        <w:rPr>
          <w:rFonts w:ascii="Arial" w:hAnsi="Arial" w:cs="Arial"/>
          <w:sz w:val="24"/>
          <w:szCs w:val="24"/>
          <w:u w:val="single"/>
        </w:rPr>
      </w:pPr>
      <w:r w:rsidRPr="00A24997">
        <w:rPr>
          <w:rFonts w:ascii="Arial" w:hAnsi="Arial" w:cs="Arial"/>
          <w:sz w:val="24"/>
          <w:szCs w:val="24"/>
          <w:u w:val="single"/>
        </w:rPr>
        <w:t>Smoothing</w:t>
      </w:r>
    </w:p>
    <w:p w:rsidR="00BA54BF" w:rsidRPr="00A24997" w:rsidRDefault="00BA54BF">
      <w:pPr>
        <w:rPr>
          <w:rFonts w:ascii="Arial" w:hAnsi="Arial" w:cs="Arial"/>
          <w:sz w:val="24"/>
          <w:szCs w:val="24"/>
        </w:rPr>
      </w:pPr>
    </w:p>
    <w:p w:rsidR="00BA54BF" w:rsidRPr="00A24997" w:rsidRDefault="000A0473" w:rsidP="00C76F41">
      <w:pPr>
        <w:jc w:val="both"/>
        <w:rPr>
          <w:rFonts w:ascii="Arial" w:hAnsi="Arial" w:cs="Arial"/>
          <w:sz w:val="24"/>
          <w:szCs w:val="24"/>
        </w:rPr>
      </w:pPr>
      <w:r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recognises that utilisation of a smoothing adjustment in the solvency measurement introduces an element of risk, in that the smoothing adjustment may not provide a true measure of the underlying position. </w:t>
      </w:r>
      <w:r w:rsidR="00CB22BE">
        <w:rPr>
          <w:rFonts w:ascii="Arial" w:hAnsi="Arial" w:cs="Arial"/>
          <w:sz w:val="24"/>
          <w:szCs w:val="24"/>
        </w:rPr>
        <w:t xml:space="preserve"> </w:t>
      </w:r>
      <w:r w:rsidR="00F15B49">
        <w:rPr>
          <w:rFonts w:ascii="Arial" w:hAnsi="Arial" w:cs="Arial"/>
          <w:sz w:val="24"/>
          <w:szCs w:val="24"/>
        </w:rPr>
        <w:t>If such an adjustment is used, t</w:t>
      </w:r>
      <w:r w:rsidRPr="00A24997">
        <w:rPr>
          <w:rFonts w:ascii="Arial" w:hAnsi="Arial" w:cs="Arial"/>
          <w:sz w:val="24"/>
          <w:szCs w:val="24"/>
        </w:rPr>
        <w:t xml:space="preserve">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’s policy is to review the impact of </w:t>
      </w:r>
      <w:r w:rsidR="00F15B49">
        <w:rPr>
          <w:rFonts w:ascii="Arial" w:hAnsi="Arial" w:cs="Arial"/>
          <w:sz w:val="24"/>
          <w:szCs w:val="24"/>
        </w:rPr>
        <w:t>any</w:t>
      </w:r>
      <w:r w:rsidR="00F15B49" w:rsidRPr="00A24997">
        <w:rPr>
          <w:rFonts w:ascii="Arial" w:hAnsi="Arial" w:cs="Arial"/>
          <w:sz w:val="24"/>
          <w:szCs w:val="24"/>
        </w:rPr>
        <w:t xml:space="preserve"> </w:t>
      </w:r>
      <w:r w:rsidR="00BA54BF" w:rsidRPr="00A24997">
        <w:rPr>
          <w:rFonts w:ascii="Arial" w:hAnsi="Arial" w:cs="Arial"/>
          <w:sz w:val="24"/>
          <w:szCs w:val="24"/>
        </w:rPr>
        <w:t xml:space="preserve">adjustment </w:t>
      </w:r>
      <w:r w:rsidR="00F15B49">
        <w:rPr>
          <w:rFonts w:ascii="Arial" w:hAnsi="Arial" w:cs="Arial"/>
          <w:sz w:val="24"/>
          <w:szCs w:val="24"/>
        </w:rPr>
        <w:t xml:space="preserve">made </w:t>
      </w:r>
      <w:r w:rsidR="00BA54BF" w:rsidRPr="00A24997">
        <w:rPr>
          <w:rFonts w:ascii="Arial" w:hAnsi="Arial" w:cs="Arial"/>
          <w:sz w:val="24"/>
          <w:szCs w:val="24"/>
        </w:rPr>
        <w:t>at each valuation to ensure that it does not alter the disclosed solvency level by more than 5%.</w:t>
      </w:r>
    </w:p>
    <w:p w:rsidR="00BA54BF" w:rsidRPr="00A24997" w:rsidRDefault="00BA54BF">
      <w:pPr>
        <w:rPr>
          <w:rFonts w:ascii="Arial" w:hAnsi="Arial" w:cs="Arial"/>
          <w:sz w:val="24"/>
          <w:szCs w:val="24"/>
        </w:rPr>
      </w:pPr>
    </w:p>
    <w:p w:rsidR="00BA54BF" w:rsidRPr="00A24997" w:rsidRDefault="00BA54BF" w:rsidP="001638F8">
      <w:pPr>
        <w:jc w:val="both"/>
        <w:outlineLvl w:val="0"/>
        <w:rPr>
          <w:rFonts w:ascii="Arial" w:hAnsi="Arial" w:cs="Arial"/>
          <w:sz w:val="24"/>
          <w:szCs w:val="24"/>
          <w:u w:val="single"/>
        </w:rPr>
      </w:pPr>
      <w:r w:rsidRPr="00A24997">
        <w:rPr>
          <w:rFonts w:ascii="Arial" w:hAnsi="Arial" w:cs="Arial"/>
          <w:sz w:val="24"/>
          <w:szCs w:val="24"/>
          <w:u w:val="single"/>
        </w:rPr>
        <w:t xml:space="preserve">Recovery </w:t>
      </w:r>
      <w:r w:rsidR="00CA3E7E">
        <w:rPr>
          <w:rFonts w:ascii="Arial" w:hAnsi="Arial" w:cs="Arial"/>
          <w:sz w:val="24"/>
          <w:szCs w:val="24"/>
          <w:u w:val="single"/>
        </w:rPr>
        <w:t>P</w:t>
      </w:r>
      <w:r w:rsidRPr="00A24997">
        <w:rPr>
          <w:rFonts w:ascii="Arial" w:hAnsi="Arial" w:cs="Arial"/>
          <w:sz w:val="24"/>
          <w:szCs w:val="24"/>
          <w:u w:val="single"/>
        </w:rPr>
        <w:t>eriod</w:t>
      </w:r>
    </w:p>
    <w:p w:rsidR="00BA54BF" w:rsidRPr="00A24997" w:rsidRDefault="00BA54BF">
      <w:pPr>
        <w:jc w:val="both"/>
        <w:rPr>
          <w:rFonts w:ascii="Arial" w:hAnsi="Arial" w:cs="Arial"/>
          <w:sz w:val="24"/>
          <w:szCs w:val="24"/>
        </w:rPr>
      </w:pPr>
    </w:p>
    <w:p w:rsidR="00BA54BF" w:rsidRDefault="000A0473">
      <w:pPr>
        <w:jc w:val="both"/>
        <w:rPr>
          <w:rFonts w:ascii="Arial" w:hAnsi="Arial" w:cs="Arial"/>
          <w:sz w:val="24"/>
          <w:szCs w:val="24"/>
        </w:rPr>
      </w:pPr>
      <w:r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 recognises that permitting surpluses or deficiencies to be eliminated over a </w:t>
      </w:r>
      <w:r w:rsidR="00CA3E7E">
        <w:rPr>
          <w:rFonts w:ascii="Arial" w:hAnsi="Arial" w:cs="Arial"/>
          <w:sz w:val="24"/>
          <w:szCs w:val="24"/>
        </w:rPr>
        <w:t>R</w:t>
      </w:r>
      <w:r w:rsidR="00BA54BF" w:rsidRPr="00A24997">
        <w:rPr>
          <w:rFonts w:ascii="Arial" w:hAnsi="Arial" w:cs="Arial"/>
          <w:sz w:val="24"/>
          <w:szCs w:val="24"/>
        </w:rPr>
        <w:t xml:space="preserve">ecovery </w:t>
      </w:r>
      <w:r w:rsidR="00CA3E7E">
        <w:rPr>
          <w:rFonts w:ascii="Arial" w:hAnsi="Arial" w:cs="Arial"/>
          <w:sz w:val="24"/>
          <w:szCs w:val="24"/>
        </w:rPr>
        <w:t>P</w:t>
      </w:r>
      <w:r w:rsidR="00BA54BF" w:rsidRPr="00A24997">
        <w:rPr>
          <w:rFonts w:ascii="Arial" w:hAnsi="Arial" w:cs="Arial"/>
          <w:sz w:val="24"/>
          <w:szCs w:val="24"/>
        </w:rPr>
        <w:t>eriod</w:t>
      </w:r>
      <w:r w:rsidR="005C4461">
        <w:rPr>
          <w:rFonts w:ascii="Arial" w:hAnsi="Arial" w:cs="Arial"/>
          <w:sz w:val="24"/>
          <w:szCs w:val="24"/>
        </w:rPr>
        <w:t>,</w:t>
      </w:r>
      <w:r w:rsidR="00BA54BF" w:rsidRPr="00A24997">
        <w:rPr>
          <w:rFonts w:ascii="Arial" w:hAnsi="Arial" w:cs="Arial"/>
          <w:sz w:val="24"/>
          <w:szCs w:val="24"/>
        </w:rPr>
        <w:t xml:space="preserve"> rather than immediately</w:t>
      </w:r>
      <w:r w:rsidR="005C4461">
        <w:rPr>
          <w:rFonts w:ascii="Arial" w:hAnsi="Arial" w:cs="Arial"/>
          <w:sz w:val="24"/>
          <w:szCs w:val="24"/>
        </w:rPr>
        <w:t>,</w:t>
      </w:r>
      <w:r w:rsidR="00BA54BF" w:rsidRPr="00A24997">
        <w:rPr>
          <w:rFonts w:ascii="Arial" w:hAnsi="Arial" w:cs="Arial"/>
          <w:sz w:val="24"/>
          <w:szCs w:val="24"/>
        </w:rPr>
        <w:t xml:space="preserve"> introduces a risk that action to restore solvency is insufficient between successive measurements. </w:t>
      </w:r>
      <w:r w:rsidR="00CB22BE">
        <w:rPr>
          <w:rFonts w:ascii="Arial" w:hAnsi="Arial" w:cs="Arial"/>
          <w:sz w:val="24"/>
          <w:szCs w:val="24"/>
        </w:rPr>
        <w:t xml:space="preserve"> </w:t>
      </w:r>
      <w:r w:rsidR="00792756" w:rsidRPr="00A24997">
        <w:rPr>
          <w:rFonts w:ascii="Arial" w:hAnsi="Arial" w:cs="Arial"/>
          <w:sz w:val="24"/>
          <w:szCs w:val="24"/>
        </w:rPr>
        <w:t xml:space="preserve">The </w:t>
      </w:r>
      <w:r w:rsidR="00CD42B5">
        <w:rPr>
          <w:rFonts w:ascii="Arial" w:hAnsi="Arial" w:cs="Arial"/>
          <w:sz w:val="24"/>
          <w:szCs w:val="24"/>
        </w:rPr>
        <w:t>a</w:t>
      </w:r>
      <w:r w:rsidR="009B2027">
        <w:rPr>
          <w:rFonts w:ascii="Arial" w:hAnsi="Arial" w:cs="Arial"/>
          <w:sz w:val="24"/>
          <w:szCs w:val="24"/>
        </w:rPr>
        <w:t>dministering authority</w:t>
      </w:r>
      <w:r w:rsidR="00BA54BF" w:rsidRPr="00A24997">
        <w:rPr>
          <w:rFonts w:ascii="Arial" w:hAnsi="Arial" w:cs="Arial"/>
          <w:sz w:val="24"/>
          <w:szCs w:val="24"/>
        </w:rPr>
        <w:t xml:space="preserve">’s policy </w:t>
      </w:r>
      <w:r w:rsidR="00E464E2">
        <w:rPr>
          <w:rFonts w:ascii="Arial" w:hAnsi="Arial" w:cs="Arial"/>
          <w:sz w:val="24"/>
          <w:szCs w:val="24"/>
        </w:rPr>
        <w:t xml:space="preserve">with regard to </w:t>
      </w:r>
      <w:r w:rsidR="00CA3E7E">
        <w:rPr>
          <w:rFonts w:ascii="Arial" w:hAnsi="Arial" w:cs="Arial"/>
          <w:sz w:val="24"/>
          <w:szCs w:val="24"/>
        </w:rPr>
        <w:t>R</w:t>
      </w:r>
      <w:r w:rsidR="00E464E2">
        <w:rPr>
          <w:rFonts w:ascii="Arial" w:hAnsi="Arial" w:cs="Arial"/>
          <w:sz w:val="24"/>
          <w:szCs w:val="24"/>
        </w:rPr>
        <w:t xml:space="preserve">ecovery </w:t>
      </w:r>
      <w:r w:rsidR="00CA3E7E">
        <w:rPr>
          <w:rFonts w:ascii="Arial" w:hAnsi="Arial" w:cs="Arial"/>
          <w:sz w:val="24"/>
          <w:szCs w:val="24"/>
        </w:rPr>
        <w:t>P</w:t>
      </w:r>
      <w:r w:rsidR="00E464E2">
        <w:rPr>
          <w:rFonts w:ascii="Arial" w:hAnsi="Arial" w:cs="Arial"/>
          <w:sz w:val="24"/>
          <w:szCs w:val="24"/>
        </w:rPr>
        <w:t xml:space="preserve">eriods </w:t>
      </w:r>
      <w:r w:rsidR="00BA54BF" w:rsidRPr="00A24997">
        <w:rPr>
          <w:rFonts w:ascii="Arial" w:hAnsi="Arial" w:cs="Arial"/>
          <w:sz w:val="24"/>
          <w:szCs w:val="24"/>
        </w:rPr>
        <w:t xml:space="preserve">is </w:t>
      </w:r>
      <w:r w:rsidR="00E464E2">
        <w:rPr>
          <w:rFonts w:ascii="Arial" w:hAnsi="Arial" w:cs="Arial"/>
          <w:sz w:val="24"/>
          <w:szCs w:val="24"/>
        </w:rPr>
        <w:t>set out in section 4</w:t>
      </w:r>
      <w:r w:rsidR="00CA3E7E">
        <w:rPr>
          <w:rFonts w:ascii="Arial" w:hAnsi="Arial" w:cs="Arial"/>
          <w:sz w:val="24"/>
          <w:szCs w:val="24"/>
        </w:rPr>
        <w:t xml:space="preserve"> of this Statement. </w:t>
      </w: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1F3356" w:rsidRDefault="001F3356">
      <w:pPr>
        <w:jc w:val="both"/>
        <w:rPr>
          <w:rFonts w:ascii="Arial" w:hAnsi="Arial" w:cs="Arial"/>
          <w:sz w:val="24"/>
          <w:szCs w:val="24"/>
        </w:rPr>
      </w:pPr>
    </w:p>
    <w:p w:rsidR="00330599" w:rsidRDefault="00330599">
      <w:pPr>
        <w:jc w:val="both"/>
        <w:rPr>
          <w:rFonts w:ascii="Arial" w:hAnsi="Arial" w:cs="Arial"/>
          <w:sz w:val="24"/>
          <w:szCs w:val="24"/>
        </w:rPr>
      </w:pPr>
    </w:p>
    <w:p w:rsidR="00330599" w:rsidRDefault="00330599">
      <w:pPr>
        <w:jc w:val="both"/>
        <w:rPr>
          <w:rFonts w:ascii="Arial" w:hAnsi="Arial" w:cs="Arial"/>
          <w:sz w:val="24"/>
          <w:szCs w:val="24"/>
        </w:rPr>
      </w:pPr>
    </w:p>
    <w:p w:rsidR="00330599" w:rsidRPr="00C8702E" w:rsidRDefault="00132F57">
      <w:pPr>
        <w:jc w:val="both"/>
        <w:rPr>
          <w:rFonts w:ascii="Arial" w:hAnsi="Arial" w:cs="Arial"/>
          <w:b/>
          <w:sz w:val="24"/>
          <w:szCs w:val="24"/>
        </w:rPr>
      </w:pPr>
      <w:r w:rsidRPr="00C8702E">
        <w:rPr>
          <w:rFonts w:ascii="Arial" w:hAnsi="Arial" w:cs="Arial"/>
          <w:b/>
          <w:sz w:val="24"/>
          <w:szCs w:val="24"/>
        </w:rPr>
        <w:t xml:space="preserve">March </w:t>
      </w:r>
      <w:r w:rsidR="00CD7167">
        <w:rPr>
          <w:rFonts w:ascii="Arial" w:hAnsi="Arial" w:cs="Arial"/>
          <w:b/>
          <w:sz w:val="24"/>
          <w:szCs w:val="24"/>
        </w:rPr>
        <w:t>2017</w:t>
      </w:r>
      <w:r w:rsidRPr="00C8702E">
        <w:rPr>
          <w:rFonts w:ascii="Arial" w:hAnsi="Arial" w:cs="Arial"/>
          <w:b/>
          <w:sz w:val="24"/>
          <w:szCs w:val="24"/>
        </w:rPr>
        <w:t xml:space="preserve"> version</w:t>
      </w:r>
    </w:p>
    <w:p w:rsidR="00132F57" w:rsidRDefault="00132F57">
      <w:pPr>
        <w:jc w:val="both"/>
        <w:rPr>
          <w:rFonts w:ascii="Arial" w:hAnsi="Arial" w:cs="Arial"/>
          <w:sz w:val="24"/>
          <w:szCs w:val="24"/>
        </w:rPr>
      </w:pPr>
    </w:p>
    <w:bookmarkEnd w:id="0"/>
    <w:bookmarkEnd w:id="1"/>
    <w:bookmarkEnd w:id="2"/>
    <w:bookmarkEnd w:id="3"/>
    <w:bookmarkEnd w:id="4"/>
    <w:p w:rsidR="00BA54BF" w:rsidRPr="00C8702E" w:rsidRDefault="00BA54BF" w:rsidP="00F15B49">
      <w:pPr>
        <w:jc w:val="both"/>
        <w:rPr>
          <w:rFonts w:ascii="Arial Narrow" w:hAnsi="Arial Narrow"/>
        </w:rPr>
      </w:pPr>
    </w:p>
    <w:sectPr w:rsidR="00BA54BF" w:rsidRPr="00C8702E" w:rsidSect="00420C3F">
      <w:footerReference w:type="default" r:id="rId8"/>
      <w:footerReference w:type="first" r:id="rId9"/>
      <w:pgSz w:w="11909" w:h="16834" w:code="9"/>
      <w:pgMar w:top="1134" w:right="1440" w:bottom="731" w:left="1440" w:header="426" w:footer="488"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AD" w:rsidRDefault="00B143AD">
      <w:r>
        <w:separator/>
      </w:r>
    </w:p>
  </w:endnote>
  <w:endnote w:type="continuationSeparator" w:id="0">
    <w:p w:rsidR="00B143AD" w:rsidRDefault="00B1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3F" w:rsidRPr="00420C3F" w:rsidRDefault="00056F09" w:rsidP="00420C3F">
    <w:pPr>
      <w:tabs>
        <w:tab w:val="center" w:pos="4320"/>
        <w:tab w:val="right" w:pos="8640"/>
      </w:tabs>
      <w:jc w:val="center"/>
      <w:rPr>
        <w:rFonts w:ascii="Arial" w:hAnsi="Arial" w:cs="Arial"/>
        <w:sz w:val="20"/>
      </w:rPr>
    </w:pPr>
    <w:r>
      <w:rPr>
        <w:rFonts w:ascii="Arial" w:hAnsi="Arial" w:cs="Arial"/>
        <w:sz w:val="20"/>
      </w:rPr>
      <w:t>FSS</w:t>
    </w:r>
    <w:r w:rsidR="00420C3F" w:rsidRPr="00420C3F">
      <w:rPr>
        <w:rFonts w:ascii="Arial" w:hAnsi="Arial" w:cs="Arial"/>
        <w:sz w:val="20"/>
      </w:rPr>
      <w:t xml:space="preserve">, Page </w:t>
    </w:r>
    <w:r w:rsidR="00420C3F" w:rsidRPr="00420C3F">
      <w:rPr>
        <w:rFonts w:ascii="Arial" w:hAnsi="Arial" w:cs="Arial"/>
        <w:sz w:val="20"/>
      </w:rPr>
      <w:fldChar w:fldCharType="begin"/>
    </w:r>
    <w:r w:rsidR="00420C3F" w:rsidRPr="00420C3F">
      <w:rPr>
        <w:rFonts w:ascii="Arial" w:hAnsi="Arial" w:cs="Arial"/>
        <w:sz w:val="20"/>
      </w:rPr>
      <w:instrText xml:space="preserve"> PAGE </w:instrText>
    </w:r>
    <w:r w:rsidR="00420C3F" w:rsidRPr="00420C3F">
      <w:rPr>
        <w:rFonts w:ascii="Arial" w:hAnsi="Arial" w:cs="Arial"/>
        <w:sz w:val="20"/>
      </w:rPr>
      <w:fldChar w:fldCharType="separate"/>
    </w:r>
    <w:r>
      <w:rPr>
        <w:rFonts w:ascii="Arial" w:hAnsi="Arial" w:cs="Arial"/>
        <w:noProof/>
        <w:sz w:val="20"/>
      </w:rPr>
      <w:t>2</w:t>
    </w:r>
    <w:r w:rsidR="00420C3F" w:rsidRPr="00420C3F">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3F" w:rsidRPr="00420C3F" w:rsidRDefault="00056F09" w:rsidP="00420C3F">
    <w:pPr>
      <w:tabs>
        <w:tab w:val="center" w:pos="4320"/>
        <w:tab w:val="right" w:pos="8640"/>
      </w:tabs>
      <w:jc w:val="center"/>
      <w:rPr>
        <w:rFonts w:ascii="Arial" w:hAnsi="Arial" w:cs="Arial"/>
        <w:sz w:val="20"/>
      </w:rPr>
    </w:pPr>
    <w:r>
      <w:rPr>
        <w:rFonts w:ascii="Arial" w:hAnsi="Arial" w:cs="Arial"/>
        <w:sz w:val="20"/>
      </w:rPr>
      <w:t>FSS</w:t>
    </w:r>
    <w:r w:rsidR="00420C3F" w:rsidRPr="00420C3F">
      <w:rPr>
        <w:rFonts w:ascii="Arial" w:hAnsi="Arial" w:cs="Arial"/>
        <w:sz w:val="20"/>
      </w:rPr>
      <w:t xml:space="preserve">, Page </w:t>
    </w:r>
    <w:r w:rsidR="00420C3F" w:rsidRPr="00420C3F">
      <w:rPr>
        <w:rFonts w:ascii="Arial" w:hAnsi="Arial" w:cs="Arial"/>
        <w:sz w:val="20"/>
      </w:rPr>
      <w:fldChar w:fldCharType="begin"/>
    </w:r>
    <w:r w:rsidR="00420C3F" w:rsidRPr="00420C3F">
      <w:rPr>
        <w:rFonts w:ascii="Arial" w:hAnsi="Arial" w:cs="Arial"/>
        <w:sz w:val="20"/>
      </w:rPr>
      <w:instrText xml:space="preserve"> PAGE </w:instrText>
    </w:r>
    <w:r w:rsidR="00420C3F" w:rsidRPr="00420C3F">
      <w:rPr>
        <w:rFonts w:ascii="Arial" w:hAnsi="Arial" w:cs="Arial"/>
        <w:sz w:val="20"/>
      </w:rPr>
      <w:fldChar w:fldCharType="separate"/>
    </w:r>
    <w:r>
      <w:rPr>
        <w:rFonts w:ascii="Arial" w:hAnsi="Arial" w:cs="Arial"/>
        <w:noProof/>
        <w:sz w:val="20"/>
      </w:rPr>
      <w:t>1</w:t>
    </w:r>
    <w:r w:rsidR="00420C3F" w:rsidRPr="00420C3F">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AD" w:rsidRDefault="00B143AD">
      <w:r>
        <w:separator/>
      </w:r>
    </w:p>
  </w:footnote>
  <w:footnote w:type="continuationSeparator" w:id="0">
    <w:p w:rsidR="00B143AD" w:rsidRDefault="00B1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FAC0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E538B"/>
    <w:multiLevelType w:val="multilevel"/>
    <w:tmpl w:val="14FC7744"/>
    <w:lvl w:ilvl="0">
      <w:start w:val="1"/>
      <w:numFmt w:val="bullet"/>
      <w:pStyle w:val="Bulletplus"/>
      <w:lvlText w:val="■"/>
      <w:lvlJc w:val="left"/>
      <w:pPr>
        <w:tabs>
          <w:tab w:val="num" w:pos="220"/>
        </w:tabs>
        <w:ind w:left="220" w:hanging="220"/>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EmDashplus"/>
      <w:lvlText w:val=""/>
      <w:lvlJc w:val="left"/>
      <w:pPr>
        <w:tabs>
          <w:tab w:val="num" w:pos="540"/>
        </w:tabs>
        <w:ind w:left="540" w:hanging="300"/>
      </w:pPr>
      <w:rPr>
        <w:rFonts w:ascii="Symbol" w:hAnsi="Symbol" w:hint="default"/>
        <w:b w:val="0"/>
        <w:i w:val="0"/>
        <w:color w:val="000000"/>
        <w:sz w:val="16"/>
        <w:szCs w:val="16"/>
      </w:rPr>
    </w:lvl>
    <w:lvl w:ilvl="2">
      <w:start w:val="1"/>
      <w:numFmt w:val="bullet"/>
      <w:lvlRestart w:val="0"/>
      <w:pStyle w:val="EnDashplus"/>
      <w:lvlText w:val="–"/>
      <w:lvlJc w:val="left"/>
      <w:pPr>
        <w:tabs>
          <w:tab w:val="num" w:pos="740"/>
        </w:tabs>
        <w:ind w:left="740" w:hanging="200"/>
      </w:pPr>
      <w:rPr>
        <w:rFonts w:ascii="Times" w:hAnsi="Times" w:cs="Times" w:hint="default"/>
        <w:b w:val="0"/>
        <w:i w:val="0"/>
        <w:color w:val="000000"/>
        <w:sz w:val="2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9CD3FE1"/>
    <w:multiLevelType w:val="hybridMultilevel"/>
    <w:tmpl w:val="B7D04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4F2283"/>
    <w:multiLevelType w:val="hybridMultilevel"/>
    <w:tmpl w:val="A9F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4110C"/>
    <w:multiLevelType w:val="hybridMultilevel"/>
    <w:tmpl w:val="4F945D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192C50B5"/>
    <w:multiLevelType w:val="hybridMultilevel"/>
    <w:tmpl w:val="6A549BF8"/>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502893"/>
    <w:multiLevelType w:val="hybridMultilevel"/>
    <w:tmpl w:val="A524C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EB259E"/>
    <w:multiLevelType w:val="hybridMultilevel"/>
    <w:tmpl w:val="ED243A14"/>
    <w:lvl w:ilvl="0" w:tplc="3E18B1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2E2EE6"/>
    <w:multiLevelType w:val="hybridMultilevel"/>
    <w:tmpl w:val="DBF8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942FE"/>
    <w:multiLevelType w:val="hybridMultilevel"/>
    <w:tmpl w:val="74D0D1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4377A21"/>
    <w:multiLevelType w:val="hybridMultilevel"/>
    <w:tmpl w:val="46C8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4A3F42"/>
    <w:multiLevelType w:val="multilevel"/>
    <w:tmpl w:val="228E0A80"/>
    <w:lvl w:ilvl="0">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b w:val="0"/>
        <w:i w:val="0"/>
        <w:color w:val="000000"/>
        <w:sz w:val="16"/>
        <w:szCs w:val="16"/>
      </w:rPr>
    </w:lvl>
    <w:lvl w:ilvl="2">
      <w:start w:val="1"/>
      <w:numFmt w:val="bullet"/>
      <w:lvlRestart w:val="0"/>
      <w:lvlText w:val="–"/>
      <w:lvlJc w:val="left"/>
      <w:pPr>
        <w:tabs>
          <w:tab w:val="num" w:pos="740"/>
        </w:tabs>
        <w:ind w:left="740" w:hanging="200"/>
      </w:pPr>
      <w:rPr>
        <w:rFonts w:ascii="Times" w:hAnsi="Times" w:cs="Times" w:hint="default"/>
        <w:b w:val="0"/>
        <w:i w:val="0"/>
        <w:color w:val="000000"/>
        <w:sz w:val="2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EEF3965"/>
    <w:multiLevelType w:val="hybridMultilevel"/>
    <w:tmpl w:val="1B2CDB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69658B2"/>
    <w:multiLevelType w:val="hybridMultilevel"/>
    <w:tmpl w:val="EA267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8874AC3"/>
    <w:multiLevelType w:val="hybridMultilevel"/>
    <w:tmpl w:val="854E93BA"/>
    <w:lvl w:ilvl="0" w:tplc="57D4DC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264C25"/>
    <w:multiLevelType w:val="hybridMultilevel"/>
    <w:tmpl w:val="EF78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67782"/>
    <w:multiLevelType w:val="hybridMultilevel"/>
    <w:tmpl w:val="8530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8B4A63"/>
    <w:multiLevelType w:val="hybridMultilevel"/>
    <w:tmpl w:val="D4F0B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7D5206"/>
    <w:multiLevelType w:val="hybridMultilevel"/>
    <w:tmpl w:val="1BB452EE"/>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A9E5A17"/>
    <w:multiLevelType w:val="hybridMultilevel"/>
    <w:tmpl w:val="E092E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C62016"/>
    <w:multiLevelType w:val="hybridMultilevel"/>
    <w:tmpl w:val="8ADA75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912190"/>
    <w:multiLevelType w:val="hybridMultilevel"/>
    <w:tmpl w:val="7ADCF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5311D5"/>
    <w:multiLevelType w:val="hybridMultilevel"/>
    <w:tmpl w:val="7B2CDC38"/>
    <w:lvl w:ilvl="0" w:tplc="8236C662">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1DD4E11"/>
    <w:multiLevelType w:val="hybridMultilevel"/>
    <w:tmpl w:val="B8FAF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970C3E"/>
    <w:multiLevelType w:val="hybridMultilevel"/>
    <w:tmpl w:val="98068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87130CA"/>
    <w:multiLevelType w:val="hybridMultilevel"/>
    <w:tmpl w:val="9FEA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DB7225"/>
    <w:multiLevelType w:val="hybridMultilevel"/>
    <w:tmpl w:val="6FA2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E150D7"/>
    <w:multiLevelType w:val="hybridMultilevel"/>
    <w:tmpl w:val="01B86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A0427D4"/>
    <w:multiLevelType w:val="hybridMultilevel"/>
    <w:tmpl w:val="5302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4C014A"/>
    <w:multiLevelType w:val="hybridMultilevel"/>
    <w:tmpl w:val="A4ACD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0F5272"/>
    <w:multiLevelType w:val="hybridMultilevel"/>
    <w:tmpl w:val="3C5863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E4F123E"/>
    <w:multiLevelType w:val="hybridMultilevel"/>
    <w:tmpl w:val="29865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6C035A"/>
    <w:multiLevelType w:val="hybridMultilevel"/>
    <w:tmpl w:val="3BDA7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8D6FF8"/>
    <w:multiLevelType w:val="hybridMultilevel"/>
    <w:tmpl w:val="415016C0"/>
    <w:lvl w:ilvl="0" w:tplc="FD961132">
      <w:start w:val="1"/>
      <w:numFmt w:val="decimal"/>
      <w:lvlText w:val="%1."/>
      <w:lvlJc w:val="left"/>
      <w:pPr>
        <w:tabs>
          <w:tab w:val="num" w:pos="720"/>
        </w:tabs>
        <w:ind w:left="720" w:hanging="720"/>
      </w:pPr>
      <w:rPr>
        <w:rFonts w:hint="default"/>
        <w:i w:val="0"/>
      </w:rPr>
    </w:lvl>
    <w:lvl w:ilvl="1" w:tplc="FD961132">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F450DD"/>
    <w:multiLevelType w:val="hybridMultilevel"/>
    <w:tmpl w:val="60180A64"/>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3916FA"/>
    <w:multiLevelType w:val="hybridMultilevel"/>
    <w:tmpl w:val="3738B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6"/>
  </w:num>
  <w:num w:numId="3">
    <w:abstractNumId w:val="5"/>
  </w:num>
  <w:num w:numId="4">
    <w:abstractNumId w:val="1"/>
  </w:num>
  <w:num w:numId="5">
    <w:abstractNumId w:val="11"/>
  </w:num>
  <w:num w:numId="6">
    <w:abstractNumId w:val="2"/>
  </w:num>
  <w:num w:numId="7">
    <w:abstractNumId w:val="19"/>
  </w:num>
  <w:num w:numId="8">
    <w:abstractNumId w:val="25"/>
  </w:num>
  <w:num w:numId="9">
    <w:abstractNumId w:val="21"/>
  </w:num>
  <w:num w:numId="10">
    <w:abstractNumId w:val="16"/>
  </w:num>
  <w:num w:numId="11">
    <w:abstractNumId w:val="29"/>
  </w:num>
  <w:num w:numId="12">
    <w:abstractNumId w:val="17"/>
  </w:num>
  <w:num w:numId="13">
    <w:abstractNumId w:val="32"/>
  </w:num>
  <w:num w:numId="14">
    <w:abstractNumId w:val="23"/>
  </w:num>
  <w:num w:numId="15">
    <w:abstractNumId w:val="0"/>
  </w:num>
  <w:num w:numId="16">
    <w:abstractNumId w:val="20"/>
  </w:num>
  <w:num w:numId="17">
    <w:abstractNumId w:val="27"/>
  </w:num>
  <w:num w:numId="18">
    <w:abstractNumId w:val="9"/>
  </w:num>
  <w:num w:numId="19">
    <w:abstractNumId w:val="24"/>
  </w:num>
  <w:num w:numId="20">
    <w:abstractNumId w:val="13"/>
  </w:num>
  <w:num w:numId="21">
    <w:abstractNumId w:val="4"/>
  </w:num>
  <w:num w:numId="22">
    <w:abstractNumId w:val="12"/>
  </w:num>
  <w:num w:numId="23">
    <w:abstractNumId w:val="35"/>
  </w:num>
  <w:num w:numId="24">
    <w:abstractNumId w:val="28"/>
  </w:num>
  <w:num w:numId="25">
    <w:abstractNumId w:val="30"/>
  </w:num>
  <w:num w:numId="26">
    <w:abstractNumId w:val="22"/>
  </w:num>
  <w:num w:numId="27">
    <w:abstractNumId w:val="10"/>
  </w:num>
  <w:num w:numId="28">
    <w:abstractNumId w:val="7"/>
  </w:num>
  <w:num w:numId="29">
    <w:abstractNumId w:val="34"/>
  </w:num>
  <w:num w:numId="30">
    <w:abstractNumId w:val="14"/>
  </w:num>
  <w:num w:numId="31">
    <w:abstractNumId w:val="33"/>
  </w:num>
  <w:num w:numId="32">
    <w:abstractNumId w:val="18"/>
  </w:num>
  <w:num w:numId="33">
    <w:abstractNumId w:val="8"/>
  </w:num>
  <w:num w:numId="34">
    <w:abstractNumId w:val="3"/>
  </w:num>
  <w:num w:numId="35">
    <w:abstractNumId w:val="26"/>
  </w:num>
  <w:num w:numId="3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FD"/>
    <w:rsid w:val="0001082E"/>
    <w:rsid w:val="00012CE0"/>
    <w:rsid w:val="0002427A"/>
    <w:rsid w:val="0002676B"/>
    <w:rsid w:val="000348C2"/>
    <w:rsid w:val="00040A96"/>
    <w:rsid w:val="0004451A"/>
    <w:rsid w:val="00056F09"/>
    <w:rsid w:val="0008064D"/>
    <w:rsid w:val="00087BF3"/>
    <w:rsid w:val="000A0473"/>
    <w:rsid w:val="000A17A3"/>
    <w:rsid w:val="000C19E1"/>
    <w:rsid w:val="000D24DD"/>
    <w:rsid w:val="000E0D49"/>
    <w:rsid w:val="000E0ED6"/>
    <w:rsid w:val="000E1446"/>
    <w:rsid w:val="000E362E"/>
    <w:rsid w:val="000E56F2"/>
    <w:rsid w:val="000E57DF"/>
    <w:rsid w:val="000F1A26"/>
    <w:rsid w:val="000F4118"/>
    <w:rsid w:val="000F4DE4"/>
    <w:rsid w:val="000F571B"/>
    <w:rsid w:val="00105DC2"/>
    <w:rsid w:val="00113C20"/>
    <w:rsid w:val="001149D8"/>
    <w:rsid w:val="00120891"/>
    <w:rsid w:val="00121A79"/>
    <w:rsid w:val="00121B2F"/>
    <w:rsid w:val="00132F57"/>
    <w:rsid w:val="00133D3C"/>
    <w:rsid w:val="00155ED6"/>
    <w:rsid w:val="001638B9"/>
    <w:rsid w:val="001638F8"/>
    <w:rsid w:val="00164D19"/>
    <w:rsid w:val="00165263"/>
    <w:rsid w:val="00166A8F"/>
    <w:rsid w:val="00167765"/>
    <w:rsid w:val="00172D54"/>
    <w:rsid w:val="00173D98"/>
    <w:rsid w:val="0017450E"/>
    <w:rsid w:val="00176412"/>
    <w:rsid w:val="00177431"/>
    <w:rsid w:val="001802A9"/>
    <w:rsid w:val="00181050"/>
    <w:rsid w:val="001856D9"/>
    <w:rsid w:val="00193CDB"/>
    <w:rsid w:val="00194F27"/>
    <w:rsid w:val="001A07A2"/>
    <w:rsid w:val="001A323E"/>
    <w:rsid w:val="001B1C6D"/>
    <w:rsid w:val="001C098B"/>
    <w:rsid w:val="001C19F5"/>
    <w:rsid w:val="001C23A6"/>
    <w:rsid w:val="001D06E7"/>
    <w:rsid w:val="001D344B"/>
    <w:rsid w:val="001D6A35"/>
    <w:rsid w:val="001E134A"/>
    <w:rsid w:val="001E340F"/>
    <w:rsid w:val="001F0B48"/>
    <w:rsid w:val="001F3356"/>
    <w:rsid w:val="002134F0"/>
    <w:rsid w:val="0021364F"/>
    <w:rsid w:val="00214454"/>
    <w:rsid w:val="0021557F"/>
    <w:rsid w:val="00217516"/>
    <w:rsid w:val="00220634"/>
    <w:rsid w:val="0022153C"/>
    <w:rsid w:val="00223816"/>
    <w:rsid w:val="002250F1"/>
    <w:rsid w:val="002348D3"/>
    <w:rsid w:val="0025436E"/>
    <w:rsid w:val="00256434"/>
    <w:rsid w:val="00256A99"/>
    <w:rsid w:val="00271993"/>
    <w:rsid w:val="00282C15"/>
    <w:rsid w:val="00283506"/>
    <w:rsid w:val="00283695"/>
    <w:rsid w:val="00284872"/>
    <w:rsid w:val="00285C5A"/>
    <w:rsid w:val="00286E59"/>
    <w:rsid w:val="00294789"/>
    <w:rsid w:val="002B008C"/>
    <w:rsid w:val="002B5066"/>
    <w:rsid w:val="002C1E06"/>
    <w:rsid w:val="002C34A3"/>
    <w:rsid w:val="002C6B03"/>
    <w:rsid w:val="002D7F74"/>
    <w:rsid w:val="002E70F0"/>
    <w:rsid w:val="002F0D38"/>
    <w:rsid w:val="002F65E9"/>
    <w:rsid w:val="003025C0"/>
    <w:rsid w:val="00305133"/>
    <w:rsid w:val="00330599"/>
    <w:rsid w:val="0033778A"/>
    <w:rsid w:val="00340EA5"/>
    <w:rsid w:val="00341EDA"/>
    <w:rsid w:val="0034519D"/>
    <w:rsid w:val="003474DB"/>
    <w:rsid w:val="00356F64"/>
    <w:rsid w:val="00357D68"/>
    <w:rsid w:val="00370AA8"/>
    <w:rsid w:val="003714B5"/>
    <w:rsid w:val="00373E14"/>
    <w:rsid w:val="00376064"/>
    <w:rsid w:val="00394475"/>
    <w:rsid w:val="00396199"/>
    <w:rsid w:val="003A19AA"/>
    <w:rsid w:val="003A2A95"/>
    <w:rsid w:val="003B0C00"/>
    <w:rsid w:val="003C4CD5"/>
    <w:rsid w:val="003E37C7"/>
    <w:rsid w:val="004108F5"/>
    <w:rsid w:val="0041550A"/>
    <w:rsid w:val="004168BB"/>
    <w:rsid w:val="00420C3F"/>
    <w:rsid w:val="0043499B"/>
    <w:rsid w:val="00441FC4"/>
    <w:rsid w:val="00447171"/>
    <w:rsid w:val="0045416E"/>
    <w:rsid w:val="0045487E"/>
    <w:rsid w:val="00492D61"/>
    <w:rsid w:val="00493A9A"/>
    <w:rsid w:val="004A09F8"/>
    <w:rsid w:val="004D6E6D"/>
    <w:rsid w:val="004F32E8"/>
    <w:rsid w:val="005001C2"/>
    <w:rsid w:val="005046F2"/>
    <w:rsid w:val="0051161E"/>
    <w:rsid w:val="00514E2D"/>
    <w:rsid w:val="00521FD7"/>
    <w:rsid w:val="005228AB"/>
    <w:rsid w:val="005230AB"/>
    <w:rsid w:val="00524F5E"/>
    <w:rsid w:val="00525C20"/>
    <w:rsid w:val="00533740"/>
    <w:rsid w:val="005435CD"/>
    <w:rsid w:val="005442D1"/>
    <w:rsid w:val="005472F8"/>
    <w:rsid w:val="00550610"/>
    <w:rsid w:val="00551B80"/>
    <w:rsid w:val="00557E27"/>
    <w:rsid w:val="00570171"/>
    <w:rsid w:val="0057167D"/>
    <w:rsid w:val="00571988"/>
    <w:rsid w:val="005747C5"/>
    <w:rsid w:val="005810F5"/>
    <w:rsid w:val="00581EEF"/>
    <w:rsid w:val="00583339"/>
    <w:rsid w:val="005B01EA"/>
    <w:rsid w:val="005B3646"/>
    <w:rsid w:val="005B39B0"/>
    <w:rsid w:val="005B4ADA"/>
    <w:rsid w:val="005B6874"/>
    <w:rsid w:val="005C4461"/>
    <w:rsid w:val="005C6837"/>
    <w:rsid w:val="005D5C23"/>
    <w:rsid w:val="005D6301"/>
    <w:rsid w:val="005D74D3"/>
    <w:rsid w:val="005D77EC"/>
    <w:rsid w:val="005F3F04"/>
    <w:rsid w:val="005F694D"/>
    <w:rsid w:val="005F6C9C"/>
    <w:rsid w:val="00616225"/>
    <w:rsid w:val="006326D2"/>
    <w:rsid w:val="00641330"/>
    <w:rsid w:val="0065130D"/>
    <w:rsid w:val="00654120"/>
    <w:rsid w:val="00664004"/>
    <w:rsid w:val="006716C3"/>
    <w:rsid w:val="00672BE1"/>
    <w:rsid w:val="00677A07"/>
    <w:rsid w:val="00681B91"/>
    <w:rsid w:val="006933E0"/>
    <w:rsid w:val="00695AD6"/>
    <w:rsid w:val="006A308E"/>
    <w:rsid w:val="006A57A2"/>
    <w:rsid w:val="006B72CD"/>
    <w:rsid w:val="006C5F8A"/>
    <w:rsid w:val="006C5FBD"/>
    <w:rsid w:val="006D29C3"/>
    <w:rsid w:val="006E39A6"/>
    <w:rsid w:val="006F0607"/>
    <w:rsid w:val="007205F8"/>
    <w:rsid w:val="00727892"/>
    <w:rsid w:val="00730ECC"/>
    <w:rsid w:val="00731092"/>
    <w:rsid w:val="00734468"/>
    <w:rsid w:val="00737E85"/>
    <w:rsid w:val="00742D20"/>
    <w:rsid w:val="0074469E"/>
    <w:rsid w:val="00755C01"/>
    <w:rsid w:val="00756C13"/>
    <w:rsid w:val="00776583"/>
    <w:rsid w:val="007768E0"/>
    <w:rsid w:val="00792756"/>
    <w:rsid w:val="0079375A"/>
    <w:rsid w:val="007C1473"/>
    <w:rsid w:val="007D5CD1"/>
    <w:rsid w:val="007E1655"/>
    <w:rsid w:val="008016C5"/>
    <w:rsid w:val="008256A4"/>
    <w:rsid w:val="00836DE7"/>
    <w:rsid w:val="00840596"/>
    <w:rsid w:val="008420BD"/>
    <w:rsid w:val="008547F2"/>
    <w:rsid w:val="00854F8C"/>
    <w:rsid w:val="008711E1"/>
    <w:rsid w:val="0087278D"/>
    <w:rsid w:val="008745D0"/>
    <w:rsid w:val="00877A4E"/>
    <w:rsid w:val="00882BFE"/>
    <w:rsid w:val="0089589E"/>
    <w:rsid w:val="008A515D"/>
    <w:rsid w:val="008A5DD9"/>
    <w:rsid w:val="008B04EC"/>
    <w:rsid w:val="008B1920"/>
    <w:rsid w:val="008B5646"/>
    <w:rsid w:val="008B7AE9"/>
    <w:rsid w:val="008C79D1"/>
    <w:rsid w:val="008C7FC3"/>
    <w:rsid w:val="008D1C0D"/>
    <w:rsid w:val="008D2ED1"/>
    <w:rsid w:val="008D492F"/>
    <w:rsid w:val="008E0365"/>
    <w:rsid w:val="008E3062"/>
    <w:rsid w:val="008E4618"/>
    <w:rsid w:val="008F1EDD"/>
    <w:rsid w:val="008F2744"/>
    <w:rsid w:val="008F3169"/>
    <w:rsid w:val="008F583F"/>
    <w:rsid w:val="0091425B"/>
    <w:rsid w:val="00916E73"/>
    <w:rsid w:val="00921CFA"/>
    <w:rsid w:val="00927DF0"/>
    <w:rsid w:val="00932054"/>
    <w:rsid w:val="00935734"/>
    <w:rsid w:val="009420D6"/>
    <w:rsid w:val="009449AC"/>
    <w:rsid w:val="00966165"/>
    <w:rsid w:val="00981D6C"/>
    <w:rsid w:val="00994275"/>
    <w:rsid w:val="009975DB"/>
    <w:rsid w:val="009A41EF"/>
    <w:rsid w:val="009B2027"/>
    <w:rsid w:val="009B3C68"/>
    <w:rsid w:val="009B70F9"/>
    <w:rsid w:val="009C0106"/>
    <w:rsid w:val="009C6E54"/>
    <w:rsid w:val="009E6F94"/>
    <w:rsid w:val="00A02F62"/>
    <w:rsid w:val="00A1012A"/>
    <w:rsid w:val="00A126F5"/>
    <w:rsid w:val="00A24997"/>
    <w:rsid w:val="00A251A8"/>
    <w:rsid w:val="00A3089F"/>
    <w:rsid w:val="00A316D2"/>
    <w:rsid w:val="00A504EC"/>
    <w:rsid w:val="00A66E81"/>
    <w:rsid w:val="00A67A9A"/>
    <w:rsid w:val="00A8472F"/>
    <w:rsid w:val="00A976F5"/>
    <w:rsid w:val="00AA4D36"/>
    <w:rsid w:val="00AA5EAC"/>
    <w:rsid w:val="00AA65FF"/>
    <w:rsid w:val="00AA7D27"/>
    <w:rsid w:val="00AC36E8"/>
    <w:rsid w:val="00AC5032"/>
    <w:rsid w:val="00AC5FE3"/>
    <w:rsid w:val="00AD6A30"/>
    <w:rsid w:val="00AF0891"/>
    <w:rsid w:val="00B13D38"/>
    <w:rsid w:val="00B1437F"/>
    <w:rsid w:val="00B143AD"/>
    <w:rsid w:val="00B24AD8"/>
    <w:rsid w:val="00B43938"/>
    <w:rsid w:val="00B46592"/>
    <w:rsid w:val="00B50765"/>
    <w:rsid w:val="00B53298"/>
    <w:rsid w:val="00B61E41"/>
    <w:rsid w:val="00B6448C"/>
    <w:rsid w:val="00B7207A"/>
    <w:rsid w:val="00B74C7C"/>
    <w:rsid w:val="00B75656"/>
    <w:rsid w:val="00B938DD"/>
    <w:rsid w:val="00B9574D"/>
    <w:rsid w:val="00BA03C7"/>
    <w:rsid w:val="00BA0775"/>
    <w:rsid w:val="00BA310D"/>
    <w:rsid w:val="00BA4A45"/>
    <w:rsid w:val="00BA54BF"/>
    <w:rsid w:val="00BB0E75"/>
    <w:rsid w:val="00BB7059"/>
    <w:rsid w:val="00BC120D"/>
    <w:rsid w:val="00BC57C2"/>
    <w:rsid w:val="00BC751A"/>
    <w:rsid w:val="00BE6E8A"/>
    <w:rsid w:val="00C122FB"/>
    <w:rsid w:val="00C14E79"/>
    <w:rsid w:val="00C21FF7"/>
    <w:rsid w:val="00C24D3A"/>
    <w:rsid w:val="00C325AC"/>
    <w:rsid w:val="00C4424A"/>
    <w:rsid w:val="00C479C1"/>
    <w:rsid w:val="00C5786F"/>
    <w:rsid w:val="00C656DE"/>
    <w:rsid w:val="00C73328"/>
    <w:rsid w:val="00C76F41"/>
    <w:rsid w:val="00C8640B"/>
    <w:rsid w:val="00C8702E"/>
    <w:rsid w:val="00C90E51"/>
    <w:rsid w:val="00CA00CD"/>
    <w:rsid w:val="00CA1680"/>
    <w:rsid w:val="00CA1E24"/>
    <w:rsid w:val="00CA3E7E"/>
    <w:rsid w:val="00CA5F86"/>
    <w:rsid w:val="00CB22BE"/>
    <w:rsid w:val="00CC5978"/>
    <w:rsid w:val="00CD42B5"/>
    <w:rsid w:val="00CD7167"/>
    <w:rsid w:val="00D04F69"/>
    <w:rsid w:val="00D07414"/>
    <w:rsid w:val="00D07F65"/>
    <w:rsid w:val="00D13A6D"/>
    <w:rsid w:val="00D17349"/>
    <w:rsid w:val="00D2005C"/>
    <w:rsid w:val="00D24FE7"/>
    <w:rsid w:val="00D25B81"/>
    <w:rsid w:val="00D26B54"/>
    <w:rsid w:val="00D347FD"/>
    <w:rsid w:val="00D41BCE"/>
    <w:rsid w:val="00D50BD9"/>
    <w:rsid w:val="00D55E78"/>
    <w:rsid w:val="00D60B98"/>
    <w:rsid w:val="00D91146"/>
    <w:rsid w:val="00D9546E"/>
    <w:rsid w:val="00D96A78"/>
    <w:rsid w:val="00DA2CED"/>
    <w:rsid w:val="00DB0D92"/>
    <w:rsid w:val="00DB423F"/>
    <w:rsid w:val="00DC2902"/>
    <w:rsid w:val="00DC422E"/>
    <w:rsid w:val="00DC5E89"/>
    <w:rsid w:val="00DD2B1F"/>
    <w:rsid w:val="00DE0D4A"/>
    <w:rsid w:val="00DE4F9B"/>
    <w:rsid w:val="00E07133"/>
    <w:rsid w:val="00E114C4"/>
    <w:rsid w:val="00E1523B"/>
    <w:rsid w:val="00E23500"/>
    <w:rsid w:val="00E23E02"/>
    <w:rsid w:val="00E33537"/>
    <w:rsid w:val="00E33F7A"/>
    <w:rsid w:val="00E34C64"/>
    <w:rsid w:val="00E464E2"/>
    <w:rsid w:val="00E47927"/>
    <w:rsid w:val="00E5173A"/>
    <w:rsid w:val="00E57FDC"/>
    <w:rsid w:val="00E60F6F"/>
    <w:rsid w:val="00E62561"/>
    <w:rsid w:val="00E66695"/>
    <w:rsid w:val="00E739B2"/>
    <w:rsid w:val="00E76290"/>
    <w:rsid w:val="00E90E9E"/>
    <w:rsid w:val="00E931DD"/>
    <w:rsid w:val="00E96776"/>
    <w:rsid w:val="00EA0EBB"/>
    <w:rsid w:val="00EA2A87"/>
    <w:rsid w:val="00EB0A88"/>
    <w:rsid w:val="00EB0CAA"/>
    <w:rsid w:val="00EB2D85"/>
    <w:rsid w:val="00EB5BF3"/>
    <w:rsid w:val="00EB7416"/>
    <w:rsid w:val="00EC2446"/>
    <w:rsid w:val="00EC2730"/>
    <w:rsid w:val="00EC29EA"/>
    <w:rsid w:val="00ED2095"/>
    <w:rsid w:val="00EE5A40"/>
    <w:rsid w:val="00EE7868"/>
    <w:rsid w:val="00EF4122"/>
    <w:rsid w:val="00F0515A"/>
    <w:rsid w:val="00F05D73"/>
    <w:rsid w:val="00F10831"/>
    <w:rsid w:val="00F15B49"/>
    <w:rsid w:val="00F2389D"/>
    <w:rsid w:val="00F30430"/>
    <w:rsid w:val="00F30600"/>
    <w:rsid w:val="00F31F63"/>
    <w:rsid w:val="00F34A13"/>
    <w:rsid w:val="00F469B4"/>
    <w:rsid w:val="00F46C38"/>
    <w:rsid w:val="00F53C87"/>
    <w:rsid w:val="00F5681A"/>
    <w:rsid w:val="00F724E3"/>
    <w:rsid w:val="00F73E56"/>
    <w:rsid w:val="00F755BA"/>
    <w:rsid w:val="00F76C67"/>
    <w:rsid w:val="00F775F9"/>
    <w:rsid w:val="00F853B7"/>
    <w:rsid w:val="00F85D23"/>
    <w:rsid w:val="00FA5852"/>
    <w:rsid w:val="00FB7562"/>
    <w:rsid w:val="00FC5083"/>
    <w:rsid w:val="00FD09C9"/>
    <w:rsid w:val="00FD1B9C"/>
    <w:rsid w:val="00FD237B"/>
    <w:rsid w:val="00FD730D"/>
    <w:rsid w:val="00FD759D"/>
    <w:rsid w:val="00FE1787"/>
    <w:rsid w:val="00FE3A6D"/>
    <w:rsid w:val="00FE4567"/>
    <w:rsid w:val="00FF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cchead">
    <w:name w:val="ncchead"/>
    <w:basedOn w:val="Normal"/>
    <w:next w:val="depthead"/>
    <w:pPr>
      <w:spacing w:before="284"/>
      <w:jc w:val="center"/>
    </w:pPr>
    <w:rPr>
      <w:rFonts w:ascii="Arial" w:hAnsi="Arial"/>
      <w:b/>
      <w:noProof/>
      <w:sz w:val="18"/>
    </w:rPr>
  </w:style>
  <w:style w:type="paragraph" w:customStyle="1" w:styleId="depthead">
    <w:name w:val="depthead"/>
    <w:basedOn w:val="ncchead"/>
    <w:next w:val="Normal"/>
    <w:pPr>
      <w:pBdr>
        <w:bottom w:val="single" w:sz="6" w:space="12" w:color="auto"/>
      </w:pBdr>
      <w:spacing w:before="80" w:line="240" w:lineRule="atLeast"/>
    </w:pPr>
    <w:rPr>
      <w:b w:val="0"/>
    </w:rPr>
  </w:style>
  <w:style w:type="paragraph" w:customStyle="1" w:styleId="refs">
    <w:name w:val="refs"/>
    <w:basedOn w:val="ncchead"/>
    <w:next w:val="Normal"/>
    <w:pPr>
      <w:keepLines/>
      <w:spacing w:before="0"/>
      <w:jc w:val="right"/>
    </w:pPr>
    <w:rPr>
      <w:b w:val="0"/>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ormalplus">
    <w:name w:val="Normal plus"/>
    <w:basedOn w:val="Normal"/>
    <w:link w:val="NormalplusChar"/>
    <w:pPr>
      <w:spacing w:after="120"/>
    </w:pPr>
    <w:rPr>
      <w:sz w:val="23"/>
    </w:rPr>
  </w:style>
  <w:style w:type="paragraph" w:customStyle="1" w:styleId="SubSectionLine">
    <w:name w:val="SubSectionLine"/>
    <w:basedOn w:val="Normal"/>
    <w:next w:val="Normalplus"/>
    <w:pPr>
      <w:pBdr>
        <w:top w:val="single" w:sz="2" w:space="1" w:color="000000"/>
        <w:between w:val="single" w:sz="12" w:space="1" w:color="000000"/>
      </w:pBdr>
      <w:spacing w:before="120"/>
      <w:ind w:left="2020" w:right="85"/>
      <w:jc w:val="right"/>
    </w:pPr>
    <w:rPr>
      <w:sz w:val="16"/>
    </w:rPr>
  </w:style>
  <w:style w:type="paragraph" w:customStyle="1" w:styleId="SubtitleL2">
    <w:name w:val="Subtitle L2"/>
    <w:basedOn w:val="Normalplus"/>
    <w:next w:val="Normalplus"/>
    <w:pPr>
      <w:spacing w:after="0"/>
    </w:pPr>
    <w:rPr>
      <w:b/>
      <w:color w:val="0000FF"/>
    </w:rPr>
  </w:style>
  <w:style w:type="paragraph" w:customStyle="1" w:styleId="TitleDS">
    <w:name w:val="Title DS"/>
    <w:basedOn w:val="Normal"/>
    <w:pPr>
      <w:overflowPunct/>
      <w:autoSpaceDE/>
      <w:autoSpaceDN/>
      <w:adjustRightInd/>
      <w:ind w:left="2100"/>
      <w:textAlignment w:val="auto"/>
    </w:pPr>
    <w:rPr>
      <w:b/>
      <w:bCs/>
      <w:sz w:val="28"/>
    </w:rPr>
  </w:style>
  <w:style w:type="paragraph" w:customStyle="1" w:styleId="TitleLineRule">
    <w:name w:val="Title Line/Rule"/>
    <w:basedOn w:val="Normal"/>
    <w:pPr>
      <w:pBdr>
        <w:bottom w:val="single" w:sz="24" w:space="1" w:color="0000FF"/>
      </w:pBdr>
      <w:overflowPunct/>
      <w:autoSpaceDE/>
      <w:autoSpaceDN/>
      <w:adjustRightInd/>
      <w:spacing w:after="120"/>
      <w:ind w:left="2041" w:right="85"/>
      <w:textAlignment w:val="auto"/>
    </w:pPr>
    <w:rPr>
      <w:sz w:val="3"/>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cs="Arial"/>
      <w:sz w:val="24"/>
      <w:szCs w:val="24"/>
    </w:rPr>
  </w:style>
  <w:style w:type="character" w:customStyle="1" w:styleId="NormalplusChar">
    <w:name w:val="Normal plus Char"/>
    <w:link w:val="Normalplus"/>
    <w:rsid w:val="00256434"/>
    <w:rPr>
      <w:sz w:val="23"/>
      <w:lang w:val="en-GB" w:eastAsia="en-US" w:bidi="ar-SA"/>
    </w:rPr>
  </w:style>
  <w:style w:type="paragraph" w:customStyle="1" w:styleId="Bulletplus">
    <w:name w:val="Bullet plus"/>
    <w:basedOn w:val="Normal"/>
    <w:rsid w:val="00B1437F"/>
    <w:pPr>
      <w:widowControl w:val="0"/>
      <w:numPr>
        <w:numId w:val="4"/>
      </w:numPr>
      <w:overflowPunct/>
      <w:autoSpaceDE/>
      <w:autoSpaceDN/>
      <w:adjustRightInd/>
      <w:spacing w:after="120"/>
      <w:textAlignment w:val="auto"/>
    </w:pPr>
    <w:rPr>
      <w:rFonts w:ascii="Arial" w:hAnsi="Arial"/>
      <w:sz w:val="20"/>
      <w:szCs w:val="23"/>
    </w:rPr>
  </w:style>
  <w:style w:type="paragraph" w:customStyle="1" w:styleId="EmDashplus">
    <w:name w:val="EmDash plus"/>
    <w:basedOn w:val="Normal"/>
    <w:rsid w:val="00B1437F"/>
    <w:pPr>
      <w:widowControl w:val="0"/>
      <w:numPr>
        <w:ilvl w:val="1"/>
        <w:numId w:val="4"/>
      </w:numPr>
      <w:overflowPunct/>
      <w:autoSpaceDE/>
      <w:autoSpaceDN/>
      <w:adjustRightInd/>
      <w:spacing w:after="120"/>
      <w:textAlignment w:val="auto"/>
    </w:pPr>
    <w:rPr>
      <w:rFonts w:ascii="Arial" w:hAnsi="Arial"/>
      <w:sz w:val="20"/>
    </w:rPr>
  </w:style>
  <w:style w:type="paragraph" w:customStyle="1" w:styleId="EnDashplus">
    <w:name w:val="EnDash plus"/>
    <w:basedOn w:val="Normal"/>
    <w:rsid w:val="00B1437F"/>
    <w:pPr>
      <w:widowControl w:val="0"/>
      <w:numPr>
        <w:ilvl w:val="2"/>
        <w:numId w:val="4"/>
      </w:numPr>
      <w:overflowPunct/>
      <w:autoSpaceDE/>
      <w:autoSpaceDN/>
      <w:adjustRightInd/>
      <w:spacing w:after="120"/>
      <w:textAlignment w:val="auto"/>
    </w:pPr>
    <w:rPr>
      <w:rFonts w:ascii="Arial" w:hAnsi="Arial"/>
      <w:sz w:val="20"/>
    </w:rPr>
  </w:style>
  <w:style w:type="character" w:styleId="CommentReference">
    <w:name w:val="annotation reference"/>
    <w:uiPriority w:val="99"/>
    <w:rsid w:val="00EB0A88"/>
    <w:rPr>
      <w:sz w:val="16"/>
      <w:szCs w:val="16"/>
    </w:rPr>
  </w:style>
  <w:style w:type="paragraph" w:styleId="CommentText">
    <w:name w:val="annotation text"/>
    <w:basedOn w:val="Normal"/>
    <w:link w:val="CommentTextChar"/>
    <w:semiHidden/>
    <w:rsid w:val="00EB0A88"/>
    <w:rPr>
      <w:sz w:val="20"/>
    </w:rPr>
  </w:style>
  <w:style w:type="paragraph" w:styleId="CommentSubject">
    <w:name w:val="annotation subject"/>
    <w:basedOn w:val="CommentText"/>
    <w:next w:val="CommentText"/>
    <w:semiHidden/>
    <w:rsid w:val="00EB0A88"/>
    <w:rPr>
      <w:b/>
      <w:bCs/>
    </w:rPr>
  </w:style>
  <w:style w:type="paragraph" w:styleId="ListBullet">
    <w:name w:val="List Bullet"/>
    <w:basedOn w:val="Normal"/>
    <w:rsid w:val="0041550A"/>
    <w:pPr>
      <w:numPr>
        <w:numId w:val="15"/>
      </w:numPr>
    </w:pPr>
  </w:style>
  <w:style w:type="paragraph" w:customStyle="1" w:styleId="Default">
    <w:name w:val="Default"/>
    <w:rsid w:val="000E0D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24E3"/>
    <w:pPr>
      <w:ind w:left="720"/>
    </w:pPr>
  </w:style>
  <w:style w:type="table" w:styleId="TableGrid">
    <w:name w:val="Table Grid"/>
    <w:basedOn w:val="TableNormal"/>
    <w:rsid w:val="0028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0F5"/>
    <w:rPr>
      <w:sz w:val="22"/>
      <w:lang w:eastAsia="en-US"/>
    </w:rPr>
  </w:style>
  <w:style w:type="paragraph" w:styleId="NoSpacing">
    <w:name w:val="No Spacing"/>
    <w:uiPriority w:val="1"/>
    <w:qFormat/>
    <w:rsid w:val="0021364F"/>
    <w:pPr>
      <w:overflowPunct w:val="0"/>
      <w:autoSpaceDE w:val="0"/>
      <w:autoSpaceDN w:val="0"/>
      <w:adjustRightInd w:val="0"/>
      <w:textAlignment w:val="baseline"/>
    </w:pPr>
    <w:rPr>
      <w:sz w:val="22"/>
      <w:lang w:eastAsia="en-US"/>
    </w:rPr>
  </w:style>
  <w:style w:type="paragraph" w:styleId="DocumentMap">
    <w:name w:val="Document Map"/>
    <w:basedOn w:val="Normal"/>
    <w:semiHidden/>
    <w:rsid w:val="001638F8"/>
    <w:pPr>
      <w:shd w:val="clear" w:color="auto" w:fill="000080"/>
    </w:pPr>
    <w:rPr>
      <w:rFonts w:ascii="Tahoma" w:hAnsi="Tahoma" w:cs="Tahoma"/>
      <w:sz w:val="20"/>
    </w:rPr>
  </w:style>
  <w:style w:type="character" w:customStyle="1" w:styleId="CommentTextChar">
    <w:name w:val="Comment Text Char"/>
    <w:link w:val="CommentText"/>
    <w:semiHidden/>
    <w:rsid w:val="00CA168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cchead">
    <w:name w:val="ncchead"/>
    <w:basedOn w:val="Normal"/>
    <w:next w:val="depthead"/>
    <w:pPr>
      <w:spacing w:before="284"/>
      <w:jc w:val="center"/>
    </w:pPr>
    <w:rPr>
      <w:rFonts w:ascii="Arial" w:hAnsi="Arial"/>
      <w:b/>
      <w:noProof/>
      <w:sz w:val="18"/>
    </w:rPr>
  </w:style>
  <w:style w:type="paragraph" w:customStyle="1" w:styleId="depthead">
    <w:name w:val="depthead"/>
    <w:basedOn w:val="ncchead"/>
    <w:next w:val="Normal"/>
    <w:pPr>
      <w:pBdr>
        <w:bottom w:val="single" w:sz="6" w:space="12" w:color="auto"/>
      </w:pBdr>
      <w:spacing w:before="80" w:line="240" w:lineRule="atLeast"/>
    </w:pPr>
    <w:rPr>
      <w:b w:val="0"/>
    </w:rPr>
  </w:style>
  <w:style w:type="paragraph" w:customStyle="1" w:styleId="refs">
    <w:name w:val="refs"/>
    <w:basedOn w:val="ncchead"/>
    <w:next w:val="Normal"/>
    <w:pPr>
      <w:keepLines/>
      <w:spacing w:before="0"/>
      <w:jc w:val="right"/>
    </w:pPr>
    <w:rPr>
      <w:b w:val="0"/>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ormalplus">
    <w:name w:val="Normal plus"/>
    <w:basedOn w:val="Normal"/>
    <w:link w:val="NormalplusChar"/>
    <w:pPr>
      <w:spacing w:after="120"/>
    </w:pPr>
    <w:rPr>
      <w:sz w:val="23"/>
    </w:rPr>
  </w:style>
  <w:style w:type="paragraph" w:customStyle="1" w:styleId="SubSectionLine">
    <w:name w:val="SubSectionLine"/>
    <w:basedOn w:val="Normal"/>
    <w:next w:val="Normalplus"/>
    <w:pPr>
      <w:pBdr>
        <w:top w:val="single" w:sz="2" w:space="1" w:color="000000"/>
        <w:between w:val="single" w:sz="12" w:space="1" w:color="000000"/>
      </w:pBdr>
      <w:spacing w:before="120"/>
      <w:ind w:left="2020" w:right="85"/>
      <w:jc w:val="right"/>
    </w:pPr>
    <w:rPr>
      <w:sz w:val="16"/>
    </w:rPr>
  </w:style>
  <w:style w:type="paragraph" w:customStyle="1" w:styleId="SubtitleL2">
    <w:name w:val="Subtitle L2"/>
    <w:basedOn w:val="Normalplus"/>
    <w:next w:val="Normalplus"/>
    <w:pPr>
      <w:spacing w:after="0"/>
    </w:pPr>
    <w:rPr>
      <w:b/>
      <w:color w:val="0000FF"/>
    </w:rPr>
  </w:style>
  <w:style w:type="paragraph" w:customStyle="1" w:styleId="TitleDS">
    <w:name w:val="Title DS"/>
    <w:basedOn w:val="Normal"/>
    <w:pPr>
      <w:overflowPunct/>
      <w:autoSpaceDE/>
      <w:autoSpaceDN/>
      <w:adjustRightInd/>
      <w:ind w:left="2100"/>
      <w:textAlignment w:val="auto"/>
    </w:pPr>
    <w:rPr>
      <w:b/>
      <w:bCs/>
      <w:sz w:val="28"/>
    </w:rPr>
  </w:style>
  <w:style w:type="paragraph" w:customStyle="1" w:styleId="TitleLineRule">
    <w:name w:val="Title Line/Rule"/>
    <w:basedOn w:val="Normal"/>
    <w:pPr>
      <w:pBdr>
        <w:bottom w:val="single" w:sz="24" w:space="1" w:color="0000FF"/>
      </w:pBdr>
      <w:overflowPunct/>
      <w:autoSpaceDE/>
      <w:autoSpaceDN/>
      <w:adjustRightInd/>
      <w:spacing w:after="120"/>
      <w:ind w:left="2041" w:right="85"/>
      <w:textAlignment w:val="auto"/>
    </w:pPr>
    <w:rPr>
      <w:sz w:val="3"/>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cs="Arial"/>
      <w:sz w:val="24"/>
      <w:szCs w:val="24"/>
    </w:rPr>
  </w:style>
  <w:style w:type="character" w:customStyle="1" w:styleId="NormalplusChar">
    <w:name w:val="Normal plus Char"/>
    <w:link w:val="Normalplus"/>
    <w:rsid w:val="00256434"/>
    <w:rPr>
      <w:sz w:val="23"/>
      <w:lang w:val="en-GB" w:eastAsia="en-US" w:bidi="ar-SA"/>
    </w:rPr>
  </w:style>
  <w:style w:type="paragraph" w:customStyle="1" w:styleId="Bulletplus">
    <w:name w:val="Bullet plus"/>
    <w:basedOn w:val="Normal"/>
    <w:rsid w:val="00B1437F"/>
    <w:pPr>
      <w:widowControl w:val="0"/>
      <w:numPr>
        <w:numId w:val="4"/>
      </w:numPr>
      <w:overflowPunct/>
      <w:autoSpaceDE/>
      <w:autoSpaceDN/>
      <w:adjustRightInd/>
      <w:spacing w:after="120"/>
      <w:textAlignment w:val="auto"/>
    </w:pPr>
    <w:rPr>
      <w:rFonts w:ascii="Arial" w:hAnsi="Arial"/>
      <w:sz w:val="20"/>
      <w:szCs w:val="23"/>
    </w:rPr>
  </w:style>
  <w:style w:type="paragraph" w:customStyle="1" w:styleId="EmDashplus">
    <w:name w:val="EmDash plus"/>
    <w:basedOn w:val="Normal"/>
    <w:rsid w:val="00B1437F"/>
    <w:pPr>
      <w:widowControl w:val="0"/>
      <w:numPr>
        <w:ilvl w:val="1"/>
        <w:numId w:val="4"/>
      </w:numPr>
      <w:overflowPunct/>
      <w:autoSpaceDE/>
      <w:autoSpaceDN/>
      <w:adjustRightInd/>
      <w:spacing w:after="120"/>
      <w:textAlignment w:val="auto"/>
    </w:pPr>
    <w:rPr>
      <w:rFonts w:ascii="Arial" w:hAnsi="Arial"/>
      <w:sz w:val="20"/>
    </w:rPr>
  </w:style>
  <w:style w:type="paragraph" w:customStyle="1" w:styleId="EnDashplus">
    <w:name w:val="EnDash plus"/>
    <w:basedOn w:val="Normal"/>
    <w:rsid w:val="00B1437F"/>
    <w:pPr>
      <w:widowControl w:val="0"/>
      <w:numPr>
        <w:ilvl w:val="2"/>
        <w:numId w:val="4"/>
      </w:numPr>
      <w:overflowPunct/>
      <w:autoSpaceDE/>
      <w:autoSpaceDN/>
      <w:adjustRightInd/>
      <w:spacing w:after="120"/>
      <w:textAlignment w:val="auto"/>
    </w:pPr>
    <w:rPr>
      <w:rFonts w:ascii="Arial" w:hAnsi="Arial"/>
      <w:sz w:val="20"/>
    </w:rPr>
  </w:style>
  <w:style w:type="character" w:styleId="CommentReference">
    <w:name w:val="annotation reference"/>
    <w:uiPriority w:val="99"/>
    <w:rsid w:val="00EB0A88"/>
    <w:rPr>
      <w:sz w:val="16"/>
      <w:szCs w:val="16"/>
    </w:rPr>
  </w:style>
  <w:style w:type="paragraph" w:styleId="CommentText">
    <w:name w:val="annotation text"/>
    <w:basedOn w:val="Normal"/>
    <w:link w:val="CommentTextChar"/>
    <w:semiHidden/>
    <w:rsid w:val="00EB0A88"/>
    <w:rPr>
      <w:sz w:val="20"/>
    </w:rPr>
  </w:style>
  <w:style w:type="paragraph" w:styleId="CommentSubject">
    <w:name w:val="annotation subject"/>
    <w:basedOn w:val="CommentText"/>
    <w:next w:val="CommentText"/>
    <w:semiHidden/>
    <w:rsid w:val="00EB0A88"/>
    <w:rPr>
      <w:b/>
      <w:bCs/>
    </w:rPr>
  </w:style>
  <w:style w:type="paragraph" w:styleId="ListBullet">
    <w:name w:val="List Bullet"/>
    <w:basedOn w:val="Normal"/>
    <w:rsid w:val="0041550A"/>
    <w:pPr>
      <w:numPr>
        <w:numId w:val="15"/>
      </w:numPr>
    </w:pPr>
  </w:style>
  <w:style w:type="paragraph" w:customStyle="1" w:styleId="Default">
    <w:name w:val="Default"/>
    <w:rsid w:val="000E0D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24E3"/>
    <w:pPr>
      <w:ind w:left="720"/>
    </w:pPr>
  </w:style>
  <w:style w:type="table" w:styleId="TableGrid">
    <w:name w:val="Table Grid"/>
    <w:basedOn w:val="TableNormal"/>
    <w:rsid w:val="0028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0F5"/>
    <w:rPr>
      <w:sz w:val="22"/>
      <w:lang w:eastAsia="en-US"/>
    </w:rPr>
  </w:style>
  <w:style w:type="paragraph" w:styleId="NoSpacing">
    <w:name w:val="No Spacing"/>
    <w:uiPriority w:val="1"/>
    <w:qFormat/>
    <w:rsid w:val="0021364F"/>
    <w:pPr>
      <w:overflowPunct w:val="0"/>
      <w:autoSpaceDE w:val="0"/>
      <w:autoSpaceDN w:val="0"/>
      <w:adjustRightInd w:val="0"/>
      <w:textAlignment w:val="baseline"/>
    </w:pPr>
    <w:rPr>
      <w:sz w:val="22"/>
      <w:lang w:eastAsia="en-US"/>
    </w:rPr>
  </w:style>
  <w:style w:type="paragraph" w:styleId="DocumentMap">
    <w:name w:val="Document Map"/>
    <w:basedOn w:val="Normal"/>
    <w:semiHidden/>
    <w:rsid w:val="001638F8"/>
    <w:pPr>
      <w:shd w:val="clear" w:color="auto" w:fill="000080"/>
    </w:pPr>
    <w:rPr>
      <w:rFonts w:ascii="Tahoma" w:hAnsi="Tahoma" w:cs="Tahoma"/>
      <w:sz w:val="20"/>
    </w:rPr>
  </w:style>
  <w:style w:type="character" w:customStyle="1" w:styleId="CommentTextChar">
    <w:name w:val="Comment Text Char"/>
    <w:link w:val="CommentText"/>
    <w:semiHidden/>
    <w:rsid w:val="00CA16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2346">
      <w:bodyDiv w:val="1"/>
      <w:marLeft w:val="0"/>
      <w:marRight w:val="0"/>
      <w:marTop w:val="0"/>
      <w:marBottom w:val="0"/>
      <w:divBdr>
        <w:top w:val="none" w:sz="0" w:space="0" w:color="auto"/>
        <w:left w:val="none" w:sz="0" w:space="0" w:color="auto"/>
        <w:bottom w:val="none" w:sz="0" w:space="0" w:color="auto"/>
        <w:right w:val="none" w:sz="0" w:space="0" w:color="auto"/>
      </w:divBdr>
    </w:div>
    <w:div w:id="14193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8888</Words>
  <Characters>48843</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Company>NorthumberlandCountyCouncil</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GIScott</dc:creator>
  <cp:lastModifiedBy>Craig.Johnson</cp:lastModifiedBy>
  <cp:revision>4</cp:revision>
  <cp:lastPrinted>2017-02-08T15:02:00Z</cp:lastPrinted>
  <dcterms:created xsi:type="dcterms:W3CDTF">2017-02-16T09:07:00Z</dcterms:created>
  <dcterms:modified xsi:type="dcterms:W3CDTF">2017-02-28T15:51:00Z</dcterms:modified>
</cp:coreProperties>
</file>